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63005" w14:paraId="0F793119" w14:textId="77777777" w:rsidTr="0010095E">
        <w:trPr>
          <w:trHeight w:hRule="exact" w:val="1418"/>
        </w:trPr>
        <w:tc>
          <w:tcPr>
            <w:tcW w:w="6804" w:type="dxa"/>
            <w:shd w:val="clear" w:color="auto" w:fill="auto"/>
            <w:vAlign w:val="center"/>
          </w:tcPr>
          <w:p w14:paraId="6E415378" w14:textId="77777777" w:rsidR="00751A4A" w:rsidRPr="00763005" w:rsidRDefault="000E7692" w:rsidP="0010095E">
            <w:pPr>
              <w:pStyle w:val="EPName"/>
            </w:pPr>
            <w:r w:rsidRPr="00763005">
              <w:t>Europa-Parlamentet</w:t>
            </w:r>
          </w:p>
          <w:p w14:paraId="5B2C0E1D" w14:textId="77777777" w:rsidR="00751A4A" w:rsidRPr="00763005" w:rsidRDefault="005F1B17" w:rsidP="005F1B17">
            <w:pPr>
              <w:pStyle w:val="EPTerm"/>
              <w:rPr>
                <w:rStyle w:val="HideTWBExt"/>
                <w:noProof w:val="0"/>
                <w:vanish w:val="0"/>
                <w:color w:val="auto"/>
              </w:rPr>
            </w:pPr>
            <w:r w:rsidRPr="00763005">
              <w:t>2024</w:t>
            </w:r>
            <w:r w:rsidR="00817416" w:rsidRPr="00763005">
              <w:t>-202</w:t>
            </w:r>
            <w:r w:rsidRPr="00763005">
              <w:t>9</w:t>
            </w:r>
          </w:p>
        </w:tc>
        <w:tc>
          <w:tcPr>
            <w:tcW w:w="2268" w:type="dxa"/>
            <w:shd w:val="clear" w:color="auto" w:fill="auto"/>
          </w:tcPr>
          <w:p w14:paraId="4426618D" w14:textId="77777777" w:rsidR="00751A4A" w:rsidRPr="00763005" w:rsidRDefault="00187494" w:rsidP="0010095E">
            <w:pPr>
              <w:pStyle w:val="EPLogo"/>
            </w:pPr>
            <w:r w:rsidRPr="00763005">
              <w:rPr>
                <w:noProof/>
                <w:lang w:eastAsia="ja-JP"/>
              </w:rPr>
              <w:drawing>
                <wp:inline distT="0" distB="0" distL="0" distR="0" wp14:anchorId="4B1E8090" wp14:editId="6C36F41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5D3B83" w14:textId="77777777" w:rsidR="00D058B8" w:rsidRPr="00763005" w:rsidRDefault="00D058B8" w:rsidP="004C5D52">
      <w:pPr>
        <w:pStyle w:val="LineTop"/>
      </w:pPr>
    </w:p>
    <w:p w14:paraId="0EC0E99C" w14:textId="77777777" w:rsidR="00680577" w:rsidRPr="00763005" w:rsidRDefault="000E7692" w:rsidP="00680577">
      <w:pPr>
        <w:pStyle w:val="EPBodyTA1"/>
      </w:pPr>
      <w:r w:rsidRPr="00763005">
        <w:t>VEDTAGNE TEKSTER</w:t>
      </w:r>
    </w:p>
    <w:p w14:paraId="19CEB10F" w14:textId="77777777" w:rsidR="00D058B8" w:rsidRPr="00763005" w:rsidRDefault="00D058B8" w:rsidP="00D058B8">
      <w:pPr>
        <w:pStyle w:val="LineBottom"/>
      </w:pPr>
    </w:p>
    <w:p w14:paraId="296B4672" w14:textId="0A37CF78" w:rsidR="000E7692" w:rsidRPr="00763005" w:rsidRDefault="000E7692" w:rsidP="000E7692">
      <w:pPr>
        <w:pStyle w:val="ATHeading1"/>
      </w:pPr>
      <w:bookmarkStart w:id="0" w:name="TANumber"/>
      <w:r w:rsidRPr="00763005">
        <w:t>P10_</w:t>
      </w:r>
      <w:proofErr w:type="gramStart"/>
      <w:r w:rsidRPr="00763005">
        <w:t>TA(</w:t>
      </w:r>
      <w:proofErr w:type="gramEnd"/>
      <w:r w:rsidRPr="00763005">
        <w:t>2026)00</w:t>
      </w:r>
      <w:r w:rsidR="00656B1E">
        <w:t>34</w:t>
      </w:r>
      <w:bookmarkEnd w:id="0"/>
    </w:p>
    <w:p w14:paraId="137A4D85" w14:textId="77777777" w:rsidR="000E7692" w:rsidRPr="00763005" w:rsidRDefault="000E7692" w:rsidP="000E7692">
      <w:pPr>
        <w:pStyle w:val="ATHeading2"/>
      </w:pPr>
      <w:bookmarkStart w:id="1" w:name="title"/>
      <w:r w:rsidRPr="00763005">
        <w:t>Den Europæiske Centralbank – årsberetning 2025</w:t>
      </w:r>
      <w:bookmarkEnd w:id="1"/>
    </w:p>
    <w:p w14:paraId="55FCB371" w14:textId="77777777" w:rsidR="000E7692" w:rsidRPr="00763005" w:rsidRDefault="000E7692" w:rsidP="000E7692">
      <w:pPr>
        <w:rPr>
          <w:i/>
          <w:vanish/>
        </w:rPr>
      </w:pPr>
      <w:r w:rsidRPr="00763005">
        <w:rPr>
          <w:i/>
        </w:rPr>
        <w:fldChar w:fldCharType="begin"/>
      </w:r>
      <w:r w:rsidRPr="00763005">
        <w:rPr>
          <w:i/>
        </w:rPr>
        <w:instrText xml:space="preserve"> TC"(</w:instrText>
      </w:r>
      <w:bookmarkStart w:id="2" w:name="DocNumber"/>
      <w:r w:rsidRPr="00763005">
        <w:rPr>
          <w:i/>
        </w:rPr>
        <w:instrText>A10-0002/2026</w:instrText>
      </w:r>
      <w:bookmarkEnd w:id="2"/>
      <w:r w:rsidRPr="00763005">
        <w:rPr>
          <w:i/>
        </w:rPr>
        <w:instrText xml:space="preserve"> - Ordfører: Johan Van </w:instrText>
      </w:r>
      <w:proofErr w:type="spellStart"/>
      <w:r w:rsidRPr="00763005">
        <w:rPr>
          <w:i/>
        </w:rPr>
        <w:instrText>Overtveldt</w:instrText>
      </w:r>
      <w:proofErr w:type="spellEnd"/>
      <w:r w:rsidRPr="00763005">
        <w:rPr>
          <w:i/>
        </w:rPr>
        <w:instrText xml:space="preserve">)"\l3 \n&gt; \* MERGEFORMAT </w:instrText>
      </w:r>
      <w:r w:rsidRPr="00763005">
        <w:rPr>
          <w:i/>
        </w:rPr>
        <w:fldChar w:fldCharType="end"/>
      </w:r>
    </w:p>
    <w:p w14:paraId="5A7CE4DE" w14:textId="77777777" w:rsidR="000E7692" w:rsidRPr="00763005" w:rsidRDefault="000E7692" w:rsidP="000E7692">
      <w:pPr>
        <w:rPr>
          <w:vanish/>
        </w:rPr>
      </w:pPr>
      <w:bookmarkStart w:id="3" w:name="Commission"/>
      <w:r w:rsidRPr="00763005">
        <w:rPr>
          <w:vanish/>
        </w:rPr>
        <w:t>Økonomi- og Valutaudvalget</w:t>
      </w:r>
      <w:bookmarkEnd w:id="3"/>
    </w:p>
    <w:p w14:paraId="04650B4B" w14:textId="77777777" w:rsidR="000E7692" w:rsidRPr="00763005" w:rsidRDefault="000E7692" w:rsidP="000E7692">
      <w:pPr>
        <w:rPr>
          <w:vanish/>
        </w:rPr>
      </w:pPr>
      <w:bookmarkStart w:id="4" w:name="PE"/>
      <w:r w:rsidRPr="00763005">
        <w:rPr>
          <w:vanish/>
        </w:rPr>
        <w:t>PE778.306</w:t>
      </w:r>
      <w:bookmarkEnd w:id="4"/>
    </w:p>
    <w:p w14:paraId="336EEC47" w14:textId="09B8DECB" w:rsidR="000E7692" w:rsidRPr="00763005" w:rsidRDefault="000E7692" w:rsidP="000E7692">
      <w:pPr>
        <w:pStyle w:val="ATHeading3"/>
      </w:pPr>
      <w:bookmarkStart w:id="5" w:name="Sujet"/>
      <w:r w:rsidRPr="00763005">
        <w:t xml:space="preserve">Europa-Parlamentets beslutning af </w:t>
      </w:r>
      <w:r w:rsidR="00B6117F">
        <w:t>10</w:t>
      </w:r>
      <w:r w:rsidRPr="00763005">
        <w:t>. februar 2026 om Den Europæiske Centralbank – årsberetning 2025</w:t>
      </w:r>
      <w:bookmarkEnd w:id="5"/>
      <w:r w:rsidRPr="00763005">
        <w:t xml:space="preserve"> </w:t>
      </w:r>
      <w:bookmarkStart w:id="6" w:name="References"/>
      <w:r w:rsidRPr="00763005">
        <w:t>(2025/2182(INI))</w:t>
      </w:r>
      <w:bookmarkEnd w:id="6"/>
    </w:p>
    <w:p w14:paraId="14B95A97" w14:textId="77777777" w:rsidR="004022A2" w:rsidRPr="00763005" w:rsidRDefault="004022A2" w:rsidP="00FE4032">
      <w:pPr>
        <w:pStyle w:val="Normal12"/>
        <w:spacing w:before="480"/>
        <w:rPr>
          <w:i/>
          <w:iCs/>
        </w:rPr>
      </w:pPr>
      <w:r w:rsidRPr="00763005">
        <w:rPr>
          <w:i/>
          <w:iCs/>
        </w:rPr>
        <w:t>Europa-Parlamentet,</w:t>
      </w:r>
    </w:p>
    <w:p w14:paraId="25D51D30" w14:textId="77777777" w:rsidR="004022A2" w:rsidRPr="00763005" w:rsidRDefault="004022A2" w:rsidP="004022A2">
      <w:pPr>
        <w:pStyle w:val="NormalHanging"/>
      </w:pPr>
      <w:r w:rsidRPr="00763005">
        <w:t>–</w:t>
      </w:r>
      <w:r w:rsidRPr="00763005">
        <w:tab/>
        <w:t>der henviser til Den Europæiske Centralbanks (</w:t>
      </w:r>
      <w:proofErr w:type="spellStart"/>
      <w:r w:rsidRPr="00763005">
        <w:t>ECB's</w:t>
      </w:r>
      <w:proofErr w:type="spellEnd"/>
      <w:r w:rsidRPr="00763005">
        <w:t xml:space="preserve">) feedback af 28. april 2025 på input fra Parlamentet som led i dets beslutning om </w:t>
      </w:r>
      <w:proofErr w:type="spellStart"/>
      <w:r w:rsidRPr="00763005">
        <w:t>ECB's</w:t>
      </w:r>
      <w:proofErr w:type="spellEnd"/>
      <w:r w:rsidRPr="00763005">
        <w:t xml:space="preserve"> årsberetning for 2023,</w:t>
      </w:r>
    </w:p>
    <w:p w14:paraId="7BCD751A" w14:textId="77777777" w:rsidR="004022A2" w:rsidRPr="00763005" w:rsidRDefault="004022A2" w:rsidP="004022A2">
      <w:pPr>
        <w:pStyle w:val="NormalHanging"/>
      </w:pPr>
      <w:r w:rsidRPr="00763005">
        <w:t>–</w:t>
      </w:r>
      <w:r w:rsidRPr="00763005">
        <w:tab/>
        <w:t>der henviser til statutten for Det Europæiske System af Centralbanker (ESCB) og ECB, navnlig artikel 2, 15 og 21,</w:t>
      </w:r>
    </w:p>
    <w:p w14:paraId="14126F44" w14:textId="77777777" w:rsidR="004022A2" w:rsidRPr="00763005" w:rsidRDefault="004022A2" w:rsidP="004022A2">
      <w:pPr>
        <w:pStyle w:val="NormalHanging"/>
      </w:pPr>
      <w:r w:rsidRPr="00763005">
        <w:t>–</w:t>
      </w:r>
      <w:r w:rsidRPr="00763005">
        <w:tab/>
        <w:t>der henviser til artikel 119, artikel 123, stk. 1, artikel 125, artikel 127, stk. 1 og 2, artikel 130, artikel 282, stk. 2, og artikel 284, stk. 3, i traktaten om Den Europæiske Unions funktionsmåde (TEUF),</w:t>
      </w:r>
    </w:p>
    <w:p w14:paraId="22435142" w14:textId="77777777" w:rsidR="004022A2" w:rsidRPr="00763005" w:rsidRDefault="004022A2" w:rsidP="004022A2">
      <w:pPr>
        <w:pStyle w:val="NormalHanging"/>
      </w:pPr>
      <w:r w:rsidRPr="00763005">
        <w:t>–</w:t>
      </w:r>
      <w:r w:rsidRPr="00763005">
        <w:tab/>
        <w:t>der henviser til artikel 3 og 13 i traktaten om Den Europæiske Union (TEU),</w:t>
      </w:r>
    </w:p>
    <w:p w14:paraId="0B910462" w14:textId="77777777" w:rsidR="004022A2" w:rsidRPr="00763005" w:rsidRDefault="004022A2" w:rsidP="004022A2">
      <w:pPr>
        <w:pStyle w:val="NormalHanging"/>
      </w:pPr>
      <w:r w:rsidRPr="00763005">
        <w:t>–</w:t>
      </w:r>
      <w:r w:rsidRPr="00763005">
        <w:tab/>
        <w:t xml:space="preserve">der henviser til de monetære dialoger af 20. marts 2025, 23. juni 2025 og 6. oktober 2025 med </w:t>
      </w:r>
      <w:proofErr w:type="spellStart"/>
      <w:r w:rsidRPr="00763005">
        <w:t>ECB's</w:t>
      </w:r>
      <w:proofErr w:type="spellEnd"/>
      <w:r w:rsidRPr="00763005">
        <w:t xml:space="preserve"> formand, Christine </w:t>
      </w:r>
      <w:proofErr w:type="spellStart"/>
      <w:r w:rsidRPr="00763005">
        <w:t>Lagarde</w:t>
      </w:r>
      <w:proofErr w:type="spellEnd"/>
      <w:r w:rsidRPr="00763005">
        <w:t>,</w:t>
      </w:r>
    </w:p>
    <w:p w14:paraId="5561C7F1" w14:textId="77777777" w:rsidR="004022A2" w:rsidRPr="00763005" w:rsidRDefault="004022A2" w:rsidP="004022A2">
      <w:pPr>
        <w:pStyle w:val="NormalHanging"/>
      </w:pPr>
      <w:r w:rsidRPr="00763005">
        <w:t>–</w:t>
      </w:r>
      <w:r w:rsidRPr="00763005">
        <w:tab/>
        <w:t xml:space="preserve">der henviser til </w:t>
      </w:r>
      <w:proofErr w:type="spellStart"/>
      <w:r w:rsidRPr="00763005">
        <w:t>ECB's</w:t>
      </w:r>
      <w:proofErr w:type="spellEnd"/>
      <w:r w:rsidRPr="00763005">
        <w:t xml:space="preserve"> vurdering af den pengepolitiske strategi for 2025,</w:t>
      </w:r>
    </w:p>
    <w:p w14:paraId="23404610" w14:textId="77777777" w:rsidR="004022A2" w:rsidRPr="00763005" w:rsidRDefault="004022A2" w:rsidP="004022A2">
      <w:pPr>
        <w:pStyle w:val="NormalHanging"/>
      </w:pPr>
      <w:r w:rsidRPr="00763005">
        <w:t>–</w:t>
      </w:r>
      <w:r w:rsidRPr="00763005">
        <w:tab/>
        <w:t xml:space="preserve">der henviser til </w:t>
      </w:r>
      <w:proofErr w:type="spellStart"/>
      <w:r w:rsidRPr="00763005">
        <w:t>ECB's</w:t>
      </w:r>
      <w:proofErr w:type="spellEnd"/>
      <w:r w:rsidRPr="00763005">
        <w:t xml:space="preserve"> rapport fra 2025 om euroens internationale rolle,</w:t>
      </w:r>
    </w:p>
    <w:p w14:paraId="73CCA1A9" w14:textId="77777777" w:rsidR="004022A2" w:rsidRPr="00763005" w:rsidRDefault="004022A2" w:rsidP="004022A2">
      <w:pPr>
        <w:pStyle w:val="NormalHanging"/>
      </w:pPr>
      <w:r w:rsidRPr="00763005">
        <w:t>–</w:t>
      </w:r>
      <w:r w:rsidRPr="00763005">
        <w:tab/>
        <w:t xml:space="preserve">der henviser til </w:t>
      </w:r>
      <w:proofErr w:type="spellStart"/>
      <w:r w:rsidRPr="00763005">
        <w:t>ECB's</w:t>
      </w:r>
      <w:proofErr w:type="spellEnd"/>
      <w:r w:rsidRPr="00763005">
        <w:t xml:space="preserve"> klima- og naturplan 2024-2025,</w:t>
      </w:r>
    </w:p>
    <w:p w14:paraId="0C62C609" w14:textId="77777777" w:rsidR="004022A2" w:rsidRPr="00763005" w:rsidRDefault="004022A2" w:rsidP="004022A2">
      <w:pPr>
        <w:pStyle w:val="NormalHanging"/>
      </w:pPr>
      <w:r w:rsidRPr="00763005">
        <w:t>–</w:t>
      </w:r>
      <w:r w:rsidRPr="00763005">
        <w:tab/>
        <w:t>der henviser til Eurostats inflationsskøn af 20. august 2025 og Eurostats foreløbige skøn af 1. oktober 2025,</w:t>
      </w:r>
    </w:p>
    <w:p w14:paraId="445401A4" w14:textId="32FDBF26" w:rsidR="004022A2" w:rsidRPr="00763005" w:rsidRDefault="004022A2" w:rsidP="004022A2">
      <w:pPr>
        <w:pStyle w:val="NormalHanging"/>
      </w:pPr>
      <w:r w:rsidRPr="00763005">
        <w:lastRenderedPageBreak/>
        <w:t>–</w:t>
      </w:r>
      <w:r w:rsidRPr="00763005">
        <w:tab/>
        <w:t xml:space="preserve">der henviser til </w:t>
      </w:r>
      <w:proofErr w:type="spellStart"/>
      <w:r w:rsidRPr="00763005">
        <w:t>EGOV's</w:t>
      </w:r>
      <w:proofErr w:type="spellEnd"/>
      <w:r w:rsidRPr="00763005">
        <w:t xml:space="preserve"> briefing fra oktober 2025 med titlen "</w:t>
      </w:r>
      <w:proofErr w:type="spellStart"/>
      <w:r w:rsidRPr="00763005">
        <w:t>Turning</w:t>
      </w:r>
      <w:proofErr w:type="spellEnd"/>
      <w:r w:rsidRPr="00763005">
        <w:t xml:space="preserve"> point or </w:t>
      </w:r>
      <w:proofErr w:type="spellStart"/>
      <w:r w:rsidRPr="00763005">
        <w:t>continuity</w:t>
      </w:r>
      <w:proofErr w:type="spellEnd"/>
      <w:r w:rsidRPr="00763005">
        <w:t xml:space="preserve">? The </w:t>
      </w:r>
      <w:proofErr w:type="spellStart"/>
      <w:r w:rsidRPr="00763005">
        <w:t>ECB's</w:t>
      </w:r>
      <w:proofErr w:type="spellEnd"/>
      <w:r w:rsidRPr="00763005">
        <w:t xml:space="preserve"> 2025 </w:t>
      </w:r>
      <w:proofErr w:type="spellStart"/>
      <w:r w:rsidRPr="00763005">
        <w:t>strategy</w:t>
      </w:r>
      <w:proofErr w:type="spellEnd"/>
      <w:r w:rsidRPr="00763005">
        <w:t xml:space="preserve"> </w:t>
      </w:r>
      <w:proofErr w:type="spellStart"/>
      <w:r w:rsidRPr="00763005">
        <w:t>review</w:t>
      </w:r>
      <w:proofErr w:type="spellEnd"/>
      <w:r w:rsidRPr="00763005">
        <w:t>", der er offentliggjort af Parlamentets Generaldirektorat for Økonomi, Omstilling og Industri</w:t>
      </w:r>
      <w:r w:rsidR="000E6BC7">
        <w:rPr>
          <w:rStyle w:val="FootnoteReference"/>
        </w:rPr>
        <w:footnoteReference w:id="1"/>
      </w:r>
      <w:r w:rsidRPr="00763005">
        <w:t>,</w:t>
      </w:r>
    </w:p>
    <w:p w14:paraId="65CFB729" w14:textId="5D85DEA2" w:rsidR="004022A2" w:rsidRPr="00763005" w:rsidRDefault="004022A2" w:rsidP="004022A2">
      <w:pPr>
        <w:pStyle w:val="NormalHanging"/>
      </w:pPr>
      <w:r w:rsidRPr="00763005">
        <w:t>–</w:t>
      </w:r>
      <w:r w:rsidRPr="00763005">
        <w:tab/>
        <w:t xml:space="preserve">der henviser til </w:t>
      </w:r>
      <w:proofErr w:type="spellStart"/>
      <w:r w:rsidRPr="00763005">
        <w:t>EGOV's</w:t>
      </w:r>
      <w:proofErr w:type="spellEnd"/>
      <w:r w:rsidRPr="00763005">
        <w:t xml:space="preserve"> analyse fra juni 2025 med titlen "The </w:t>
      </w:r>
      <w:proofErr w:type="spellStart"/>
      <w:r w:rsidRPr="00763005">
        <w:t>silent</w:t>
      </w:r>
      <w:proofErr w:type="spellEnd"/>
      <w:r w:rsidRPr="00763005">
        <w:t xml:space="preserve"> </w:t>
      </w:r>
      <w:proofErr w:type="spellStart"/>
      <w:r w:rsidRPr="00763005">
        <w:t>hand</w:t>
      </w:r>
      <w:proofErr w:type="spellEnd"/>
      <w:r w:rsidRPr="00763005">
        <w:t xml:space="preserve"> of central </w:t>
      </w:r>
      <w:proofErr w:type="spellStart"/>
      <w:r w:rsidRPr="00763005">
        <w:t>banking</w:t>
      </w:r>
      <w:proofErr w:type="spellEnd"/>
      <w:r w:rsidRPr="00763005">
        <w:t xml:space="preserve">: </w:t>
      </w:r>
      <w:proofErr w:type="spellStart"/>
      <w:r w:rsidRPr="00763005">
        <w:t>collateral</w:t>
      </w:r>
      <w:proofErr w:type="spellEnd"/>
      <w:r w:rsidRPr="00763005">
        <w:t xml:space="preserve"> framework", der er offentliggjort af Parlamentets Generaldirektorat for Økonomi, Omstilling og Industri</w:t>
      </w:r>
      <w:r w:rsidR="000E6BC7">
        <w:rPr>
          <w:rStyle w:val="FootnoteReference"/>
        </w:rPr>
        <w:footnoteReference w:id="2"/>
      </w:r>
      <w:r w:rsidRPr="00763005">
        <w:t>,</w:t>
      </w:r>
    </w:p>
    <w:p w14:paraId="6CB27DC7" w14:textId="77777777" w:rsidR="004022A2" w:rsidRPr="00763005" w:rsidRDefault="004022A2" w:rsidP="004022A2">
      <w:pPr>
        <w:pStyle w:val="NormalHanging"/>
      </w:pPr>
      <w:r w:rsidRPr="00763005">
        <w:t>–</w:t>
      </w:r>
      <w:r w:rsidRPr="00763005">
        <w:tab/>
        <w:t>der henviser til forretningsordenens artikel 55,</w:t>
      </w:r>
    </w:p>
    <w:p w14:paraId="16902BFD" w14:textId="77777777" w:rsidR="004022A2" w:rsidRPr="00763005" w:rsidRDefault="004022A2" w:rsidP="004022A2">
      <w:pPr>
        <w:pStyle w:val="NormalHanging"/>
      </w:pPr>
      <w:r w:rsidRPr="00763005">
        <w:t>–</w:t>
      </w:r>
      <w:r w:rsidRPr="00763005">
        <w:tab/>
        <w:t>der henviser til betænkning fra Økonomi- og Valutaudvalget (A10‑0002/2026),</w:t>
      </w:r>
    </w:p>
    <w:p w14:paraId="33F44394" w14:textId="77777777" w:rsidR="004022A2" w:rsidRPr="00763005" w:rsidRDefault="004022A2" w:rsidP="004022A2">
      <w:pPr>
        <w:pStyle w:val="NormalHanging"/>
      </w:pPr>
      <w:r w:rsidRPr="00763005">
        <w:t>A.</w:t>
      </w:r>
      <w:r w:rsidRPr="00763005">
        <w:tab/>
        <w:t>der henviser til, at den årlige inflation i EU ifølge Eurostat lå på 2,5 % og inflationen i euroområdet på 2,1 % i oktober 2025, målt ved det harmoniserede forbrugerprisindeks;</w:t>
      </w:r>
    </w:p>
    <w:p w14:paraId="3CD16739" w14:textId="77777777" w:rsidR="004022A2" w:rsidRPr="00763005" w:rsidRDefault="004022A2" w:rsidP="004022A2">
      <w:pPr>
        <w:pStyle w:val="NormalHanging"/>
      </w:pPr>
      <w:r w:rsidRPr="00763005">
        <w:t>B.</w:t>
      </w:r>
      <w:r w:rsidRPr="00763005">
        <w:tab/>
        <w:t xml:space="preserve">der henviser til, at ifølge </w:t>
      </w:r>
      <w:proofErr w:type="spellStart"/>
      <w:r w:rsidRPr="00763005">
        <w:t>ECB's</w:t>
      </w:r>
      <w:proofErr w:type="spellEnd"/>
      <w:r w:rsidRPr="00763005">
        <w:t xml:space="preserve"> undersøgelse af forbrugerforventninger fra oktober 2025 ligger medianforventningerne til inflationen stadig over 2 %;</w:t>
      </w:r>
    </w:p>
    <w:p w14:paraId="4871C31C" w14:textId="77777777" w:rsidR="004022A2" w:rsidRPr="00763005" w:rsidRDefault="004022A2" w:rsidP="004022A2">
      <w:pPr>
        <w:pStyle w:val="NormalHanging"/>
      </w:pPr>
      <w:r w:rsidRPr="00763005">
        <w:t>C.</w:t>
      </w:r>
      <w:r w:rsidRPr="00763005">
        <w:tab/>
        <w:t xml:space="preserve">der henviser til, at </w:t>
      </w:r>
      <w:proofErr w:type="spellStart"/>
      <w:r w:rsidRPr="00763005">
        <w:t>ECB's</w:t>
      </w:r>
      <w:proofErr w:type="spellEnd"/>
      <w:r w:rsidRPr="00763005">
        <w:t xml:space="preserve"> inflationsmål over tid er skiftet fra en referenceværdi på "under 2 %" til et mål på "under, men tæt på 2 %" og derefter til et symmetrisk mål på "2 %" på mellemlang sigt;</w:t>
      </w:r>
    </w:p>
    <w:p w14:paraId="4F56D500" w14:textId="77777777" w:rsidR="004022A2" w:rsidRPr="00763005" w:rsidRDefault="004022A2" w:rsidP="004022A2">
      <w:pPr>
        <w:pStyle w:val="NormalHanging"/>
      </w:pPr>
      <w:r w:rsidRPr="00763005">
        <w:t>D.</w:t>
      </w:r>
      <w:r w:rsidRPr="00763005">
        <w:tab/>
        <w:t>der henviser til, at renten på den marginale udlånsfacilitet og renten på indlånsfaciliteten har dannet en snæver korridor omkring rentesatsen for de vigtigste refinansieringstransaktioner;</w:t>
      </w:r>
    </w:p>
    <w:p w14:paraId="513633F2" w14:textId="0DBC76E0" w:rsidR="004022A2" w:rsidRPr="00763005" w:rsidRDefault="004022A2" w:rsidP="004022A2">
      <w:pPr>
        <w:pStyle w:val="NormalHanging"/>
      </w:pPr>
      <w:r w:rsidRPr="00763005">
        <w:t>E.</w:t>
      </w:r>
      <w:r w:rsidRPr="00763005">
        <w:tab/>
        <w:t xml:space="preserve">der henviser til, at </w:t>
      </w:r>
      <w:proofErr w:type="spellStart"/>
      <w:r w:rsidRPr="00763005">
        <w:t>ECB's</w:t>
      </w:r>
      <w:proofErr w:type="spellEnd"/>
      <w:r w:rsidRPr="00763005">
        <w:t xml:space="preserve"> grænser for opkøb af offentlig gæld er vokset støt, fra programmet for værdipapirmarkeder til direkte monetære transaktioner samt programmet til opkøb af den offentlige sektors aktiver, opkøbsprogrammet på foranledning af den pandemiske nødsituation (PEPP) og instrumentet til beskyttelse af den pengepolitiske transmission</w:t>
      </w:r>
      <w:r w:rsidR="000E6BC7">
        <w:rPr>
          <w:rStyle w:val="FootnoteReference"/>
        </w:rPr>
        <w:footnoteReference w:id="3"/>
      </w:r>
      <w:r w:rsidRPr="00763005">
        <w:t>;</w:t>
      </w:r>
    </w:p>
    <w:p w14:paraId="2773A7AD" w14:textId="77777777" w:rsidR="004022A2" w:rsidRPr="00763005" w:rsidRDefault="004022A2" w:rsidP="004022A2">
      <w:pPr>
        <w:pStyle w:val="NormalHanging"/>
      </w:pPr>
      <w:r w:rsidRPr="00763005">
        <w:t>F.</w:t>
      </w:r>
      <w:r w:rsidRPr="00763005">
        <w:tab/>
        <w:t xml:space="preserve">der henviser til, at geninvesteringer under programmet til opkøb af aktiver (APP) blev indstillet pr. juli 2023 og for </w:t>
      </w:r>
      <w:proofErr w:type="spellStart"/>
      <w:r w:rsidRPr="00763005">
        <w:t>PEPP's</w:t>
      </w:r>
      <w:proofErr w:type="spellEnd"/>
      <w:r w:rsidRPr="00763005">
        <w:t xml:space="preserve"> vedkommende pr. december 2024, hvilket banede vejen for en reduktion af </w:t>
      </w:r>
      <w:proofErr w:type="spellStart"/>
      <w:r w:rsidRPr="00763005">
        <w:t>ECB's</w:t>
      </w:r>
      <w:proofErr w:type="spellEnd"/>
      <w:r w:rsidRPr="00763005">
        <w:t xml:space="preserve"> balancesum;</w:t>
      </w:r>
    </w:p>
    <w:p w14:paraId="1AF46CBE" w14:textId="77777777" w:rsidR="004022A2" w:rsidRPr="00763005" w:rsidRDefault="004022A2" w:rsidP="004022A2">
      <w:pPr>
        <w:pStyle w:val="NormalHanging"/>
      </w:pPr>
      <w:r w:rsidRPr="00763005">
        <w:t>G.</w:t>
      </w:r>
      <w:r w:rsidRPr="00763005">
        <w:tab/>
        <w:t>der henviser til, at deflation kan være en positiv konsekvens af teknologiske fremskridt;</w:t>
      </w:r>
    </w:p>
    <w:p w14:paraId="2DFC8725" w14:textId="77777777" w:rsidR="004022A2" w:rsidRPr="00763005" w:rsidRDefault="004022A2" w:rsidP="004022A2">
      <w:pPr>
        <w:pStyle w:val="NormalHanging"/>
      </w:pPr>
      <w:r w:rsidRPr="00763005">
        <w:t>H.</w:t>
      </w:r>
      <w:r w:rsidRPr="00763005">
        <w:tab/>
        <w:t>der henviser til, at artikel 123 i TEUF og artikel 21 i statutten for ESCB og ECB forbyder direkte monetær finansiering af regeringer;</w:t>
      </w:r>
    </w:p>
    <w:p w14:paraId="4BD97347" w14:textId="77777777" w:rsidR="004022A2" w:rsidRPr="00763005" w:rsidRDefault="004022A2" w:rsidP="004022A2">
      <w:pPr>
        <w:pStyle w:val="Normal12a"/>
      </w:pPr>
      <w:r w:rsidRPr="00763005">
        <w:rPr>
          <w:b/>
          <w:i/>
        </w:rPr>
        <w:t>Forvaltning</w:t>
      </w:r>
    </w:p>
    <w:p w14:paraId="702846A7" w14:textId="77777777" w:rsidR="004022A2" w:rsidRPr="00763005" w:rsidRDefault="004022A2" w:rsidP="004022A2">
      <w:pPr>
        <w:pStyle w:val="NormalHanging12a"/>
      </w:pPr>
      <w:r w:rsidRPr="00763005">
        <w:lastRenderedPageBreak/>
        <w:t>1.</w:t>
      </w:r>
      <w:r w:rsidRPr="00763005">
        <w:tab/>
        <w:t>minder om, at det i artikel 127 i TEUF hedder: "Hovedmålet for Det Europæiske System af Centralbanker, i det følgende benævnt "ESCB", er at fastholde prisstabilitet. Uden at målsætningen om prisstabilitet derved berøres, støtter ESCB de generelle økonomiske politikker i Unionen med henblik på at bidrage til gennemførelsen af Unionens mål som fastsat i artikel 3 i traktaten om Den Europæiske Union. ESCB handler i overensstemmelse med princippet om en åben markedsøkonomi med fri konkurrence, som fremmer en effektiv ressourceallokering, og i overensstemmelse med principperne i artikel 119";</w:t>
      </w:r>
    </w:p>
    <w:p w14:paraId="542B6908" w14:textId="77777777" w:rsidR="004022A2" w:rsidRPr="00763005" w:rsidRDefault="004022A2" w:rsidP="004022A2">
      <w:pPr>
        <w:pStyle w:val="NormalHanging12a"/>
      </w:pPr>
      <w:r w:rsidRPr="00763005">
        <w:t>2.</w:t>
      </w:r>
      <w:r w:rsidRPr="00763005">
        <w:tab/>
        <w:t xml:space="preserve">understreger, at </w:t>
      </w:r>
      <w:proofErr w:type="spellStart"/>
      <w:r w:rsidRPr="00763005">
        <w:t>ECB's</w:t>
      </w:r>
      <w:proofErr w:type="spellEnd"/>
      <w:r w:rsidRPr="00763005">
        <w:t xml:space="preserve"> lovbestemte uafhængighed som fastlagt i traktaterne er en forudsætning for indfrielsen af dens mandat til at fastholde prisstabilitet;</w:t>
      </w:r>
    </w:p>
    <w:p w14:paraId="20693532" w14:textId="77777777" w:rsidR="004022A2" w:rsidRPr="00763005" w:rsidRDefault="004022A2" w:rsidP="004022A2">
      <w:pPr>
        <w:pStyle w:val="NormalHanging12a"/>
      </w:pPr>
      <w:r w:rsidRPr="00763005">
        <w:t>3.</w:t>
      </w:r>
      <w:r w:rsidRPr="00763005">
        <w:tab/>
        <w:t>fremhæver, at ECB er ansvarlig over for Parlamentet; understreger, at ECB skal træffe beslutninger for at opfylde sit mandat uden politisk indblanding; bemærker, at centralbankerne bør være uafhængige, men ikke isolerede;</w:t>
      </w:r>
    </w:p>
    <w:p w14:paraId="7F2A781B" w14:textId="77777777" w:rsidR="004022A2" w:rsidRPr="00763005" w:rsidRDefault="004022A2" w:rsidP="004022A2">
      <w:pPr>
        <w:pStyle w:val="NormalHanging12a"/>
      </w:pPr>
      <w:r w:rsidRPr="00763005">
        <w:t>4.</w:t>
      </w:r>
      <w:r w:rsidRPr="00763005">
        <w:tab/>
        <w:t>bemærker betydningen af gennemsigtighed for ansvarligheden, og at en stærk institutionel udformning og robuste ansvarlighedsmekanismer er nødvendige; bifalder i den henseende ordningerne i form af brevveksling mellem Europa-Parlamentet og ECB om strukturering af praksis for interaktion på centralbankområdet;</w:t>
      </w:r>
    </w:p>
    <w:p w14:paraId="1B4EA5D0" w14:textId="77777777" w:rsidR="004022A2" w:rsidRPr="00763005" w:rsidRDefault="004022A2" w:rsidP="004022A2">
      <w:pPr>
        <w:pStyle w:val="NormalHanging12a"/>
      </w:pPr>
      <w:r w:rsidRPr="00763005">
        <w:t>5.</w:t>
      </w:r>
      <w:r w:rsidRPr="00763005">
        <w:tab/>
        <w:t xml:space="preserve">opfordrer ECB til at gøre en indsats for at styrke instrumenter, der forbedrer gennemsigtigheden, såsom </w:t>
      </w:r>
      <w:proofErr w:type="spellStart"/>
      <w:r w:rsidRPr="00763005">
        <w:t>benchmarks</w:t>
      </w:r>
      <w:proofErr w:type="spellEnd"/>
      <w:r w:rsidRPr="00763005">
        <w:t>, indsigt i dens modelbaserede antagelser og styrelsesrådets vurderinger af inflationsudviklingen;</w:t>
      </w:r>
    </w:p>
    <w:p w14:paraId="333BD5BC" w14:textId="77777777" w:rsidR="004022A2" w:rsidRDefault="004022A2" w:rsidP="004022A2">
      <w:pPr>
        <w:pStyle w:val="NormalHanging12a"/>
      </w:pPr>
      <w:r w:rsidRPr="00763005">
        <w:t>6.</w:t>
      </w:r>
      <w:r w:rsidRPr="00763005">
        <w:tab/>
        <w:t xml:space="preserve">glæder sig over </w:t>
      </w:r>
      <w:proofErr w:type="spellStart"/>
      <w:r w:rsidRPr="00763005">
        <w:t>ECB's</w:t>
      </w:r>
      <w:proofErr w:type="spellEnd"/>
      <w:r w:rsidRPr="00763005">
        <w:t xml:space="preserve"> uafhængighed som fastlagt i artikel 130 i TEUF; understreger, at uafhængighed kræver, at </w:t>
      </w:r>
      <w:proofErr w:type="spellStart"/>
      <w:r w:rsidRPr="00763005">
        <w:t>ECB's</w:t>
      </w:r>
      <w:proofErr w:type="spellEnd"/>
      <w:r w:rsidRPr="00763005">
        <w:t xml:space="preserve"> handlinger forbliver apolitiske;</w:t>
      </w:r>
    </w:p>
    <w:p w14:paraId="17267DB5" w14:textId="729AA359" w:rsidR="00656B1E" w:rsidRPr="00763005" w:rsidRDefault="003E6C28" w:rsidP="004022A2">
      <w:pPr>
        <w:pStyle w:val="NormalHanging12a"/>
      </w:pPr>
      <w:r>
        <w:t>7</w:t>
      </w:r>
      <w:r w:rsidR="00656B1E" w:rsidRPr="00656B1E">
        <w:t>.</w:t>
      </w:r>
      <w:r w:rsidR="00656B1E" w:rsidRPr="00656B1E">
        <w:tab/>
        <w:t xml:space="preserve">tilslutter sig den erklæring om solidaritet med USA's </w:t>
      </w:r>
      <w:proofErr w:type="spellStart"/>
      <w:r w:rsidR="00656B1E" w:rsidRPr="00656B1E">
        <w:t>Federal</w:t>
      </w:r>
      <w:proofErr w:type="spellEnd"/>
      <w:r w:rsidR="00656B1E" w:rsidRPr="00656B1E">
        <w:t xml:space="preserve"> Reserve, som ECB og centralbanker i hele verden har fremsat, og som understreger betydningen af at bevare centralbankuafhængighed med fuld respekt for retsstatsprincippet og den demokratiske ansvarlighed</w:t>
      </w:r>
      <w:r w:rsidR="00DD173E">
        <w:t>;</w:t>
      </w:r>
    </w:p>
    <w:p w14:paraId="1983577B" w14:textId="77777777" w:rsidR="004022A2" w:rsidRPr="00763005" w:rsidRDefault="004022A2" w:rsidP="004022A2">
      <w:pPr>
        <w:pStyle w:val="Normal12a"/>
      </w:pPr>
      <w:r w:rsidRPr="00763005">
        <w:rPr>
          <w:b/>
          <w:i/>
        </w:rPr>
        <w:t>Pengepolitik</w:t>
      </w:r>
    </w:p>
    <w:p w14:paraId="5EBFB66A" w14:textId="31798AFD" w:rsidR="004022A2" w:rsidRPr="00763005" w:rsidRDefault="003E6C28" w:rsidP="004022A2">
      <w:pPr>
        <w:pStyle w:val="NormalHanging12a"/>
      </w:pPr>
      <w:r>
        <w:t>8</w:t>
      </w:r>
      <w:r w:rsidR="004022A2" w:rsidRPr="00763005">
        <w:t>.</w:t>
      </w:r>
      <w:r w:rsidR="004022A2" w:rsidRPr="00763005">
        <w:tab/>
        <w:t xml:space="preserve">fremhæver </w:t>
      </w:r>
      <w:proofErr w:type="spellStart"/>
      <w:r w:rsidR="004022A2" w:rsidRPr="00763005">
        <w:t>ECB's</w:t>
      </w:r>
      <w:proofErr w:type="spellEnd"/>
      <w:r w:rsidR="004022A2" w:rsidRPr="00763005">
        <w:t xml:space="preserve"> primære mål om at fastholde prisstabilitet, som er en af de nødvendige betingelser for vækst, konkurrenceevne og økonomisk stabilitet i Unionen;</w:t>
      </w:r>
    </w:p>
    <w:p w14:paraId="7BC5EB34" w14:textId="1ED5D6EA" w:rsidR="004022A2" w:rsidRPr="00763005" w:rsidRDefault="003E6C28" w:rsidP="004022A2">
      <w:pPr>
        <w:pStyle w:val="NormalHanging12a"/>
      </w:pPr>
      <w:r>
        <w:t>9</w:t>
      </w:r>
      <w:r w:rsidR="004022A2" w:rsidRPr="00763005">
        <w:t>.</w:t>
      </w:r>
      <w:r w:rsidR="004022A2" w:rsidRPr="00763005">
        <w:tab/>
        <w:t xml:space="preserve">udtrykker bekymring over de høje inflationsniveauer i årene efter covid-19-pandemien, som blev udløst af udbudsstød; bemærker, at en rettidig tilbagevenden til prisstabilitet i denne periode ville have været berettiget gennem </w:t>
      </w:r>
      <w:proofErr w:type="spellStart"/>
      <w:r w:rsidR="004022A2" w:rsidRPr="00763005">
        <w:t>ECB's</w:t>
      </w:r>
      <w:proofErr w:type="spellEnd"/>
      <w:r w:rsidR="004022A2" w:rsidRPr="00763005">
        <w:t xml:space="preserve"> afgørelser; opfordrer ECB til grundigt at vurdere årsagerne til disse høje inflationsniveauer i sin årsberetning sammen med en række politikanbefalinger med henblik på at drage de rette konklusioner fra eventuelle fremtidige inflationskriser;</w:t>
      </w:r>
    </w:p>
    <w:p w14:paraId="72DD1CE7" w14:textId="0CA2A208" w:rsidR="004022A2" w:rsidRDefault="003E6C28" w:rsidP="004022A2">
      <w:pPr>
        <w:pStyle w:val="NormalHanging12a"/>
      </w:pPr>
      <w:r>
        <w:t>10</w:t>
      </w:r>
      <w:r w:rsidR="004022A2" w:rsidRPr="00763005">
        <w:t>.</w:t>
      </w:r>
      <w:r w:rsidR="004022A2" w:rsidRPr="00763005">
        <w:tab/>
        <w:t>glæder sig over faldet i inflationen i forhold til 2022-2023 samt den seneste stabilisering af inflationen; noterer sig, at ECB har sænket indlånsrenten med 200 basispoint i perioden juni 2024 til juni 2025; anerkender den fortsatte risiko for en genopblussen af inflationen; understreger, at yderligere skridt i retning af at lempe pengepolitikken bør være forsigtige, databaserede og styret af prisstabilitet;</w:t>
      </w:r>
    </w:p>
    <w:p w14:paraId="7D509196" w14:textId="5C12B033" w:rsidR="00656B1E" w:rsidRPr="00763005" w:rsidRDefault="003E6C28" w:rsidP="004022A2">
      <w:pPr>
        <w:pStyle w:val="NormalHanging12a"/>
      </w:pPr>
      <w:r>
        <w:t>11</w:t>
      </w:r>
      <w:r w:rsidR="00656B1E" w:rsidRPr="00656B1E">
        <w:t>.</w:t>
      </w:r>
      <w:r w:rsidR="00656B1E" w:rsidRPr="00656B1E">
        <w:tab/>
        <w:t xml:space="preserve">udtrykker bekymring over de høje leveomkostninger, </w:t>
      </w:r>
      <w:r w:rsidR="00280ABB">
        <w:t>eftersom</w:t>
      </w:r>
      <w:r w:rsidR="00656B1E" w:rsidRPr="00656B1E">
        <w:t xml:space="preserve"> fødevare- og energipriser er steget i Europa siden covid-19-pandemien; bemærker, at prisen på et måltid i </w:t>
      </w:r>
      <w:r w:rsidR="00656B1E" w:rsidRPr="00656B1E">
        <w:lastRenderedPageBreak/>
        <w:t>euroområdet i 2025 i gennemsnit var en tredjedel højere end før pandemien</w:t>
      </w:r>
      <w:r w:rsidR="00656B1E">
        <w:rPr>
          <w:rStyle w:val="FootnoteReference"/>
        </w:rPr>
        <w:footnoteReference w:id="4"/>
      </w:r>
      <w:r w:rsidR="00656B1E" w:rsidRPr="00656B1E">
        <w:t>, og at dette især har påvirket lavindkomsthusstande;</w:t>
      </w:r>
    </w:p>
    <w:p w14:paraId="27AAC33B" w14:textId="53FE8D63" w:rsidR="004022A2" w:rsidRPr="00763005" w:rsidRDefault="003E6C28" w:rsidP="004022A2">
      <w:pPr>
        <w:pStyle w:val="NormalHanging12a"/>
      </w:pPr>
      <w:r>
        <w:t>12</w:t>
      </w:r>
      <w:r w:rsidR="004022A2" w:rsidRPr="00763005">
        <w:t>.</w:t>
      </w:r>
      <w:r w:rsidR="004022A2" w:rsidRPr="00763005">
        <w:tab/>
        <w:t>understreger navnlig den potentielt forvridende indvirkning af geopolitisk usikkerhed, energisikkerhedsrisici og handelsforstyrrelser på prisudviklingen;</w:t>
      </w:r>
    </w:p>
    <w:p w14:paraId="5D1064E8" w14:textId="6782E847" w:rsidR="004022A2" w:rsidRPr="00763005" w:rsidRDefault="003E6C28" w:rsidP="004022A2">
      <w:pPr>
        <w:pStyle w:val="NormalHanging12a"/>
      </w:pPr>
      <w:r>
        <w:t>13</w:t>
      </w:r>
      <w:r w:rsidR="004022A2" w:rsidRPr="00763005">
        <w:t>.</w:t>
      </w:r>
      <w:r w:rsidR="004022A2" w:rsidRPr="00763005">
        <w:tab/>
        <w:t>opfordrer ECB til at vurdere hensigtsmæssigheden af sit symmetriske mål, også under hensyntagen til kvalitative faktorer; noterer sig vurderingen af den pengepolitiske strategi for 2025 og opfordrer ECB til regelmæssigt at foretage sådanne vurderinger;</w:t>
      </w:r>
    </w:p>
    <w:p w14:paraId="58FBF424" w14:textId="2415D96A" w:rsidR="004022A2" w:rsidRPr="00763005" w:rsidRDefault="003E6C28" w:rsidP="004022A2">
      <w:pPr>
        <w:pStyle w:val="NormalHanging12a"/>
      </w:pPr>
      <w:r>
        <w:t>14</w:t>
      </w:r>
      <w:r w:rsidR="004022A2" w:rsidRPr="00763005">
        <w:t>.</w:t>
      </w:r>
      <w:r w:rsidR="004022A2" w:rsidRPr="00763005">
        <w:tab/>
        <w:t xml:space="preserve">understreger, at </w:t>
      </w:r>
      <w:proofErr w:type="spellStart"/>
      <w:r w:rsidR="004022A2" w:rsidRPr="00763005">
        <w:t>ECB's</w:t>
      </w:r>
      <w:proofErr w:type="spellEnd"/>
      <w:r w:rsidR="004022A2" w:rsidRPr="00763005">
        <w:t xml:space="preserve"> opkøbsprogrammer er ukonventionelle pengepolitiske redskaber, der har bivirkninger; bemærker især, at programmer til opkøb af aktiver kan forvrænge prissignaler; bemærker, at ECB kun meget gradvist begyndte at reducere sin balance; støtter ECB i yderligere at mindske sin direkte rolle i forbindelse med køb af værdipapirer; opfordrer ECB til gradvist at udfase sine programmer for opkøb af statsobligationer; beklager budgetstillingens indvirkning på </w:t>
      </w:r>
      <w:proofErr w:type="spellStart"/>
      <w:r w:rsidR="004022A2" w:rsidRPr="00763005">
        <w:t>ECB's</w:t>
      </w:r>
      <w:proofErr w:type="spellEnd"/>
      <w:r w:rsidR="004022A2" w:rsidRPr="00763005">
        <w:t xml:space="preserve"> opfyldelse af sit primære mandat;</w:t>
      </w:r>
    </w:p>
    <w:p w14:paraId="54D1FD71" w14:textId="75428761" w:rsidR="004022A2" w:rsidRPr="00763005" w:rsidRDefault="003E6C28" w:rsidP="004022A2">
      <w:pPr>
        <w:pStyle w:val="NormalHanging12a"/>
      </w:pPr>
      <w:r>
        <w:t>15</w:t>
      </w:r>
      <w:r w:rsidR="004022A2" w:rsidRPr="00763005">
        <w:t>.</w:t>
      </w:r>
      <w:r w:rsidR="004022A2" w:rsidRPr="00763005">
        <w:tab/>
        <w:t xml:space="preserve">beklager, at </w:t>
      </w:r>
      <w:proofErr w:type="spellStart"/>
      <w:r w:rsidR="004022A2" w:rsidRPr="00763005">
        <w:t>ECB's</w:t>
      </w:r>
      <w:proofErr w:type="spellEnd"/>
      <w:r w:rsidR="004022A2" w:rsidRPr="00763005">
        <w:t xml:space="preserve"> kortfristede låneordninger i vid udstrækning har fortrængt det private </w:t>
      </w:r>
      <w:proofErr w:type="spellStart"/>
      <w:r w:rsidR="004022A2" w:rsidRPr="00763005">
        <w:t>interbankfinansieringsmarked</w:t>
      </w:r>
      <w:proofErr w:type="spellEnd"/>
      <w:r w:rsidR="004022A2" w:rsidRPr="00763005">
        <w:t xml:space="preserve"> efter den finansielle krise i 2008; opfordrer ECB til at undgå at betale bankindlånsrenter, der ligger over markedsrenten, da dette er i strid med princippet om en åben markedsøkonomi med fri konkurrence, og til at fjerne enhver hindring, der ligger i vejen for genopretningen af kortfristede </w:t>
      </w:r>
      <w:proofErr w:type="spellStart"/>
      <w:r w:rsidR="004022A2" w:rsidRPr="00763005">
        <w:t>usikrede</w:t>
      </w:r>
      <w:proofErr w:type="spellEnd"/>
      <w:r w:rsidR="004022A2" w:rsidRPr="00763005">
        <w:t xml:space="preserve"> </w:t>
      </w:r>
      <w:proofErr w:type="spellStart"/>
      <w:r w:rsidR="004022A2" w:rsidRPr="00763005">
        <w:t>interbankmarkeder</w:t>
      </w:r>
      <w:proofErr w:type="spellEnd"/>
      <w:r w:rsidR="004022A2" w:rsidRPr="00763005">
        <w:t>;</w:t>
      </w:r>
    </w:p>
    <w:p w14:paraId="16F4B544" w14:textId="14508635" w:rsidR="004022A2" w:rsidRPr="00763005" w:rsidRDefault="003E6C28" w:rsidP="004022A2">
      <w:pPr>
        <w:pStyle w:val="NormalHanging12a"/>
      </w:pPr>
      <w:r>
        <w:t>16</w:t>
      </w:r>
      <w:r w:rsidR="004022A2" w:rsidRPr="00763005">
        <w:t>.</w:t>
      </w:r>
      <w:r w:rsidR="004022A2" w:rsidRPr="00763005">
        <w:tab/>
        <w:t>understreger betydningen af at sikre høje standarder for kvalitetskrav til sikkerhedsstillelse i låneaftaler med ECB; anerkender, at standarder for sikkerhedsstillelse kan bruges som et værktøj til pengepolitisk transmission;</w:t>
      </w:r>
    </w:p>
    <w:p w14:paraId="44DAA3AE" w14:textId="70395D5E" w:rsidR="004022A2" w:rsidRPr="00763005" w:rsidRDefault="003E6C28" w:rsidP="004022A2">
      <w:pPr>
        <w:pStyle w:val="NormalHanging12a"/>
      </w:pPr>
      <w:r>
        <w:t>17</w:t>
      </w:r>
      <w:r w:rsidR="004022A2" w:rsidRPr="00763005">
        <w:t>.</w:t>
      </w:r>
      <w:r w:rsidR="004022A2" w:rsidRPr="00763005">
        <w:tab/>
        <w:t>støtter ECB i dens bestræbelser på at medtage ejerboliger i sin overvågning af prisindekser af hensyn til både repræsentativitet og sammenlignelighed på tværs af landene i euroområdet, under forudsætning af at der anvendes en harmoniseret og metodisk robust tilgang;</w:t>
      </w:r>
    </w:p>
    <w:p w14:paraId="12C629F9" w14:textId="77777777" w:rsidR="004022A2" w:rsidRPr="00763005" w:rsidRDefault="004022A2" w:rsidP="004022A2">
      <w:pPr>
        <w:pStyle w:val="Normal12a"/>
      </w:pPr>
      <w:r w:rsidRPr="00763005">
        <w:rPr>
          <w:b/>
          <w:i/>
        </w:rPr>
        <w:t>Sekundært mål: støtte de generelle økonomiske politikker i Unionen</w:t>
      </w:r>
    </w:p>
    <w:p w14:paraId="5744EE2D" w14:textId="63BFCF3D" w:rsidR="004022A2" w:rsidRPr="00763005" w:rsidRDefault="003E6C28" w:rsidP="004022A2">
      <w:pPr>
        <w:pStyle w:val="NormalHanging12a"/>
      </w:pPr>
      <w:r>
        <w:t>18</w:t>
      </w:r>
      <w:r w:rsidR="004022A2" w:rsidRPr="00763005">
        <w:t>.</w:t>
      </w:r>
      <w:r w:rsidR="004022A2" w:rsidRPr="00763005">
        <w:tab/>
        <w:t>noterer sig, at ECB i henhold til artikel 127, stk. 1, i TEUF, skal støtte de generelle økonomiske politikker i Unionen med henblik på at bidrage til gennemførelsen af Unionens mål som fastsat i artikel 3 i traktaten om Den Europæiske Union, så længe dens forpligtelse til at sikre prisstabilitet ikke berøres;</w:t>
      </w:r>
    </w:p>
    <w:p w14:paraId="0A722172" w14:textId="507E4D2C" w:rsidR="004022A2" w:rsidRPr="00763005" w:rsidRDefault="003E6C28" w:rsidP="004022A2">
      <w:pPr>
        <w:pStyle w:val="NormalHanging12a"/>
      </w:pPr>
      <w:r>
        <w:t>19</w:t>
      </w:r>
      <w:r w:rsidR="004022A2" w:rsidRPr="00763005">
        <w:t>.</w:t>
      </w:r>
      <w:r w:rsidR="004022A2" w:rsidRPr="00763005">
        <w:tab/>
        <w:t>minder om, at Eurosystemet er baseret på princippet om monetær dominans;</w:t>
      </w:r>
    </w:p>
    <w:p w14:paraId="5779D7DF" w14:textId="18636E0C" w:rsidR="004022A2" w:rsidRPr="00763005" w:rsidRDefault="003E6C28" w:rsidP="004022A2">
      <w:pPr>
        <w:pStyle w:val="NormalHanging12a"/>
      </w:pPr>
      <w:r>
        <w:t>20</w:t>
      </w:r>
      <w:r w:rsidR="004022A2" w:rsidRPr="00763005">
        <w:t>.</w:t>
      </w:r>
      <w:r w:rsidR="004022A2" w:rsidRPr="00763005">
        <w:tab/>
        <w:t xml:space="preserve">fremhæver i forbindelse med Den Økonomiske og Monetære Union og EU's ramme for økonomisk styring betydningen af sunde og holdbare offentlige finanser for at modstå et højrentemiljø, supplere </w:t>
      </w:r>
      <w:proofErr w:type="spellStart"/>
      <w:r w:rsidR="004022A2" w:rsidRPr="00763005">
        <w:t>ECB's</w:t>
      </w:r>
      <w:proofErr w:type="spellEnd"/>
      <w:r w:rsidR="004022A2" w:rsidRPr="00763005">
        <w:t xml:space="preserve"> bestræbelser på at holde inflationen nede, opretholde en stabil økonomi og forblive modstandsdygtig over for fremtidige økonomiske og finansielle chok;</w:t>
      </w:r>
    </w:p>
    <w:p w14:paraId="785B6E75" w14:textId="39818CC4" w:rsidR="004022A2" w:rsidRPr="00763005" w:rsidRDefault="003E6C28" w:rsidP="004022A2">
      <w:pPr>
        <w:pStyle w:val="NormalHanging12a"/>
      </w:pPr>
      <w:r>
        <w:lastRenderedPageBreak/>
        <w:t>21</w:t>
      </w:r>
      <w:r w:rsidR="004022A2" w:rsidRPr="00763005">
        <w:t>.</w:t>
      </w:r>
      <w:r w:rsidR="004022A2" w:rsidRPr="00763005">
        <w:tab/>
        <w:t>noterer sig de divergerende Target2-balancer som følge af grænseoverskridende transaktioner; bemærker de potentielle risici for, at Target2-balancerne bliver strukturelle, og foreslår, at man overvejer ikke-pengepolitiske justeringer;</w:t>
      </w:r>
    </w:p>
    <w:p w14:paraId="66A986A6" w14:textId="3A01FCD7" w:rsidR="004022A2" w:rsidRPr="00763005" w:rsidRDefault="003E6C28" w:rsidP="004022A2">
      <w:pPr>
        <w:pStyle w:val="NormalHanging12a"/>
      </w:pPr>
      <w:r>
        <w:t>22</w:t>
      </w:r>
      <w:r w:rsidR="004022A2" w:rsidRPr="00763005">
        <w:t>.</w:t>
      </w:r>
      <w:r w:rsidR="004022A2" w:rsidRPr="00763005">
        <w:tab/>
        <w:t xml:space="preserve">understreger, at ECB </w:t>
      </w:r>
      <w:r w:rsidR="00656B1E" w:rsidRPr="00656B1E">
        <w:t xml:space="preserve">kun </w:t>
      </w:r>
      <w:r w:rsidR="004022A2" w:rsidRPr="00763005">
        <w:t>bør overveje de potentielle virkninger af klimaændringer ud fra et prisstabilitetsmæssigt perspektiv og inden for sit mandat;</w:t>
      </w:r>
    </w:p>
    <w:p w14:paraId="109F69CC" w14:textId="325D96D4" w:rsidR="004022A2" w:rsidRPr="00763005" w:rsidRDefault="003E6C28" w:rsidP="004022A2">
      <w:pPr>
        <w:pStyle w:val="NormalHanging12a"/>
      </w:pPr>
      <w:r>
        <w:t>23</w:t>
      </w:r>
      <w:r w:rsidR="004022A2" w:rsidRPr="00763005">
        <w:t>.</w:t>
      </w:r>
      <w:r w:rsidR="004022A2" w:rsidRPr="00763005">
        <w:tab/>
        <w:t xml:space="preserve">noterer sig, at konceptet med markedsneutralitet vedrører princippet om "en åben markedsøkonomi med fri konkurrence"; opfordrer ECB til, samtidig med at dens uafhængighed </w:t>
      </w:r>
      <w:proofErr w:type="gramStart"/>
      <w:r w:rsidR="004022A2" w:rsidRPr="00763005">
        <w:t>respekteres,</w:t>
      </w:r>
      <w:proofErr w:type="gramEnd"/>
      <w:r w:rsidR="004022A2" w:rsidRPr="00763005">
        <w:t xml:space="preserve"> at afhjælpe markedssvigt og sikre en effektiv ressourceallokering på lang sigt, samtidig med at den forbliver så apolitisk som muligt og respekterer markedsneutraliteten; fremhæver, at sådanne beslutninger ikke må træffes på bekostning af gennemførelsen af </w:t>
      </w:r>
      <w:proofErr w:type="spellStart"/>
      <w:r w:rsidR="004022A2" w:rsidRPr="00763005">
        <w:t>ECB's</w:t>
      </w:r>
      <w:proofErr w:type="spellEnd"/>
      <w:r w:rsidR="004022A2" w:rsidRPr="00763005">
        <w:t xml:space="preserve"> mandat;</w:t>
      </w:r>
    </w:p>
    <w:p w14:paraId="4EAA6244" w14:textId="4B700B79" w:rsidR="004022A2" w:rsidRDefault="003E6C28" w:rsidP="004022A2">
      <w:pPr>
        <w:pStyle w:val="NormalHanging12a"/>
      </w:pPr>
      <w:r>
        <w:t>24</w:t>
      </w:r>
      <w:r w:rsidR="004022A2" w:rsidRPr="00763005">
        <w:t>.</w:t>
      </w:r>
      <w:r w:rsidR="004022A2" w:rsidRPr="00763005">
        <w:tab/>
        <w:t xml:space="preserve">bemærker, at </w:t>
      </w:r>
      <w:proofErr w:type="spellStart"/>
      <w:r w:rsidR="004022A2" w:rsidRPr="00763005">
        <w:t>ECB's</w:t>
      </w:r>
      <w:proofErr w:type="spellEnd"/>
      <w:r w:rsidR="004022A2" w:rsidRPr="00763005">
        <w:t xml:space="preserve"> pengepolitik, der har til formål at opfylde dens primære mandat, er underlagt en proportionalitetsvurdering;</w:t>
      </w:r>
    </w:p>
    <w:p w14:paraId="7988BC84" w14:textId="77777777" w:rsidR="004022A2" w:rsidRPr="00763005" w:rsidRDefault="004022A2" w:rsidP="004022A2">
      <w:pPr>
        <w:pStyle w:val="Normal12a"/>
      </w:pPr>
      <w:r w:rsidRPr="00763005">
        <w:rPr>
          <w:b/>
          <w:i/>
        </w:rPr>
        <w:t>Andre aspekter</w:t>
      </w:r>
    </w:p>
    <w:p w14:paraId="72349FD0" w14:textId="77777777" w:rsidR="00DD173E" w:rsidRDefault="00DD173E" w:rsidP="004022A2">
      <w:pPr>
        <w:pStyle w:val="NormalHanging12a"/>
      </w:pPr>
      <w:r w:rsidRPr="00DD173E">
        <w:t>25.</w:t>
      </w:r>
      <w:r w:rsidRPr="00DD173E">
        <w:tab/>
        <w:t>minder om, at lige adgang til betalingstjenester er afgørende for deltagelse i det økonomiske liv; understreger, at den stigende digitalisering af betalinger, hvis den udelukkende overlades til private aktører og aktører uden for EU, risikerer at skabe nye former for udelukkelse for både brugere og erhvervsdrivende; understreger, at en digital euro online og offline bør bidrage til at sikre universel adgang til betalinger og bred accept blandt erhvervsdrivende i hele EU, samtidig med at standarderne for privatlivets fred og databeskyttelse respekteres til fulde;</w:t>
      </w:r>
    </w:p>
    <w:p w14:paraId="0DB510C9" w14:textId="754134D5" w:rsidR="004022A2" w:rsidRPr="00763005" w:rsidRDefault="003E6C28" w:rsidP="004022A2">
      <w:pPr>
        <w:pStyle w:val="NormalHanging12a"/>
      </w:pPr>
      <w:r>
        <w:t>26</w:t>
      </w:r>
      <w:r w:rsidR="004022A2" w:rsidRPr="00763005">
        <w:t>.</w:t>
      </w:r>
      <w:r w:rsidR="004022A2" w:rsidRPr="00763005">
        <w:tab/>
      </w:r>
      <w:r w:rsidR="00656B1E" w:rsidRPr="00656B1E">
        <w:t xml:space="preserve">glæder </w:t>
      </w:r>
      <w:r w:rsidR="004022A2" w:rsidRPr="00763005">
        <w:t xml:space="preserve">sig </w:t>
      </w:r>
      <w:r w:rsidR="00656B1E">
        <w:t xml:space="preserve">over </w:t>
      </w:r>
      <w:r w:rsidR="004022A2" w:rsidRPr="00763005">
        <w:t>de igangværende drøftelser om den digitale euro;</w:t>
      </w:r>
      <w:r w:rsidR="00656B1E">
        <w:t xml:space="preserve"> </w:t>
      </w:r>
      <w:r w:rsidR="00656B1E" w:rsidRPr="00656B1E">
        <w:t>understreger, at det i en kontekst med øget geopolitisk usikkerhed og overdreven afhængighed af betalingsinfrastrukturer uden for EU er afgørende med indførelsen af en digital euro, der er udformet til at supplere kontant</w:t>
      </w:r>
      <w:r w:rsidR="00280ABB">
        <w:t>er</w:t>
      </w:r>
      <w:r w:rsidR="00656B1E" w:rsidRPr="00656B1E">
        <w:t xml:space="preserve"> og private banking-tjenester, for at styrke EU's monetære suverænitet, mindske fragmenteringen af detailbetalinger og understøtte det indre markeds integritet og modstandsdygtighed;</w:t>
      </w:r>
    </w:p>
    <w:p w14:paraId="7651BA2B" w14:textId="6194CCE2" w:rsidR="004022A2" w:rsidRPr="00763005" w:rsidRDefault="003E6C28" w:rsidP="004022A2">
      <w:pPr>
        <w:pStyle w:val="NormalHanging12a"/>
      </w:pPr>
      <w:r>
        <w:t>27</w:t>
      </w:r>
      <w:r w:rsidR="004022A2" w:rsidRPr="00763005">
        <w:t>.</w:t>
      </w:r>
      <w:r w:rsidR="004022A2" w:rsidRPr="00763005">
        <w:tab/>
        <w:t>glæder sig over de igangværende kortfristede (Pontes) og langfristede (</w:t>
      </w:r>
      <w:proofErr w:type="spellStart"/>
      <w:r w:rsidR="004022A2" w:rsidRPr="00763005">
        <w:t>Appia</w:t>
      </w:r>
      <w:proofErr w:type="spellEnd"/>
      <w:r w:rsidR="004022A2" w:rsidRPr="00763005">
        <w:t xml:space="preserve">) spor for projekter for </w:t>
      </w:r>
      <w:proofErr w:type="spellStart"/>
      <w:r w:rsidR="004022A2" w:rsidRPr="00763005">
        <w:t>distributed</w:t>
      </w:r>
      <w:proofErr w:type="spellEnd"/>
      <w:r w:rsidR="004022A2" w:rsidRPr="00763005">
        <w:t xml:space="preserve"> </w:t>
      </w:r>
      <w:proofErr w:type="spellStart"/>
      <w:r w:rsidR="004022A2" w:rsidRPr="00763005">
        <w:t>ledger</w:t>
      </w:r>
      <w:proofErr w:type="spellEnd"/>
      <w:r w:rsidR="004022A2" w:rsidRPr="00763005">
        <w:t>-teknologi til engrosafvikling i centralbankpenge;</w:t>
      </w:r>
    </w:p>
    <w:p w14:paraId="38600AF1" w14:textId="2484DD89" w:rsidR="004022A2" w:rsidRPr="00763005" w:rsidRDefault="003E6C28" w:rsidP="004022A2">
      <w:pPr>
        <w:pStyle w:val="NormalHanging12a"/>
      </w:pPr>
      <w:r>
        <w:t>28</w:t>
      </w:r>
      <w:r w:rsidR="004022A2" w:rsidRPr="00763005">
        <w:t>.</w:t>
      </w:r>
      <w:r w:rsidR="004022A2" w:rsidRPr="00763005">
        <w:tab/>
        <w:t>understreger betydningen af at fastholde kontanternes rolle; noterer sig de igangværende drøftelser om forslaget om status som lovligt betalingsmiddel;</w:t>
      </w:r>
    </w:p>
    <w:p w14:paraId="57909B30" w14:textId="183385AC" w:rsidR="004022A2" w:rsidRPr="00763005" w:rsidRDefault="003E6C28" w:rsidP="004022A2">
      <w:pPr>
        <w:pStyle w:val="NormalHanging12a"/>
      </w:pPr>
      <w:r>
        <w:t>29</w:t>
      </w:r>
      <w:r w:rsidR="004022A2" w:rsidRPr="00763005">
        <w:t>.</w:t>
      </w:r>
      <w:r w:rsidR="004022A2" w:rsidRPr="00763005">
        <w:tab/>
        <w:t xml:space="preserve">opfordrer ECB til at intensivere overvågningen af </w:t>
      </w:r>
      <w:proofErr w:type="spellStart"/>
      <w:r w:rsidR="004022A2" w:rsidRPr="00763005">
        <w:t>kryptoaktiver</w:t>
      </w:r>
      <w:proofErr w:type="spellEnd"/>
      <w:r w:rsidR="004022A2" w:rsidRPr="00763005">
        <w:t xml:space="preserve"> såsom </w:t>
      </w:r>
      <w:proofErr w:type="spellStart"/>
      <w:r w:rsidR="004022A2" w:rsidRPr="00763005">
        <w:t>stablecoins</w:t>
      </w:r>
      <w:proofErr w:type="spellEnd"/>
      <w:r w:rsidR="004022A2" w:rsidRPr="00763005">
        <w:t>;</w:t>
      </w:r>
    </w:p>
    <w:p w14:paraId="619E5FE5" w14:textId="0B9BD41B" w:rsidR="004022A2" w:rsidRPr="00763005" w:rsidRDefault="003E6C28" w:rsidP="004022A2">
      <w:pPr>
        <w:pStyle w:val="NormalHanging12a"/>
      </w:pPr>
      <w:r>
        <w:t>30</w:t>
      </w:r>
      <w:r w:rsidR="004022A2" w:rsidRPr="00763005">
        <w:t>.</w:t>
      </w:r>
      <w:r w:rsidR="004022A2" w:rsidRPr="00763005">
        <w:tab/>
        <w:t>støtter ECB i dens bestræbelser på at imødekomme euroens internationale rolle gennem bl.a. tilstrækkelige valutaswap- og genkøbsaftaler;</w:t>
      </w:r>
    </w:p>
    <w:p w14:paraId="13D1BDC5" w14:textId="7424C142" w:rsidR="004022A2" w:rsidRPr="00763005" w:rsidRDefault="003E6C28" w:rsidP="004022A2">
      <w:pPr>
        <w:pStyle w:val="NormalHanging12a"/>
      </w:pPr>
      <w:r>
        <w:t>31</w:t>
      </w:r>
      <w:r w:rsidR="004022A2" w:rsidRPr="00763005">
        <w:t>.</w:t>
      </w:r>
      <w:r w:rsidR="004022A2" w:rsidRPr="00763005">
        <w:tab/>
        <w:t>hilser Republikken Bulgarien velkommen som det 21. medlem af euroområdet med virkning fra den 1. januar 2026;</w:t>
      </w:r>
    </w:p>
    <w:p w14:paraId="7069DF6B" w14:textId="4116FCAF" w:rsidR="004022A2" w:rsidRPr="00763005" w:rsidRDefault="003E6C28" w:rsidP="004022A2">
      <w:pPr>
        <w:pStyle w:val="NormalHanging12a"/>
      </w:pPr>
      <w:r>
        <w:t>32</w:t>
      </w:r>
      <w:r w:rsidR="004022A2" w:rsidRPr="00763005">
        <w:t>.</w:t>
      </w:r>
      <w:r w:rsidR="004022A2" w:rsidRPr="00763005">
        <w:tab/>
        <w:t xml:space="preserve">udtrykker bekymring over den midlertidige afbrydelse af </w:t>
      </w:r>
      <w:proofErr w:type="spellStart"/>
      <w:r w:rsidR="004022A2" w:rsidRPr="00763005">
        <w:t>ECB's</w:t>
      </w:r>
      <w:proofErr w:type="spellEnd"/>
      <w:r w:rsidR="004022A2" w:rsidRPr="00763005">
        <w:t xml:space="preserve"> realtidsbruttoafviklingssystem T2 og T2S i februar 2025; opfordrer ECB til nøje at overvåge og sikre, at afviklingssystemerne fungerer korrekt;</w:t>
      </w:r>
    </w:p>
    <w:p w14:paraId="28ACF632" w14:textId="29E89B38" w:rsidR="004022A2" w:rsidRPr="00763005" w:rsidRDefault="003E6C28" w:rsidP="004022A2">
      <w:pPr>
        <w:pStyle w:val="NormalHanging12a"/>
      </w:pPr>
      <w:r>
        <w:lastRenderedPageBreak/>
        <w:t>33</w:t>
      </w:r>
      <w:r w:rsidR="004022A2" w:rsidRPr="00763005">
        <w:t>.</w:t>
      </w:r>
      <w:r w:rsidR="004022A2" w:rsidRPr="00763005">
        <w:tab/>
        <w:t>udtrykker sin bekymring over de på hinanden følgende tab, som ECB har lidt i 2023 og 2024 på grund af renterisiko; bemærker, at disse tab ikke har kompromitteret Eurosystemets operationelle evne til at gennemføre sin pengepolitik;</w:t>
      </w:r>
    </w:p>
    <w:p w14:paraId="0E6DAC6A" w14:textId="5B977E6C" w:rsidR="004022A2" w:rsidRPr="00763005" w:rsidRDefault="003E6C28" w:rsidP="004022A2">
      <w:pPr>
        <w:pStyle w:val="NormalHanging12a"/>
      </w:pPr>
      <w:r>
        <w:t>34</w:t>
      </w:r>
      <w:r w:rsidR="004022A2" w:rsidRPr="00763005">
        <w:t>.</w:t>
      </w:r>
      <w:r w:rsidR="004022A2" w:rsidRPr="00763005">
        <w:tab/>
        <w:t xml:space="preserve">støtter </w:t>
      </w:r>
      <w:proofErr w:type="spellStart"/>
      <w:r w:rsidR="004022A2" w:rsidRPr="00763005">
        <w:t>ECB's</w:t>
      </w:r>
      <w:proofErr w:type="spellEnd"/>
      <w:r w:rsidR="004022A2" w:rsidRPr="00763005">
        <w:t xml:space="preserve"> rolle med hensyn til at fremme finansiel stabilitet inden for den fælles tilsynsmekanisme og </w:t>
      </w:r>
      <w:proofErr w:type="spellStart"/>
      <w:r w:rsidR="004022A2" w:rsidRPr="00763005">
        <w:t>ECB's</w:t>
      </w:r>
      <w:proofErr w:type="spellEnd"/>
      <w:r w:rsidR="004022A2" w:rsidRPr="00763005">
        <w:t xml:space="preserve"> funktion som långiver i sidste instans til solvente institutioner, mod god sikkerhedsstillelse og til strafrenter, for at sikre likviditet og tillid under kriser;</w:t>
      </w:r>
    </w:p>
    <w:p w14:paraId="207C2697" w14:textId="5DD9CF39" w:rsidR="004022A2" w:rsidRPr="00763005" w:rsidRDefault="003E6C28" w:rsidP="004022A2">
      <w:pPr>
        <w:pStyle w:val="NormalHanging12a"/>
      </w:pPr>
      <w:r>
        <w:t>35</w:t>
      </w:r>
      <w:r w:rsidR="004022A2" w:rsidRPr="00763005">
        <w:t>.</w:t>
      </w:r>
      <w:r w:rsidR="004022A2" w:rsidRPr="00763005">
        <w:tab/>
        <w:t>støtter ECB i dens bestræbelser på at forbedre den finansielle forståelse i EU;</w:t>
      </w:r>
    </w:p>
    <w:p w14:paraId="55E13EA7" w14:textId="07EF9D52" w:rsidR="004022A2" w:rsidRPr="00763005" w:rsidRDefault="003E6C28" w:rsidP="004022A2">
      <w:pPr>
        <w:pStyle w:val="NormalHanging12a"/>
      </w:pPr>
      <w:r>
        <w:t>36</w:t>
      </w:r>
      <w:r w:rsidR="004022A2" w:rsidRPr="00763005">
        <w:t>.</w:t>
      </w:r>
      <w:r w:rsidR="004022A2" w:rsidRPr="00763005">
        <w:tab/>
        <w:t xml:space="preserve">glæder sig over </w:t>
      </w:r>
      <w:proofErr w:type="spellStart"/>
      <w:r w:rsidR="004022A2" w:rsidRPr="00763005">
        <w:t>ECB's</w:t>
      </w:r>
      <w:proofErr w:type="spellEnd"/>
      <w:r w:rsidR="004022A2" w:rsidRPr="00763005">
        <w:t xml:space="preserve"> tilsagn om forenklingsbestræbelser, f.eks. med oprettelsen af </w:t>
      </w:r>
      <w:proofErr w:type="spellStart"/>
      <w:r w:rsidR="004022A2" w:rsidRPr="00763005">
        <w:t>ECB's</w:t>
      </w:r>
      <w:proofErr w:type="spellEnd"/>
      <w:r w:rsidR="004022A2" w:rsidRPr="00763005">
        <w:t xml:space="preserve"> taskforce på højt plan om forenkling; påpeger behovet for et højt ambitionsniveau i taskforcens arbejde og opfølgningen heraf og glæder sig over </w:t>
      </w:r>
      <w:proofErr w:type="spellStart"/>
      <w:r w:rsidR="004022A2" w:rsidRPr="00763005">
        <w:t>ECB's</w:t>
      </w:r>
      <w:proofErr w:type="spellEnd"/>
      <w:r w:rsidR="004022A2" w:rsidRPr="00763005">
        <w:t xml:space="preserve"> indgående drøftelser med Parlamentet;</w:t>
      </w:r>
    </w:p>
    <w:p w14:paraId="3D2D77AB" w14:textId="0E72FD94" w:rsidR="004022A2" w:rsidRPr="00763005" w:rsidRDefault="003E6C28" w:rsidP="004022A2">
      <w:pPr>
        <w:pStyle w:val="NormalHanging12a"/>
      </w:pPr>
      <w:r>
        <w:t>37</w:t>
      </w:r>
      <w:r w:rsidR="004022A2" w:rsidRPr="00763005">
        <w:t>.</w:t>
      </w:r>
      <w:r w:rsidR="004022A2" w:rsidRPr="00763005">
        <w:tab/>
        <w:t xml:space="preserve">opfordrer ECB til at fremme en åben og konstruktiv intern dialog; opfordrer til yderligere forbedring af rammerne for personalerepræsentation og </w:t>
      </w:r>
      <w:proofErr w:type="spellStart"/>
      <w:r w:rsidR="004022A2" w:rsidRPr="00763005">
        <w:t>ECB's</w:t>
      </w:r>
      <w:proofErr w:type="spellEnd"/>
      <w:r w:rsidR="004022A2" w:rsidRPr="00763005">
        <w:t xml:space="preserve"> interne ramme for whistleblowing;</w:t>
      </w:r>
    </w:p>
    <w:p w14:paraId="14549D49" w14:textId="6C76BF60" w:rsidR="004022A2" w:rsidRPr="00763005" w:rsidRDefault="003E6C28" w:rsidP="004022A2">
      <w:pPr>
        <w:pStyle w:val="NormalHanging12a"/>
      </w:pPr>
      <w:r>
        <w:t>38</w:t>
      </w:r>
      <w:r w:rsidR="004022A2" w:rsidRPr="00763005">
        <w:t>.</w:t>
      </w:r>
      <w:r w:rsidR="004022A2" w:rsidRPr="00763005">
        <w:tab/>
        <w:t xml:space="preserve">gentager, at udnævnelserne til </w:t>
      </w:r>
      <w:proofErr w:type="spellStart"/>
      <w:r w:rsidR="004022A2" w:rsidRPr="00763005">
        <w:t>ECB's</w:t>
      </w:r>
      <w:proofErr w:type="spellEnd"/>
      <w:r w:rsidR="004022A2" w:rsidRPr="00763005">
        <w:t xml:space="preserve"> direktion bør være kønsafbalancerede, merit- og kvalifikationsbaserede, at Parlamentet bør forelægges de endelige lister med kandidater, og at personer af alle køn bør have lige muligheder for at fungere som chefer for deres respektive nationale centralbanker;</w:t>
      </w:r>
    </w:p>
    <w:p w14:paraId="0D22BBE9" w14:textId="2298B0F3" w:rsidR="004022A2" w:rsidRPr="00763005" w:rsidRDefault="003E6C28" w:rsidP="004022A2">
      <w:pPr>
        <w:pStyle w:val="NormalHanging12a"/>
      </w:pPr>
      <w:r>
        <w:t>39</w:t>
      </w:r>
      <w:r w:rsidR="004022A2" w:rsidRPr="00763005">
        <w:t>.</w:t>
      </w:r>
      <w:r w:rsidR="004022A2" w:rsidRPr="00763005">
        <w:tab/>
        <w:t xml:space="preserve">opfordrer ESCB til at fortsætte og styrke sine dialoger med de nationale parlamenter, hvilket efter dets opfattelse vil styrke </w:t>
      </w:r>
      <w:proofErr w:type="spellStart"/>
      <w:r w:rsidR="004022A2" w:rsidRPr="00763005">
        <w:t>ESCB's</w:t>
      </w:r>
      <w:proofErr w:type="spellEnd"/>
      <w:r w:rsidR="004022A2" w:rsidRPr="00763005">
        <w:t xml:space="preserve"> legitimitet og politikker;</w:t>
      </w:r>
    </w:p>
    <w:p w14:paraId="088F8A94" w14:textId="77777777" w:rsidR="004022A2" w:rsidRPr="00763005" w:rsidRDefault="004022A2" w:rsidP="004022A2">
      <w:pPr>
        <w:pStyle w:val="NormalCenter12a"/>
      </w:pPr>
      <w:r w:rsidRPr="00763005">
        <w:t>°</w:t>
      </w:r>
    </w:p>
    <w:p w14:paraId="05C3F456" w14:textId="77777777" w:rsidR="004022A2" w:rsidRPr="00763005" w:rsidRDefault="004022A2" w:rsidP="004022A2">
      <w:pPr>
        <w:pStyle w:val="NormalCenter12a"/>
      </w:pPr>
      <w:r w:rsidRPr="00763005">
        <w:t>°</w:t>
      </w:r>
      <w:r w:rsidRPr="00763005">
        <w:tab/>
        <w:t>°</w:t>
      </w:r>
    </w:p>
    <w:p w14:paraId="49812CEE" w14:textId="56C9237B" w:rsidR="0041632C" w:rsidRPr="00763005" w:rsidRDefault="003E6C28" w:rsidP="0041632C">
      <w:pPr>
        <w:pStyle w:val="NormalHanging12a"/>
      </w:pPr>
      <w:r>
        <w:t>40</w:t>
      </w:r>
      <w:r w:rsidR="004022A2" w:rsidRPr="00763005">
        <w:t>.</w:t>
      </w:r>
      <w:r w:rsidR="004022A2" w:rsidRPr="00763005">
        <w:tab/>
        <w:t>pålægger sin formand at sende denne beslutning til Rådet og Kommissionen.</w:t>
      </w:r>
    </w:p>
    <w:p w14:paraId="2C6508E3" w14:textId="7CADC0CE" w:rsidR="00E365E1" w:rsidRPr="00763005" w:rsidRDefault="00E365E1" w:rsidP="000E7692"/>
    <w:sectPr w:rsidR="00E365E1" w:rsidRPr="00763005" w:rsidSect="0041632C">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FB2B76" w14:textId="77777777" w:rsidR="000E7692" w:rsidRPr="0041632C" w:rsidRDefault="000E7692">
      <w:r w:rsidRPr="0041632C">
        <w:separator/>
      </w:r>
    </w:p>
  </w:endnote>
  <w:endnote w:type="continuationSeparator" w:id="0">
    <w:p w14:paraId="615E3B30" w14:textId="77777777" w:rsidR="000E7692" w:rsidRPr="0041632C" w:rsidRDefault="000E7692">
      <w:r w:rsidRPr="004163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9C01EE" w14:textId="77777777" w:rsidR="000E7692" w:rsidRPr="0041632C" w:rsidRDefault="000E7692">
      <w:r w:rsidRPr="0041632C">
        <w:separator/>
      </w:r>
    </w:p>
  </w:footnote>
  <w:footnote w:type="continuationSeparator" w:id="0">
    <w:p w14:paraId="0D474D95" w14:textId="77777777" w:rsidR="000E7692" w:rsidRPr="0041632C" w:rsidRDefault="000E7692">
      <w:r w:rsidRPr="0041632C">
        <w:continuationSeparator/>
      </w:r>
    </w:p>
  </w:footnote>
  <w:footnote w:id="1">
    <w:p w14:paraId="68D48552" w14:textId="11324815" w:rsidR="000E6BC7" w:rsidRPr="0041632C" w:rsidRDefault="000E6BC7" w:rsidP="0041632C">
      <w:pPr>
        <w:pStyle w:val="FootnoteText"/>
        <w:ind w:left="567" w:hanging="567"/>
        <w:rPr>
          <w:sz w:val="24"/>
          <w:lang w:val="da-DK"/>
        </w:rPr>
      </w:pPr>
      <w:r>
        <w:rPr>
          <w:rStyle w:val="FootnoteReference"/>
        </w:rPr>
        <w:footnoteRef/>
      </w:r>
      <w:r w:rsidRPr="00DD173E">
        <w:rPr>
          <w:sz w:val="24"/>
          <w:vertAlign w:val="superscript"/>
          <w:lang w:val="en-GB"/>
        </w:rPr>
        <w:t xml:space="preserve"> </w:t>
      </w:r>
      <w:r w:rsidRPr="00DD173E">
        <w:rPr>
          <w:sz w:val="24"/>
          <w:vertAlign w:val="superscript"/>
          <w:lang w:val="en-GB"/>
        </w:rPr>
        <w:tab/>
      </w:r>
      <w:r w:rsidRPr="00DD173E">
        <w:rPr>
          <w:sz w:val="24"/>
          <w:lang w:val="en-GB"/>
        </w:rPr>
        <w:t xml:space="preserve">Briefing – ‘Turning point or continuity? </w:t>
      </w:r>
      <w:r w:rsidRPr="0041632C">
        <w:rPr>
          <w:sz w:val="24"/>
          <w:lang w:val="da-DK"/>
        </w:rPr>
        <w:t xml:space="preserve">The </w:t>
      </w:r>
      <w:proofErr w:type="spellStart"/>
      <w:r w:rsidRPr="0041632C">
        <w:rPr>
          <w:sz w:val="24"/>
          <w:lang w:val="da-DK"/>
        </w:rPr>
        <w:t>ECB's</w:t>
      </w:r>
      <w:proofErr w:type="spellEnd"/>
      <w:r w:rsidRPr="0041632C">
        <w:rPr>
          <w:sz w:val="24"/>
          <w:lang w:val="da-DK"/>
        </w:rPr>
        <w:t xml:space="preserve"> 2025 </w:t>
      </w:r>
      <w:proofErr w:type="spellStart"/>
      <w:r w:rsidRPr="0041632C">
        <w:rPr>
          <w:sz w:val="24"/>
          <w:lang w:val="da-DK"/>
        </w:rPr>
        <w:t>strategy</w:t>
      </w:r>
      <w:proofErr w:type="spellEnd"/>
      <w:r w:rsidRPr="0041632C">
        <w:rPr>
          <w:sz w:val="24"/>
          <w:lang w:val="da-DK"/>
        </w:rPr>
        <w:t xml:space="preserve"> </w:t>
      </w:r>
      <w:proofErr w:type="spellStart"/>
      <w:r w:rsidRPr="0041632C">
        <w:rPr>
          <w:sz w:val="24"/>
          <w:lang w:val="da-DK"/>
        </w:rPr>
        <w:t>review</w:t>
      </w:r>
      <w:proofErr w:type="spellEnd"/>
      <w:r w:rsidRPr="0041632C">
        <w:rPr>
          <w:sz w:val="24"/>
          <w:lang w:val="da-DK"/>
        </w:rPr>
        <w:t>", Europa-Parlamentet, Generaldirektoratet for Økonomi, Omstilling og Industri, Enheden for Kontrol med den Økonomiske Styring og ØMU'en (EGOV), oktober 2025.</w:t>
      </w:r>
    </w:p>
  </w:footnote>
  <w:footnote w:id="2">
    <w:p w14:paraId="1838FE70" w14:textId="640E304D" w:rsidR="000E6BC7" w:rsidRPr="0041632C" w:rsidRDefault="000E6BC7" w:rsidP="0041632C">
      <w:pPr>
        <w:pStyle w:val="FootnoteText"/>
        <w:ind w:left="567" w:hanging="567"/>
        <w:rPr>
          <w:sz w:val="24"/>
          <w:lang w:val="da-DK"/>
        </w:rPr>
      </w:pPr>
      <w:r>
        <w:rPr>
          <w:rStyle w:val="FootnoteReference"/>
        </w:rPr>
        <w:footnoteRef/>
      </w:r>
      <w:r w:rsidRPr="0041632C">
        <w:rPr>
          <w:sz w:val="24"/>
          <w:vertAlign w:val="superscript"/>
          <w:lang w:val="da-DK"/>
        </w:rPr>
        <w:t xml:space="preserve"> </w:t>
      </w:r>
      <w:r w:rsidRPr="0041632C">
        <w:rPr>
          <w:sz w:val="24"/>
          <w:vertAlign w:val="superscript"/>
          <w:lang w:val="da-DK"/>
        </w:rPr>
        <w:tab/>
      </w:r>
      <w:r w:rsidRPr="0041632C">
        <w:rPr>
          <w:sz w:val="24"/>
          <w:lang w:val="da-DK"/>
        </w:rPr>
        <w:t>In-</w:t>
      </w:r>
      <w:proofErr w:type="spellStart"/>
      <w:r w:rsidRPr="0041632C">
        <w:rPr>
          <w:sz w:val="24"/>
          <w:lang w:val="da-DK"/>
        </w:rPr>
        <w:t>depth</w:t>
      </w:r>
      <w:proofErr w:type="spellEnd"/>
      <w:r w:rsidRPr="0041632C">
        <w:rPr>
          <w:sz w:val="24"/>
          <w:lang w:val="da-DK"/>
        </w:rPr>
        <w:t xml:space="preserve"> </w:t>
      </w:r>
      <w:proofErr w:type="spellStart"/>
      <w:r w:rsidRPr="0041632C">
        <w:rPr>
          <w:sz w:val="24"/>
          <w:lang w:val="da-DK"/>
        </w:rPr>
        <w:t>analysis</w:t>
      </w:r>
      <w:proofErr w:type="spellEnd"/>
      <w:r w:rsidRPr="0041632C">
        <w:rPr>
          <w:sz w:val="24"/>
          <w:lang w:val="da-DK"/>
        </w:rPr>
        <w:t xml:space="preserve"> – "The </w:t>
      </w:r>
      <w:proofErr w:type="spellStart"/>
      <w:r w:rsidRPr="0041632C">
        <w:rPr>
          <w:sz w:val="24"/>
          <w:lang w:val="da-DK"/>
        </w:rPr>
        <w:t>silent</w:t>
      </w:r>
      <w:proofErr w:type="spellEnd"/>
      <w:r w:rsidRPr="0041632C">
        <w:rPr>
          <w:sz w:val="24"/>
          <w:lang w:val="da-DK"/>
        </w:rPr>
        <w:t xml:space="preserve"> </w:t>
      </w:r>
      <w:proofErr w:type="spellStart"/>
      <w:r w:rsidRPr="0041632C">
        <w:rPr>
          <w:sz w:val="24"/>
          <w:lang w:val="da-DK"/>
        </w:rPr>
        <w:t>hand</w:t>
      </w:r>
      <w:proofErr w:type="spellEnd"/>
      <w:r w:rsidRPr="0041632C">
        <w:rPr>
          <w:sz w:val="24"/>
          <w:lang w:val="da-DK"/>
        </w:rPr>
        <w:t xml:space="preserve"> of central </w:t>
      </w:r>
      <w:proofErr w:type="spellStart"/>
      <w:r w:rsidRPr="0041632C">
        <w:rPr>
          <w:sz w:val="24"/>
          <w:lang w:val="da-DK"/>
        </w:rPr>
        <w:t>banking</w:t>
      </w:r>
      <w:proofErr w:type="spellEnd"/>
      <w:r w:rsidRPr="0041632C">
        <w:rPr>
          <w:sz w:val="24"/>
          <w:lang w:val="da-DK"/>
        </w:rPr>
        <w:t xml:space="preserve">: </w:t>
      </w:r>
      <w:proofErr w:type="spellStart"/>
      <w:r w:rsidRPr="0041632C">
        <w:rPr>
          <w:sz w:val="24"/>
          <w:lang w:val="da-DK"/>
        </w:rPr>
        <w:t>collateral</w:t>
      </w:r>
      <w:proofErr w:type="spellEnd"/>
      <w:r w:rsidRPr="0041632C">
        <w:rPr>
          <w:sz w:val="24"/>
          <w:lang w:val="da-DK"/>
        </w:rPr>
        <w:t xml:space="preserve"> framework ", Europa-Parlamentet, Generaldirektoratet for Økonomi, Omstilling og Industri, EGOV, juni 2025.</w:t>
      </w:r>
    </w:p>
  </w:footnote>
  <w:footnote w:id="3">
    <w:p w14:paraId="0990A952" w14:textId="4DA9A832" w:rsidR="000E6BC7" w:rsidRPr="0041632C" w:rsidRDefault="000E6BC7" w:rsidP="0041632C">
      <w:pPr>
        <w:pStyle w:val="FootnoteText"/>
        <w:ind w:left="567" w:hanging="567"/>
        <w:rPr>
          <w:sz w:val="24"/>
          <w:lang w:val="da-DK"/>
        </w:rPr>
      </w:pPr>
      <w:r>
        <w:rPr>
          <w:rStyle w:val="FootnoteReference"/>
        </w:rPr>
        <w:footnoteRef/>
      </w:r>
      <w:r w:rsidRPr="0041632C">
        <w:rPr>
          <w:sz w:val="24"/>
          <w:vertAlign w:val="superscript"/>
          <w:lang w:val="da-DK"/>
        </w:rPr>
        <w:t xml:space="preserve"> </w:t>
      </w:r>
      <w:r w:rsidRPr="0041632C">
        <w:rPr>
          <w:sz w:val="24"/>
          <w:vertAlign w:val="superscript"/>
          <w:lang w:val="da-DK"/>
        </w:rPr>
        <w:tab/>
      </w:r>
      <w:r w:rsidRPr="0041632C">
        <w:rPr>
          <w:sz w:val="24"/>
          <w:lang w:val="da-DK"/>
        </w:rPr>
        <w:t>Cochrane, J.H. et al., "</w:t>
      </w:r>
      <w:proofErr w:type="spellStart"/>
      <w:r w:rsidRPr="0041632C">
        <w:rPr>
          <w:sz w:val="24"/>
          <w:lang w:val="da-DK"/>
        </w:rPr>
        <w:t>Crisis</w:t>
      </w:r>
      <w:proofErr w:type="spellEnd"/>
      <w:r w:rsidRPr="0041632C">
        <w:rPr>
          <w:sz w:val="24"/>
          <w:lang w:val="da-DK"/>
        </w:rPr>
        <w:t xml:space="preserve"> </w:t>
      </w:r>
      <w:proofErr w:type="spellStart"/>
      <w:r w:rsidRPr="0041632C">
        <w:rPr>
          <w:sz w:val="24"/>
          <w:lang w:val="da-DK"/>
        </w:rPr>
        <w:t>Cycle</w:t>
      </w:r>
      <w:proofErr w:type="spellEnd"/>
      <w:r w:rsidRPr="0041632C">
        <w:rPr>
          <w:sz w:val="24"/>
          <w:lang w:val="da-DK"/>
        </w:rPr>
        <w:t>: Challenges, Evolution, and Future of the Euro" (Krisecyklus: Udfordringer, udvikling og euroens fremtid), Princeton University Press, 2025.</w:t>
      </w:r>
    </w:p>
  </w:footnote>
  <w:footnote w:id="4">
    <w:p w14:paraId="4FA69CB7" w14:textId="068F7DAA" w:rsidR="00656B1E" w:rsidRPr="00DD173E" w:rsidRDefault="00656B1E" w:rsidP="00DD173E">
      <w:pPr>
        <w:pStyle w:val="FootnoteText"/>
        <w:ind w:left="567" w:hanging="567"/>
        <w:rPr>
          <w:sz w:val="24"/>
          <w:szCs w:val="22"/>
          <w:lang w:val="en-GB"/>
        </w:rPr>
      </w:pPr>
      <w:r w:rsidRPr="00DD173E">
        <w:rPr>
          <w:rStyle w:val="FootnoteReference"/>
          <w:sz w:val="24"/>
          <w:szCs w:val="22"/>
        </w:rPr>
        <w:footnoteRef/>
      </w:r>
      <w:r w:rsidRPr="00DD173E">
        <w:rPr>
          <w:sz w:val="24"/>
          <w:szCs w:val="22"/>
          <w:lang w:val="en-GB"/>
        </w:rPr>
        <w:t xml:space="preserve"> </w:t>
      </w:r>
      <w:r w:rsidRPr="00DD173E">
        <w:rPr>
          <w:sz w:val="24"/>
          <w:szCs w:val="22"/>
          <w:lang w:val="en-GB"/>
        </w:rPr>
        <w:tab/>
        <w:t>European Central Bank blog, "When groceries bite, the role of food prices for inflation in the euro area", 25. september 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70953923">
    <w:abstractNumId w:val="9"/>
  </w:num>
  <w:num w:numId="2" w16cid:durableId="264114008">
    <w:abstractNumId w:val="9"/>
  </w:num>
  <w:num w:numId="3" w16cid:durableId="168838992">
    <w:abstractNumId w:val="7"/>
  </w:num>
  <w:num w:numId="4" w16cid:durableId="1047797083">
    <w:abstractNumId w:val="7"/>
  </w:num>
  <w:num w:numId="5" w16cid:durableId="46343966">
    <w:abstractNumId w:val="6"/>
  </w:num>
  <w:num w:numId="6" w16cid:durableId="613247162">
    <w:abstractNumId w:val="6"/>
  </w:num>
  <w:num w:numId="7" w16cid:durableId="1724979687">
    <w:abstractNumId w:val="5"/>
  </w:num>
  <w:num w:numId="8" w16cid:durableId="1399860149">
    <w:abstractNumId w:val="5"/>
  </w:num>
  <w:num w:numId="9" w16cid:durableId="1337923668">
    <w:abstractNumId w:val="4"/>
  </w:num>
  <w:num w:numId="10" w16cid:durableId="1129662889">
    <w:abstractNumId w:val="4"/>
  </w:num>
  <w:num w:numId="11" w16cid:durableId="795568976">
    <w:abstractNumId w:val="8"/>
  </w:num>
  <w:num w:numId="12" w16cid:durableId="103312892">
    <w:abstractNumId w:val="8"/>
  </w:num>
  <w:num w:numId="13" w16cid:durableId="2105033430">
    <w:abstractNumId w:val="3"/>
  </w:num>
  <w:num w:numId="14" w16cid:durableId="170529063">
    <w:abstractNumId w:val="3"/>
  </w:num>
  <w:num w:numId="15" w16cid:durableId="417673431">
    <w:abstractNumId w:val="2"/>
  </w:num>
  <w:num w:numId="16" w16cid:durableId="1877543722">
    <w:abstractNumId w:val="2"/>
  </w:num>
  <w:num w:numId="17" w16cid:durableId="1129930669">
    <w:abstractNumId w:val="1"/>
  </w:num>
  <w:num w:numId="18" w16cid:durableId="1413045656">
    <w:abstractNumId w:val="1"/>
  </w:num>
  <w:num w:numId="19" w16cid:durableId="1755736544">
    <w:abstractNumId w:val="0"/>
  </w:num>
  <w:num w:numId="20" w16cid:durableId="937443955">
    <w:abstractNumId w:val="0"/>
  </w:num>
  <w:num w:numId="21" w16cid:durableId="630481067">
    <w:abstractNumId w:val="9"/>
  </w:num>
  <w:num w:numId="22" w16cid:durableId="225844075">
    <w:abstractNumId w:val="7"/>
  </w:num>
  <w:num w:numId="23" w16cid:durableId="1291547229">
    <w:abstractNumId w:val="6"/>
  </w:num>
  <w:num w:numId="24" w16cid:durableId="1326669173">
    <w:abstractNumId w:val="5"/>
  </w:num>
  <w:num w:numId="25" w16cid:durableId="1675959759">
    <w:abstractNumId w:val="4"/>
  </w:num>
  <w:num w:numId="26" w16cid:durableId="76026473">
    <w:abstractNumId w:val="8"/>
  </w:num>
  <w:num w:numId="27" w16cid:durableId="1553418634">
    <w:abstractNumId w:val="3"/>
  </w:num>
  <w:num w:numId="28" w16cid:durableId="152722458">
    <w:abstractNumId w:val="2"/>
  </w:num>
  <w:num w:numId="29" w16cid:durableId="1860964743">
    <w:abstractNumId w:val="1"/>
  </w:num>
  <w:num w:numId="30" w16cid:durableId="1034043157">
    <w:abstractNumId w:val="0"/>
  </w:num>
  <w:num w:numId="31" w16cid:durableId="1580021277">
    <w:abstractNumId w:val="9"/>
  </w:num>
  <w:num w:numId="32" w16cid:durableId="1574510552">
    <w:abstractNumId w:val="7"/>
  </w:num>
  <w:num w:numId="33" w16cid:durableId="1645892407">
    <w:abstractNumId w:val="6"/>
  </w:num>
  <w:num w:numId="34" w16cid:durableId="2100057216">
    <w:abstractNumId w:val="5"/>
  </w:num>
  <w:num w:numId="35" w16cid:durableId="1757479120">
    <w:abstractNumId w:val="4"/>
  </w:num>
  <w:num w:numId="36" w16cid:durableId="1092048354">
    <w:abstractNumId w:val="8"/>
  </w:num>
  <w:num w:numId="37" w16cid:durableId="1880165534">
    <w:abstractNumId w:val="3"/>
  </w:num>
  <w:num w:numId="38" w16cid:durableId="232130075">
    <w:abstractNumId w:val="2"/>
  </w:num>
  <w:num w:numId="39" w16cid:durableId="882715125">
    <w:abstractNumId w:val="1"/>
  </w:num>
  <w:num w:numId="40" w16cid:durableId="302975217">
    <w:abstractNumId w:val="0"/>
  </w:num>
  <w:num w:numId="41" w16cid:durableId="306932849">
    <w:abstractNumId w:val="10"/>
  </w:num>
  <w:num w:numId="42" w16cid:durableId="540485273">
    <w:abstractNumId w:val="10"/>
  </w:num>
  <w:num w:numId="43" w16cid:durableId="1064792817">
    <w:abstractNumId w:val="10"/>
  </w:num>
  <w:num w:numId="44" w16cid:durableId="13475557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2/2026"/>
    <w:docVar w:name="dvlangue" w:val="DA"/>
    <w:docVar w:name="dvnumam" w:val="0"/>
    <w:docVar w:name="dvpe" w:val="778.306"/>
    <w:docVar w:name="dvrapporteur" w:val="Ordfører: "/>
    <w:docVar w:name="dvtitre" w:val="Europa-Parlamentets beslutning af xx. februar 2026 om Den Europæiske Centralbank – årsberetning 2025(2025/2182(INI))"/>
  </w:docVars>
  <w:rsids>
    <w:rsidRoot w:val="000E7692"/>
    <w:rsid w:val="00002272"/>
    <w:rsid w:val="00064002"/>
    <w:rsid w:val="000677B9"/>
    <w:rsid w:val="000831BA"/>
    <w:rsid w:val="000A42CC"/>
    <w:rsid w:val="000E6BC7"/>
    <w:rsid w:val="000E7692"/>
    <w:rsid w:val="000E7DD9"/>
    <w:rsid w:val="0010095E"/>
    <w:rsid w:val="00125B37"/>
    <w:rsid w:val="00187494"/>
    <w:rsid w:val="001F32AE"/>
    <w:rsid w:val="002767FF"/>
    <w:rsid w:val="00280ABB"/>
    <w:rsid w:val="002B18FE"/>
    <w:rsid w:val="002B5493"/>
    <w:rsid w:val="00343214"/>
    <w:rsid w:val="00361C00"/>
    <w:rsid w:val="00395FA1"/>
    <w:rsid w:val="003E15D4"/>
    <w:rsid w:val="003E6C28"/>
    <w:rsid w:val="004022A2"/>
    <w:rsid w:val="00411CCE"/>
    <w:rsid w:val="0041632C"/>
    <w:rsid w:val="0041666E"/>
    <w:rsid w:val="00421060"/>
    <w:rsid w:val="00471C19"/>
    <w:rsid w:val="004867E3"/>
    <w:rsid w:val="00494A28"/>
    <w:rsid w:val="004C0004"/>
    <w:rsid w:val="004C5D52"/>
    <w:rsid w:val="0050519A"/>
    <w:rsid w:val="005072A1"/>
    <w:rsid w:val="00514517"/>
    <w:rsid w:val="00545827"/>
    <w:rsid w:val="00560270"/>
    <w:rsid w:val="005C2568"/>
    <w:rsid w:val="005F11F7"/>
    <w:rsid w:val="005F1B17"/>
    <w:rsid w:val="006037C0"/>
    <w:rsid w:val="00656B1E"/>
    <w:rsid w:val="006631B6"/>
    <w:rsid w:val="00680577"/>
    <w:rsid w:val="006F74FA"/>
    <w:rsid w:val="00731ADD"/>
    <w:rsid w:val="00734777"/>
    <w:rsid w:val="00747932"/>
    <w:rsid w:val="00751A4A"/>
    <w:rsid w:val="007529DE"/>
    <w:rsid w:val="00756632"/>
    <w:rsid w:val="00762C74"/>
    <w:rsid w:val="00763005"/>
    <w:rsid w:val="00786EC0"/>
    <w:rsid w:val="0079043D"/>
    <w:rsid w:val="007D1690"/>
    <w:rsid w:val="007E22AD"/>
    <w:rsid w:val="00817416"/>
    <w:rsid w:val="00842779"/>
    <w:rsid w:val="00865F67"/>
    <w:rsid w:val="00881A7B"/>
    <w:rsid w:val="008840E5"/>
    <w:rsid w:val="00887B3E"/>
    <w:rsid w:val="008A1499"/>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117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173E"/>
    <w:rsid w:val="00E365E1"/>
    <w:rsid w:val="00E737DA"/>
    <w:rsid w:val="00E820A4"/>
    <w:rsid w:val="00EB006A"/>
    <w:rsid w:val="00EB4772"/>
    <w:rsid w:val="00ED169E"/>
    <w:rsid w:val="00ED4235"/>
    <w:rsid w:val="00F04346"/>
    <w:rsid w:val="00F075DC"/>
    <w:rsid w:val="00F149E9"/>
    <w:rsid w:val="00F14C9B"/>
    <w:rsid w:val="00F5134D"/>
    <w:rsid w:val="00F74202"/>
    <w:rsid w:val="00F87713"/>
    <w:rsid w:val="00F95E4D"/>
    <w:rsid w:val="00FB4360"/>
    <w:rsid w:val="00FD0C70"/>
    <w:rsid w:val="00FE403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AF931C"/>
  <w15:chartTrackingRefBased/>
  <w15:docId w15:val="{0EB21C16-D8A4-4493-A122-BEA2AB161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4022A2"/>
    <w:pPr>
      <w:widowControl/>
      <w:spacing w:after="240"/>
    </w:pPr>
    <w:rPr>
      <w:szCs w:val="24"/>
      <w:lang w:eastAsia="en-US"/>
    </w:rPr>
  </w:style>
  <w:style w:type="paragraph" w:customStyle="1" w:styleId="NormalHanging12a">
    <w:name w:val="NormalHanging12a"/>
    <w:basedOn w:val="Normal"/>
    <w:rsid w:val="004022A2"/>
    <w:pPr>
      <w:widowControl/>
      <w:spacing w:after="240"/>
      <w:ind w:left="566" w:hanging="566"/>
    </w:pPr>
    <w:rPr>
      <w:szCs w:val="24"/>
      <w:lang w:eastAsia="en-US"/>
    </w:rPr>
  </w:style>
  <w:style w:type="paragraph" w:customStyle="1" w:styleId="Normal12">
    <w:name w:val="Normal12"/>
    <w:basedOn w:val="Normal"/>
    <w:rsid w:val="004022A2"/>
    <w:pPr>
      <w:widowControl/>
      <w:spacing w:after="240"/>
    </w:pPr>
    <w:rPr>
      <w:szCs w:val="24"/>
      <w:lang w:eastAsia="en-US"/>
    </w:rPr>
  </w:style>
  <w:style w:type="paragraph" w:customStyle="1" w:styleId="NormalHanging">
    <w:name w:val="NormalHanging"/>
    <w:basedOn w:val="Normal"/>
    <w:rsid w:val="004022A2"/>
    <w:pPr>
      <w:widowControl/>
      <w:spacing w:after="240"/>
      <w:ind w:left="566" w:hanging="566"/>
    </w:pPr>
    <w:rPr>
      <w:szCs w:val="24"/>
      <w:lang w:eastAsia="en-US"/>
    </w:rPr>
  </w:style>
  <w:style w:type="paragraph" w:customStyle="1" w:styleId="NormalCenter12a">
    <w:name w:val="NormalCenter12a"/>
    <w:basedOn w:val="Normal"/>
    <w:rsid w:val="004022A2"/>
    <w:pPr>
      <w:widowControl/>
      <w:spacing w:after="240"/>
      <w:jc w:val="center"/>
    </w:pPr>
    <w:rPr>
      <w:szCs w:val="24"/>
      <w:lang w:eastAsia="en-US"/>
    </w:rPr>
  </w:style>
  <w:style w:type="character" w:styleId="CommentReference">
    <w:name w:val="annotation reference"/>
    <w:basedOn w:val="DefaultParagraphFont"/>
    <w:rsid w:val="0079043D"/>
    <w:rPr>
      <w:sz w:val="16"/>
      <w:szCs w:val="16"/>
    </w:rPr>
  </w:style>
  <w:style w:type="paragraph" w:styleId="CommentText">
    <w:name w:val="annotation text"/>
    <w:basedOn w:val="Normal"/>
    <w:link w:val="CommentTextChar"/>
    <w:rsid w:val="0079043D"/>
    <w:rPr>
      <w:sz w:val="20"/>
    </w:rPr>
  </w:style>
  <w:style w:type="character" w:customStyle="1" w:styleId="CommentTextChar">
    <w:name w:val="Comment Text Char"/>
    <w:basedOn w:val="DefaultParagraphFont"/>
    <w:link w:val="CommentText"/>
    <w:rsid w:val="0079043D"/>
    <w:rPr>
      <w:lang w:val="da-DK"/>
    </w:rPr>
  </w:style>
  <w:style w:type="paragraph" w:styleId="CommentSubject">
    <w:name w:val="annotation subject"/>
    <w:basedOn w:val="CommentText"/>
    <w:next w:val="CommentText"/>
    <w:link w:val="CommentSubjectChar"/>
    <w:rsid w:val="0079043D"/>
    <w:rPr>
      <w:b/>
      <w:bCs/>
    </w:rPr>
  </w:style>
  <w:style w:type="character" w:customStyle="1" w:styleId="CommentSubjectChar">
    <w:name w:val="Comment Subject Char"/>
    <w:basedOn w:val="CommentTextChar"/>
    <w:link w:val="CommentSubject"/>
    <w:rsid w:val="0079043D"/>
    <w:rPr>
      <w:b/>
      <w:bCs/>
      <w:lang w:val="da-DK"/>
    </w:rPr>
  </w:style>
  <w:style w:type="paragraph" w:styleId="Revision">
    <w:name w:val="Revision"/>
    <w:hidden/>
    <w:uiPriority w:val="99"/>
    <w:semiHidden/>
    <w:rsid w:val="00656B1E"/>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1976</Words>
  <Characters>12069</Characters>
  <Application>Microsoft Office Word</Application>
  <DocSecurity>0</DocSecurity>
  <Lines>215</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TOP TA</dc:creator>
  <cp:keywords/>
  <cp:lastModifiedBy>Anja Nielsen</cp:lastModifiedBy>
  <cp:revision>2</cp:revision>
  <cp:lastPrinted>2004-11-19T15:42:00Z</cp:lastPrinted>
  <dcterms:created xsi:type="dcterms:W3CDTF">2026-02-10T14:15:00Z</dcterms:created>
  <dcterms:modified xsi:type="dcterms:W3CDTF">2026-02-10T14:15:00Z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P10_TA(2026)0034_</vt:lpwstr>
  </property>
  <property fmtid="{D5CDD505-2E9C-101B-9397-08002B2CF9AE}" pid="4" name="&lt;Type&gt;">
    <vt:lpwstr>RR</vt:lpwstr>
  </property>
</Properties>
</file>