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356D" w14:paraId="38B8FC92" w14:textId="77777777" w:rsidTr="0010095E">
        <w:trPr>
          <w:trHeight w:hRule="exact" w:val="1418"/>
        </w:trPr>
        <w:tc>
          <w:tcPr>
            <w:tcW w:w="6804" w:type="dxa"/>
            <w:shd w:val="clear" w:color="auto" w:fill="auto"/>
            <w:vAlign w:val="center"/>
          </w:tcPr>
          <w:p w14:paraId="37E66916" w14:textId="77777777" w:rsidR="00751A4A" w:rsidRPr="00BF356D" w:rsidRDefault="00BD4824" w:rsidP="0010095E">
            <w:pPr>
              <w:pStyle w:val="EPName"/>
            </w:pPr>
            <w:r w:rsidRPr="00BF356D">
              <w:t>Ευρωπαϊκό Κοινοβούλιο</w:t>
            </w:r>
          </w:p>
          <w:p w14:paraId="1D5A33E8" w14:textId="77777777" w:rsidR="00751A4A" w:rsidRPr="00BF356D" w:rsidRDefault="005F1B17" w:rsidP="005F1B17">
            <w:pPr>
              <w:pStyle w:val="EPTerm"/>
              <w:rPr>
                <w:rStyle w:val="HideTWBExt"/>
                <w:noProof w:val="0"/>
                <w:vanish w:val="0"/>
                <w:color w:val="auto"/>
              </w:rPr>
            </w:pPr>
            <w:r w:rsidRPr="00BF356D">
              <w:t>2024</w:t>
            </w:r>
            <w:r w:rsidR="00817416" w:rsidRPr="00BF356D">
              <w:t>-202</w:t>
            </w:r>
            <w:r w:rsidRPr="00BF356D">
              <w:t>9</w:t>
            </w:r>
          </w:p>
        </w:tc>
        <w:tc>
          <w:tcPr>
            <w:tcW w:w="2268" w:type="dxa"/>
            <w:shd w:val="clear" w:color="auto" w:fill="auto"/>
          </w:tcPr>
          <w:p w14:paraId="288606A0" w14:textId="77777777" w:rsidR="00751A4A" w:rsidRPr="00BF356D" w:rsidRDefault="00187494" w:rsidP="0010095E">
            <w:pPr>
              <w:pStyle w:val="EPLogo"/>
            </w:pPr>
            <w:r w:rsidRPr="00BF356D">
              <w:rPr>
                <w:noProof/>
                <w:lang w:eastAsia="ja-JP"/>
              </w:rPr>
              <w:drawing>
                <wp:inline distT="0" distB="0" distL="0" distR="0" wp14:anchorId="761289B5" wp14:editId="4039DE1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BE3BB7" w14:textId="77777777" w:rsidR="00D058B8" w:rsidRPr="00BF356D" w:rsidRDefault="00D058B8" w:rsidP="004C5D52">
      <w:pPr>
        <w:pStyle w:val="LineTop"/>
      </w:pPr>
    </w:p>
    <w:p w14:paraId="3C05AAAE" w14:textId="77777777" w:rsidR="00680577" w:rsidRPr="00BF356D" w:rsidRDefault="00BD4824" w:rsidP="00680577">
      <w:pPr>
        <w:pStyle w:val="EPBodyTA1"/>
      </w:pPr>
      <w:r w:rsidRPr="00BF356D">
        <w:t>ΚΕΙΜΕΝΑ ΠΟΥ ΕΓΚΡΙΘΗΚΑΝ</w:t>
      </w:r>
    </w:p>
    <w:p w14:paraId="4071AED3" w14:textId="77777777" w:rsidR="00D058B8" w:rsidRPr="00BF356D" w:rsidRDefault="00D058B8" w:rsidP="00D058B8">
      <w:pPr>
        <w:pStyle w:val="LineBottom"/>
      </w:pPr>
    </w:p>
    <w:p w14:paraId="644CB7C8" w14:textId="145B2B3F" w:rsidR="00BD4824" w:rsidRPr="00BF356D" w:rsidRDefault="00BD4824" w:rsidP="00BD4824">
      <w:pPr>
        <w:pStyle w:val="ATHeading1"/>
      </w:pPr>
      <w:bookmarkStart w:id="0" w:name="TANumber"/>
      <w:r w:rsidRPr="00BF356D">
        <w:t>P10_TA(2026)00</w:t>
      </w:r>
      <w:r w:rsidR="0040233B" w:rsidRPr="00BF356D">
        <w:t>34</w:t>
      </w:r>
      <w:bookmarkEnd w:id="0"/>
    </w:p>
    <w:p w14:paraId="6E335968" w14:textId="09AAF9B1" w:rsidR="00BD4824" w:rsidRPr="00BF356D" w:rsidRDefault="000E4786" w:rsidP="00BD4824">
      <w:pPr>
        <w:pStyle w:val="ATHeading2"/>
      </w:pPr>
      <w:bookmarkStart w:id="1" w:name="title"/>
      <w:r w:rsidRPr="00BF356D">
        <w:rPr>
          <w:bCs/>
        </w:rPr>
        <w:t>Ευρωπαϊκή Κεντρική Τράπεζα – ετήσια έκθεση 2025</w:t>
      </w:r>
      <w:bookmarkEnd w:id="1"/>
    </w:p>
    <w:p w14:paraId="42F9DE3F" w14:textId="77777777" w:rsidR="00BD4824" w:rsidRPr="00BF356D" w:rsidRDefault="00BD4824" w:rsidP="00BD4824">
      <w:pPr>
        <w:rPr>
          <w:i/>
          <w:vanish/>
        </w:rPr>
      </w:pPr>
      <w:r w:rsidRPr="00BF356D">
        <w:rPr>
          <w:i/>
        </w:rPr>
        <w:fldChar w:fldCharType="begin"/>
      </w:r>
      <w:r w:rsidRPr="00BF356D">
        <w:rPr>
          <w:i/>
        </w:rPr>
        <w:instrText xml:space="preserve"> TC"(</w:instrText>
      </w:r>
      <w:bookmarkStart w:id="2" w:name="DocNumber"/>
      <w:r w:rsidRPr="00BF356D">
        <w:rPr>
          <w:i/>
        </w:rPr>
        <w:instrText>A10-0002/2026</w:instrText>
      </w:r>
      <w:bookmarkEnd w:id="2"/>
      <w:r w:rsidRPr="00BF356D">
        <w:rPr>
          <w:i/>
        </w:rPr>
        <w:instrText xml:space="preserve"> - Εισηγητής: Johan Van Overtveldt)"\l3 \n&gt; \* MERGEFORMAT </w:instrText>
      </w:r>
      <w:r w:rsidRPr="00BF356D">
        <w:rPr>
          <w:i/>
        </w:rPr>
        <w:fldChar w:fldCharType="end"/>
      </w:r>
    </w:p>
    <w:p w14:paraId="06CFED48" w14:textId="77777777" w:rsidR="00BD4824" w:rsidRPr="00BF356D" w:rsidRDefault="00BD4824" w:rsidP="00BD4824">
      <w:pPr>
        <w:rPr>
          <w:vanish/>
        </w:rPr>
      </w:pPr>
      <w:bookmarkStart w:id="3" w:name="Commission"/>
      <w:r w:rsidRPr="00BF356D">
        <w:rPr>
          <w:vanish/>
        </w:rPr>
        <w:t>Επιτροπή Οικονομικής και Νομισματικής Πολιτικής</w:t>
      </w:r>
      <w:bookmarkEnd w:id="3"/>
    </w:p>
    <w:p w14:paraId="71CEA730" w14:textId="77777777" w:rsidR="00BD4824" w:rsidRPr="00BF356D" w:rsidRDefault="00BD4824" w:rsidP="00BD4824">
      <w:pPr>
        <w:rPr>
          <w:vanish/>
        </w:rPr>
      </w:pPr>
      <w:bookmarkStart w:id="4" w:name="PE"/>
      <w:r w:rsidRPr="00BF356D">
        <w:rPr>
          <w:vanish/>
        </w:rPr>
        <w:t>PE778.306</w:t>
      </w:r>
      <w:bookmarkEnd w:id="4"/>
    </w:p>
    <w:p w14:paraId="1FF0D9F2" w14:textId="4169747E" w:rsidR="00BD4824" w:rsidRPr="00BF356D" w:rsidRDefault="00BD4824" w:rsidP="00BD4824">
      <w:pPr>
        <w:pStyle w:val="ATHeading3"/>
      </w:pPr>
      <w:bookmarkStart w:id="5" w:name="Sujet"/>
      <w:r w:rsidRPr="00BF356D">
        <w:t xml:space="preserve">Ψήφισμα του Ευρωπαϊκού Κοινοβουλίου της </w:t>
      </w:r>
      <w:r w:rsidR="00F73ABD" w:rsidRPr="00BF356D">
        <w:t>10</w:t>
      </w:r>
      <w:r w:rsidR="000E4786" w:rsidRPr="00BF356D">
        <w:t>ης Φεβρουαρίου</w:t>
      </w:r>
      <w:r w:rsidRPr="00BF356D">
        <w:t xml:space="preserve"> 2026 σχετικά με την ετήσια έκθεση της Ευρωπαϊκής Κεντρικής Τράπεζας για το 2025</w:t>
      </w:r>
      <w:bookmarkEnd w:id="5"/>
      <w:r w:rsidRPr="00BF356D">
        <w:t xml:space="preserve"> </w:t>
      </w:r>
      <w:bookmarkStart w:id="6" w:name="References"/>
      <w:r w:rsidRPr="00BF356D">
        <w:t>(2025/2182(INI))</w:t>
      </w:r>
      <w:bookmarkEnd w:id="6"/>
    </w:p>
    <w:p w14:paraId="7DE7172A" w14:textId="77777777" w:rsidR="00872140" w:rsidRPr="00BF356D" w:rsidRDefault="00872140" w:rsidP="00872140">
      <w:pPr>
        <w:pStyle w:val="NormalBold12a"/>
      </w:pPr>
    </w:p>
    <w:p w14:paraId="257099A6" w14:textId="77777777" w:rsidR="00872140" w:rsidRPr="00BF356D" w:rsidRDefault="00872140" w:rsidP="00872140">
      <w:pPr>
        <w:pStyle w:val="Normal12"/>
      </w:pPr>
      <w:r w:rsidRPr="00BF356D">
        <w:rPr>
          <w:i/>
        </w:rPr>
        <w:t>Το Ευρωπαϊκό Κοινοβούλιο</w:t>
      </w:r>
      <w:r w:rsidRPr="00BF356D">
        <w:t>,</w:t>
      </w:r>
    </w:p>
    <w:p w14:paraId="6BC344A7" w14:textId="77777777" w:rsidR="00872140" w:rsidRPr="00BF356D" w:rsidRDefault="00872140" w:rsidP="004167BC">
      <w:pPr>
        <w:pStyle w:val="NormalHanging"/>
        <w:ind w:left="567" w:hanging="567"/>
      </w:pPr>
      <w:r w:rsidRPr="00BF356D">
        <w:t>–</w:t>
      </w:r>
      <w:r w:rsidRPr="00BF356D">
        <w:tab/>
        <w:t>έχοντας υπόψη τις παρατηρήσεις της Ευρωπαϊκής Κεντρικής Τράπεζας (ΕΚΤ), της 28ης Απριλίου 2025, όσον αφορά τα στοιχεία που περιλαμβάνονταν στο ψήφισμα του Κοινοβουλίου σχετικά με την ετήσια έκθεση της ΕΚΤ για το 2023,</w:t>
      </w:r>
    </w:p>
    <w:p w14:paraId="3D2DA238" w14:textId="77777777" w:rsidR="00872140" w:rsidRPr="00BF356D" w:rsidRDefault="00872140" w:rsidP="004167BC">
      <w:pPr>
        <w:pStyle w:val="NormalHanging"/>
        <w:ind w:left="567" w:hanging="567"/>
      </w:pPr>
      <w:r w:rsidRPr="00BF356D">
        <w:t>–</w:t>
      </w:r>
      <w:r w:rsidRPr="00BF356D">
        <w:tab/>
        <w:t>έχοντας υπόψη το καταστατικό του Ευρωπαϊκού Συστήματος Κεντρικών Τραπεζών (ΕΣΚΤ) και της ΕΚΤ, και ιδίως τα άρθρα 2, 15 και 21,</w:t>
      </w:r>
    </w:p>
    <w:p w14:paraId="1AB51962" w14:textId="77777777" w:rsidR="00872140" w:rsidRPr="00BF356D" w:rsidRDefault="00872140" w:rsidP="004167BC">
      <w:pPr>
        <w:pStyle w:val="NormalHanging"/>
        <w:ind w:left="567" w:hanging="567"/>
      </w:pPr>
      <w:r w:rsidRPr="00BF356D">
        <w:t>–</w:t>
      </w:r>
      <w:r w:rsidRPr="00BF356D">
        <w:tab/>
        <w:t>έχοντας υπόψη το άρθρο 119, το άρθρο 123 παράγραφος 1, το άρθρο 125, το άρθρο 127 παράγραφοι 1 και 2, το άρθρο 130, το άρθρο 282 παράγραφος 2 και το άρθρο 284 παράγραφος 3 της Συνθήκης για τη λειτουργία της Ευρωπαϊκής Ένωσης (ΣΛΕΕ),</w:t>
      </w:r>
    </w:p>
    <w:p w14:paraId="309B92AE" w14:textId="77777777" w:rsidR="00872140" w:rsidRPr="00BF356D" w:rsidRDefault="00872140" w:rsidP="004167BC">
      <w:pPr>
        <w:pStyle w:val="NormalHanging"/>
        <w:ind w:left="567" w:hanging="567"/>
      </w:pPr>
      <w:r w:rsidRPr="00BF356D">
        <w:t>–</w:t>
      </w:r>
      <w:r w:rsidRPr="00BF356D">
        <w:tab/>
        <w:t>έχοντας υπόψη το άρθρα 3 και 13 της Συνθήκης για την Ευρωπαϊκή Ένωση (ΣΕΕ),</w:t>
      </w:r>
    </w:p>
    <w:p w14:paraId="5B56DB07" w14:textId="77777777" w:rsidR="00872140" w:rsidRPr="00BF356D" w:rsidRDefault="00872140" w:rsidP="004167BC">
      <w:pPr>
        <w:pStyle w:val="NormalHanging"/>
        <w:ind w:left="567" w:hanging="567"/>
      </w:pPr>
      <w:r w:rsidRPr="00BF356D">
        <w:t>–</w:t>
      </w:r>
      <w:r w:rsidRPr="00BF356D">
        <w:tab/>
        <w:t xml:space="preserve">έχοντας υπόψη τους νομισματικούς διαλόγους με την Πρόεδρο της ΕΚΤ, </w:t>
      </w:r>
      <w:proofErr w:type="spellStart"/>
      <w:r w:rsidRPr="00BF356D">
        <w:t>Christine</w:t>
      </w:r>
      <w:proofErr w:type="spellEnd"/>
      <w:r w:rsidRPr="00BF356D">
        <w:t xml:space="preserve"> </w:t>
      </w:r>
      <w:proofErr w:type="spellStart"/>
      <w:r w:rsidRPr="00BF356D">
        <w:t>Lagarde</w:t>
      </w:r>
      <w:proofErr w:type="spellEnd"/>
      <w:r w:rsidRPr="00BF356D">
        <w:t>, στις 20 Μαρτίου 2025, στις 23 Ιουνίου 2025 και στις 6 Οκτωβρίου 2025,</w:t>
      </w:r>
    </w:p>
    <w:p w14:paraId="2E1D6FC4" w14:textId="77777777" w:rsidR="00872140" w:rsidRPr="00BF356D" w:rsidRDefault="00872140" w:rsidP="004167BC">
      <w:pPr>
        <w:pStyle w:val="NormalHanging"/>
        <w:ind w:left="567" w:hanging="567"/>
      </w:pPr>
      <w:r w:rsidRPr="00BF356D">
        <w:t>–</w:t>
      </w:r>
      <w:r w:rsidRPr="00BF356D">
        <w:tab/>
        <w:t>έχοντας υπόψη την αξιολόγηση της στρατηγικής νομισματικής πολιτικής της ΕΚΤ για το 2025,</w:t>
      </w:r>
    </w:p>
    <w:p w14:paraId="3A556BF9" w14:textId="77777777" w:rsidR="00872140" w:rsidRPr="00BF356D" w:rsidRDefault="00872140" w:rsidP="004167BC">
      <w:pPr>
        <w:pStyle w:val="NormalHanging"/>
        <w:ind w:left="567" w:hanging="567"/>
      </w:pPr>
      <w:r w:rsidRPr="00BF356D">
        <w:t>–</w:t>
      </w:r>
      <w:r w:rsidRPr="00BF356D">
        <w:tab/>
        <w:t>έχοντας υπόψη την έκθεση της ΕΚΤ για το 2025 σχετικά με τον διεθνή ρόλο του ευρώ,</w:t>
      </w:r>
    </w:p>
    <w:p w14:paraId="7A1C0B04" w14:textId="77777777" w:rsidR="00872140" w:rsidRPr="00BF356D" w:rsidRDefault="00872140" w:rsidP="004167BC">
      <w:pPr>
        <w:pStyle w:val="NormalHanging"/>
        <w:ind w:left="567" w:hanging="567"/>
      </w:pPr>
      <w:r w:rsidRPr="00BF356D">
        <w:t>–</w:t>
      </w:r>
      <w:r w:rsidRPr="00BF356D">
        <w:tab/>
        <w:t>έχοντας υπόψη το σχέδιο της ΕΚΤ για το κλίμα και τη φύση 2024-2025,</w:t>
      </w:r>
    </w:p>
    <w:p w14:paraId="20DF974F" w14:textId="77777777" w:rsidR="00872140" w:rsidRPr="00BF356D" w:rsidRDefault="00872140" w:rsidP="004167BC">
      <w:pPr>
        <w:pStyle w:val="NormalHanging"/>
        <w:ind w:left="567" w:hanging="567"/>
      </w:pPr>
      <w:r w:rsidRPr="00BF356D">
        <w:t>–</w:t>
      </w:r>
      <w:r w:rsidRPr="00BF356D">
        <w:tab/>
        <w:t>έχοντας υπόψη την εκτίμηση της Eurostat για τον πληθωρισμό, της 20ής Αυγούστου 2025, και τις προκαταρκτικές εκτιμήσεις της Eurostat, της 1ης Οκτωβρίου 2025,</w:t>
      </w:r>
    </w:p>
    <w:p w14:paraId="3CBC791B" w14:textId="64E2DE4B" w:rsidR="00872140" w:rsidRPr="00BF356D" w:rsidRDefault="00872140" w:rsidP="004167BC">
      <w:pPr>
        <w:pStyle w:val="NormalHanging"/>
        <w:ind w:left="567" w:hanging="567"/>
      </w:pPr>
      <w:r w:rsidRPr="00BF356D">
        <w:t>–</w:t>
      </w:r>
      <w:r w:rsidRPr="00BF356D">
        <w:tab/>
        <w:t>έχοντας υπόψη το ενημερωτικό σημείωμα της EGOV, του Οκτωβρίου του 2025, με τίτλο «</w:t>
      </w:r>
      <w:proofErr w:type="spellStart"/>
      <w:r w:rsidRPr="00BF356D">
        <w:t>Turning</w:t>
      </w:r>
      <w:proofErr w:type="spellEnd"/>
      <w:r w:rsidRPr="00BF356D">
        <w:t xml:space="preserve"> </w:t>
      </w:r>
      <w:proofErr w:type="spellStart"/>
      <w:r w:rsidRPr="00BF356D">
        <w:t>point</w:t>
      </w:r>
      <w:proofErr w:type="spellEnd"/>
      <w:r w:rsidRPr="00BF356D">
        <w:t xml:space="preserve"> </w:t>
      </w:r>
      <w:proofErr w:type="spellStart"/>
      <w:r w:rsidRPr="00BF356D">
        <w:t>or</w:t>
      </w:r>
      <w:proofErr w:type="spellEnd"/>
      <w:r w:rsidRPr="00BF356D">
        <w:t xml:space="preserve"> </w:t>
      </w:r>
      <w:proofErr w:type="spellStart"/>
      <w:r w:rsidRPr="00BF356D">
        <w:t>continuity</w:t>
      </w:r>
      <w:proofErr w:type="spellEnd"/>
      <w:r w:rsidRPr="00BF356D">
        <w:t xml:space="preserve">? The </w:t>
      </w:r>
      <w:proofErr w:type="spellStart"/>
      <w:r w:rsidRPr="00BF356D">
        <w:t>ECB’s</w:t>
      </w:r>
      <w:proofErr w:type="spellEnd"/>
      <w:r w:rsidRPr="00BF356D">
        <w:t xml:space="preserve"> 2025 </w:t>
      </w:r>
      <w:proofErr w:type="spellStart"/>
      <w:r w:rsidRPr="00BF356D">
        <w:t>strategy</w:t>
      </w:r>
      <w:proofErr w:type="spellEnd"/>
      <w:r w:rsidRPr="00BF356D">
        <w:t xml:space="preserve"> </w:t>
      </w:r>
      <w:proofErr w:type="spellStart"/>
      <w:r w:rsidRPr="00BF356D">
        <w:t>review</w:t>
      </w:r>
      <w:proofErr w:type="spellEnd"/>
      <w:r w:rsidRPr="00BF356D">
        <w:t xml:space="preserve">» (Σημείο καμπής </w:t>
      </w:r>
      <w:r w:rsidRPr="00BF356D">
        <w:lastRenderedPageBreak/>
        <w:t>ή συνέχεια; Η επανεξέταση της στρατηγικής της ΕΚΤ, του 2025), που δημοσίευσε η Γενική Διεύθυνση Οικονομίας, Μετασχηματισμού και Βιομηχανίας</w:t>
      </w:r>
      <w:r w:rsidR="00B64145" w:rsidRPr="00BF356D">
        <w:rPr>
          <w:rStyle w:val="FootnoteReference"/>
        </w:rPr>
        <w:footnoteReference w:id="1"/>
      </w:r>
      <w:r w:rsidRPr="00BF356D">
        <w:t>,</w:t>
      </w:r>
    </w:p>
    <w:p w14:paraId="257EDE9F" w14:textId="23C32324" w:rsidR="00872140" w:rsidRPr="00BF356D" w:rsidRDefault="00872140" w:rsidP="004167BC">
      <w:pPr>
        <w:pStyle w:val="NormalHanging"/>
        <w:ind w:left="567" w:hanging="567"/>
      </w:pPr>
      <w:r w:rsidRPr="00BF356D">
        <w:t>–</w:t>
      </w:r>
      <w:r w:rsidRPr="00BF356D">
        <w:tab/>
        <w:t xml:space="preserve">έχοντας υπόψη την ανάλυση της EGOV, του Ιουνίου του 2025, με τίτλο «The </w:t>
      </w:r>
      <w:proofErr w:type="spellStart"/>
      <w:r w:rsidRPr="00BF356D">
        <w:t>silent</w:t>
      </w:r>
      <w:proofErr w:type="spellEnd"/>
      <w:r w:rsidRPr="00BF356D">
        <w:t xml:space="preserve"> </w:t>
      </w:r>
      <w:proofErr w:type="spellStart"/>
      <w:r w:rsidRPr="00BF356D">
        <w:t>hand</w:t>
      </w:r>
      <w:proofErr w:type="spellEnd"/>
      <w:r w:rsidRPr="00BF356D">
        <w:t xml:space="preserve"> of </w:t>
      </w:r>
      <w:proofErr w:type="spellStart"/>
      <w:r w:rsidRPr="00BF356D">
        <w:t>central</w:t>
      </w:r>
      <w:proofErr w:type="spellEnd"/>
      <w:r w:rsidRPr="00BF356D">
        <w:t xml:space="preserve"> </w:t>
      </w:r>
      <w:proofErr w:type="spellStart"/>
      <w:r w:rsidRPr="00BF356D">
        <w:t>banking</w:t>
      </w:r>
      <w:proofErr w:type="spellEnd"/>
      <w:r w:rsidRPr="00BF356D">
        <w:t xml:space="preserve">: </w:t>
      </w:r>
      <w:proofErr w:type="spellStart"/>
      <w:r w:rsidRPr="00BF356D">
        <w:t>collateral</w:t>
      </w:r>
      <w:proofErr w:type="spellEnd"/>
      <w:r w:rsidRPr="00BF356D">
        <w:t xml:space="preserve"> </w:t>
      </w:r>
      <w:proofErr w:type="spellStart"/>
      <w:r w:rsidRPr="00BF356D">
        <w:t>framework</w:t>
      </w:r>
      <w:proofErr w:type="spellEnd"/>
      <w:r w:rsidRPr="00BF356D">
        <w:t>» (Το αθόρυβο χέρι της κεντρικής τραπεζικής: πλαίσιο ασφαλειών), που δημοσίευσε η Γενική Διεύθυνση Οικονομίας, Μετασχηματισμού και Βιομηχανίας</w:t>
      </w:r>
      <w:r w:rsidR="00B64145" w:rsidRPr="00BF356D">
        <w:rPr>
          <w:rStyle w:val="FootnoteReference"/>
        </w:rPr>
        <w:footnoteReference w:id="2"/>
      </w:r>
      <w:r w:rsidRPr="00BF356D">
        <w:t>,</w:t>
      </w:r>
    </w:p>
    <w:p w14:paraId="0F2F3D20" w14:textId="77777777" w:rsidR="00872140" w:rsidRPr="00BF356D" w:rsidRDefault="00872140" w:rsidP="004167BC">
      <w:pPr>
        <w:pStyle w:val="NormalHanging"/>
        <w:ind w:left="567" w:hanging="567"/>
      </w:pPr>
      <w:r w:rsidRPr="00BF356D">
        <w:t>–</w:t>
      </w:r>
      <w:r w:rsidRPr="00BF356D">
        <w:tab/>
        <w:t>έχοντας υπόψη το άρθρο 55 του Κανονισμού του,</w:t>
      </w:r>
    </w:p>
    <w:p w14:paraId="2248B36B" w14:textId="77777777" w:rsidR="00872140" w:rsidRPr="00BF356D" w:rsidRDefault="00872140" w:rsidP="004167BC">
      <w:pPr>
        <w:pStyle w:val="NormalHanging"/>
        <w:ind w:left="567" w:hanging="567"/>
      </w:pPr>
      <w:r w:rsidRPr="00BF356D">
        <w:t>–</w:t>
      </w:r>
      <w:r w:rsidRPr="00BF356D">
        <w:tab/>
        <w:t>έχοντας υπόψη την έκθεση της Επιτροπής Οικονομικής και Νομισματικής Πολιτικής (A10-0002/2026),</w:t>
      </w:r>
    </w:p>
    <w:p w14:paraId="5A17CB96" w14:textId="77777777" w:rsidR="00872140" w:rsidRPr="00BF356D" w:rsidRDefault="00872140" w:rsidP="004167BC">
      <w:pPr>
        <w:pStyle w:val="NormalHanging"/>
        <w:ind w:left="567" w:hanging="567"/>
      </w:pPr>
      <w:r w:rsidRPr="00BF356D">
        <w:t>Α.</w:t>
      </w:r>
      <w:r w:rsidRPr="00BF356D">
        <w:tab/>
        <w:t>λαμβάνοντας υπόψη ότι, σύμφωνα με τη Eurostat, ο ετήσιος πληθωρισμός της ΕΕ ανήλθε σε 2,5 % και ο πληθωρισμός στη ζώνη του ευρώ σε 2,1 % τον Οκτώβριο του 2025, όπως μετράται με τον εναρμονισμένο δείκτη τιμών καταναλωτή·</w:t>
      </w:r>
    </w:p>
    <w:p w14:paraId="5DEA30C7" w14:textId="77777777" w:rsidR="00872140" w:rsidRPr="00BF356D" w:rsidRDefault="00872140" w:rsidP="004167BC">
      <w:pPr>
        <w:pStyle w:val="NormalHanging"/>
        <w:ind w:left="567" w:hanging="567"/>
      </w:pPr>
      <w:r w:rsidRPr="00BF356D">
        <w:t>Β.</w:t>
      </w:r>
      <w:r w:rsidRPr="00BF356D">
        <w:tab/>
        <w:t>λαμβάνοντας υπόψη ότι, σύμφωνα με την έρευνα της ΕΚΤ, του Οκτωβρίου του 2025, για τις προσδοκίες των καταναλωτών, οι διάμεσες προσδοκίες για τον πληθωρισμό εξακολουθούν να υπερβαίνουν το 2 %·</w:t>
      </w:r>
    </w:p>
    <w:p w14:paraId="7C5E22B9" w14:textId="77777777" w:rsidR="00872140" w:rsidRPr="00BF356D" w:rsidRDefault="00872140" w:rsidP="004167BC">
      <w:pPr>
        <w:pStyle w:val="NormalHanging"/>
        <w:ind w:left="567" w:hanging="567"/>
      </w:pPr>
      <w:r w:rsidRPr="00BF356D">
        <w:t>Γ.</w:t>
      </w:r>
      <w:r w:rsidRPr="00BF356D">
        <w:tab/>
        <w:t>λαμβάνοντας υπόψη ότι ο στόχος της ΕΚΤ για τον πληθωρισμό έχει μετατοπιστεί με την πάροδο του χρόνου από μια τιμή αναφοράς «κάτω του 2 %» σε έναν στόχο «κάτω αλλά πλησίον του 2 %», και έπειτα σε έναν συμμετρικό στόχο «2 %» μεσοπρόθεσμα·</w:t>
      </w:r>
    </w:p>
    <w:p w14:paraId="42670AA5" w14:textId="77777777" w:rsidR="00872140" w:rsidRPr="00BF356D" w:rsidRDefault="00872140" w:rsidP="004167BC">
      <w:pPr>
        <w:pStyle w:val="NormalHanging"/>
        <w:ind w:left="567" w:hanging="567"/>
      </w:pPr>
      <w:r w:rsidRPr="00BF356D">
        <w:t>Δ.</w:t>
      </w:r>
      <w:r w:rsidRPr="00BF356D">
        <w:tab/>
        <w:t>λαμβάνοντας υπόψη ότι η διευκόλυνση οριακής χρηματοδότησης και το επιτόκιο της διευκόλυνσης αποδοχής καταθέσεων έχουν δημιουργήσει στενό περιθώριο διακύμανσης γύρω από το επιτόκιο των πράξεων κύριας αναχρηματοδότησης·</w:t>
      </w:r>
    </w:p>
    <w:p w14:paraId="0610241A" w14:textId="785CCA26" w:rsidR="00872140" w:rsidRPr="00BF356D" w:rsidRDefault="00872140" w:rsidP="004167BC">
      <w:pPr>
        <w:pStyle w:val="NormalHanging"/>
        <w:ind w:left="567" w:hanging="567"/>
      </w:pPr>
      <w:r w:rsidRPr="00BF356D">
        <w:t>Ε.</w:t>
      </w:r>
      <w:r w:rsidRPr="00BF356D">
        <w:tab/>
        <w:t>λαμβάνοντας υπόψη ότι τα όρια της ΕΚΤ όσον αφορά την αγορά δημόσιου χρέους διευρύνονται σταθερά, από το πρόγραμμα για τις αγορές κινητών αξιών έως τις οριστικές νομισματικές συναλλαγές, καθώς και το πρόγραμμα αγοράς στοιχείων ενεργητικού του δημόσιου τομέα, το έκτακτο πρόγραμμα αγοράς στοιχείων ενεργητικού λόγω πανδημίας (PEPP) και το μέσο για την προστασία της μετάδοσης</w:t>
      </w:r>
      <w:r w:rsidR="00B64145" w:rsidRPr="00BF356D">
        <w:rPr>
          <w:rStyle w:val="FootnoteReference"/>
        </w:rPr>
        <w:footnoteReference w:id="3"/>
      </w:r>
      <w:r w:rsidRPr="00BF356D">
        <w:t>·</w:t>
      </w:r>
    </w:p>
    <w:p w14:paraId="3445A9DA" w14:textId="77777777" w:rsidR="00872140" w:rsidRPr="00BF356D" w:rsidRDefault="00872140" w:rsidP="004167BC">
      <w:pPr>
        <w:pStyle w:val="NormalHanging"/>
        <w:ind w:left="567" w:hanging="567"/>
      </w:pPr>
      <w:r w:rsidRPr="00BF356D">
        <w:t>ΣΤ.</w:t>
      </w:r>
      <w:r w:rsidRPr="00BF356D">
        <w:tab/>
        <w:t xml:space="preserve">λαμβάνοντας υπόψη ότι οι επανεπενδύσεις στο πλαίσιο του προγράμματος αγοράς στοιχείων ενεργητικού (APP) διακόπηκαν από τον Ιούλιο του 2023 και, στην </w:t>
      </w:r>
      <w:r w:rsidRPr="00BF356D">
        <w:lastRenderedPageBreak/>
        <w:t>περίπτωση του PEPP, από τον Δεκέμβριο του 2024, με αποτέλεσμα να ανοίγει ο δρόμος για τη μείωση του μεγέθους του ισολογισμού της ΕΚΤ·</w:t>
      </w:r>
    </w:p>
    <w:p w14:paraId="6F91D0B5" w14:textId="77777777" w:rsidR="00872140" w:rsidRPr="00BF356D" w:rsidRDefault="00872140" w:rsidP="004167BC">
      <w:pPr>
        <w:pStyle w:val="NormalHanging"/>
        <w:ind w:left="567" w:hanging="567"/>
      </w:pPr>
      <w:r w:rsidRPr="00BF356D">
        <w:t>Ζ.</w:t>
      </w:r>
      <w:r w:rsidRPr="00BF356D">
        <w:tab/>
        <w:t>λαμβάνοντας υπόψη ότι ο αποπληθωρισμός μπορεί να είναι μια ευνοϊκή συνέπεια της τεχνολογικής προόδου·</w:t>
      </w:r>
    </w:p>
    <w:p w14:paraId="480098A7" w14:textId="77777777" w:rsidR="00872140" w:rsidRPr="00BF356D" w:rsidRDefault="00872140" w:rsidP="004167BC">
      <w:pPr>
        <w:pStyle w:val="NormalHanging"/>
        <w:ind w:left="567" w:hanging="567"/>
      </w:pPr>
      <w:r w:rsidRPr="00BF356D">
        <w:t>Η.</w:t>
      </w:r>
      <w:r w:rsidRPr="00BF356D">
        <w:tab/>
        <w:t>λαμβάνοντας υπόψη ότι το άρθρο 123 ΣΛΕΕ και το άρθρο 21 του καταστατικού του ΕΣΚΤ και της ΕΚΤ απαγορεύουν την άμεση νομισματική χρηματοδότηση των κυβερνήσεων·</w:t>
      </w:r>
    </w:p>
    <w:p w14:paraId="59ED23E5" w14:textId="77777777" w:rsidR="00872140" w:rsidRPr="00BF356D" w:rsidRDefault="00872140" w:rsidP="004167BC">
      <w:pPr>
        <w:pStyle w:val="Normal12a"/>
        <w:ind w:left="567" w:hanging="567"/>
      </w:pPr>
      <w:r w:rsidRPr="00BF356D">
        <w:rPr>
          <w:b/>
          <w:i/>
        </w:rPr>
        <w:t>Διακυβέρνηση</w:t>
      </w:r>
    </w:p>
    <w:p w14:paraId="7986F13D" w14:textId="72D45BC6" w:rsidR="00872140" w:rsidRPr="00BF356D" w:rsidRDefault="008C4028" w:rsidP="008C4028">
      <w:pPr>
        <w:pStyle w:val="NormalHanging12a"/>
        <w:ind w:left="570" w:hanging="570"/>
      </w:pPr>
      <w:r w:rsidRPr="00BF356D">
        <w:t>1.</w:t>
      </w:r>
      <w:r w:rsidRPr="00BF356D">
        <w:tab/>
      </w:r>
      <w:r w:rsidR="00872140" w:rsidRPr="00BF356D">
        <w:t>υπενθυμίζει ότι το άρθρο 127 ΣΛΕΕ ορίζει ότι «πρωταρχικός στόχος του Ευρωπαϊκού Συστήματος Κεντρικών Τραπεζών (ΕΣΚΤ) είναι η διατήρηση της σταθερότητας των τιμών. Με την επιφύλαξη του στόχου της σταθερότητας των τιμών, το ΕΣΚΤ στηρίζει τις γενικές οικονομικές πολιτικές στην Ένωση, προκειμένου να συμβάλει στην υλοποίηση των στόχων της Ένωσης, που ορίζονται στο άρθρο 3 της Συνθήκης για την Ευρωπαϊκή Ένωση. Το ΕΣΚΤ ενεργεί σύμφωνα με την αρχή της οικονομίας της ανοιχτής αγοράς με ελεύθερο ανταγωνισμό, που ευνοεί την αποτελεσματική κατανομή των πόρων, και σύμφωνα με τις αρχές που εξαγγέλλονται στο άρθρο 119»·</w:t>
      </w:r>
    </w:p>
    <w:p w14:paraId="48E1A453" w14:textId="04C0C864" w:rsidR="00872140" w:rsidRPr="00BF356D" w:rsidRDefault="008C4028" w:rsidP="008C4028">
      <w:pPr>
        <w:pStyle w:val="NormalHanging12a"/>
        <w:ind w:left="570" w:hanging="570"/>
      </w:pPr>
      <w:r w:rsidRPr="00BF356D">
        <w:t>2.</w:t>
      </w:r>
      <w:r w:rsidRPr="00BF356D">
        <w:tab/>
      </w:r>
      <w:r w:rsidR="00872140" w:rsidRPr="00BF356D">
        <w:t>υπογραμμίζει ότι η θεσμική ανεξαρτησία της ΕΚΤ, όπως ορίζεται στις Συνθήκες, αποτελεί προϋπόθεση για την εκπλήρωση της εντολής της για διατήρηση της σταθερότητας των τιμών·</w:t>
      </w:r>
    </w:p>
    <w:p w14:paraId="1369E50A" w14:textId="4BB89F36" w:rsidR="00872140" w:rsidRPr="00BF356D" w:rsidRDefault="008C4028" w:rsidP="008C4028">
      <w:pPr>
        <w:pStyle w:val="NormalHanging12a"/>
        <w:ind w:left="570" w:hanging="570"/>
      </w:pPr>
      <w:r w:rsidRPr="00BF356D">
        <w:t>3.</w:t>
      </w:r>
      <w:r w:rsidRPr="00BF356D">
        <w:tab/>
      </w:r>
      <w:r w:rsidR="00872140" w:rsidRPr="00BF356D">
        <w:t>επισημαίνει ότι η ΕΚΤ λογοδοτεί στο Κοινοβούλιο· τονίζει ότι η ΕΚΤ πρέπει να λαμβάνει αποφάσεις για την εκπλήρωση της εντολής της χωρίς πολιτικές παρεμβάσεις· σημειώνει ότι οι κεντρικές τράπεζες θα πρέπει να είναι ανεξάρτητες αλλά όχι απομονωμένες·</w:t>
      </w:r>
    </w:p>
    <w:p w14:paraId="60845EC9" w14:textId="25B5D4FC" w:rsidR="00872140" w:rsidRPr="00BF356D" w:rsidRDefault="008C4028" w:rsidP="008C4028">
      <w:pPr>
        <w:pStyle w:val="NormalHanging12a"/>
        <w:ind w:left="570" w:hanging="570"/>
      </w:pPr>
      <w:r w:rsidRPr="00BF356D">
        <w:t>4.</w:t>
      </w:r>
      <w:r w:rsidRPr="00BF356D">
        <w:tab/>
      </w:r>
      <w:r w:rsidR="00872140" w:rsidRPr="00BF356D">
        <w:t>επισημαίνει ότι η διαφάνεια είναι σημαντική για τη λογοδοσία και ότι απαιτούνται μηχανισμοί λογοδοσίας και ισχυρός θεσμικός σχεδιασμός· εκφράζει, στο πλαίσιο αυτό, την ικανοποίησή του για τις ρυθμίσεις υπό μορφή ανταλλαγής επιστολών μεταξύ του Ευρωπαϊκού Κοινοβουλίου και της ΕΚΤ σχετικά με τη διάρθρωση των πρακτικών αλληλεπίδρασης στον τομέα δραστηριοτήτων κεντρικής τράπεζας·</w:t>
      </w:r>
    </w:p>
    <w:p w14:paraId="51354106" w14:textId="4C279617" w:rsidR="00872140" w:rsidRPr="00BF356D" w:rsidRDefault="008C4028" w:rsidP="008C4028">
      <w:pPr>
        <w:pStyle w:val="NormalHanging12a"/>
        <w:ind w:left="570" w:hanging="570"/>
      </w:pPr>
      <w:r w:rsidRPr="00BF356D">
        <w:t>5.</w:t>
      </w:r>
      <w:r w:rsidRPr="00BF356D">
        <w:tab/>
      </w:r>
      <w:r w:rsidR="00872140" w:rsidRPr="00BF356D">
        <w:t>καλεί την ΕΚΤ να καταβάλει προσπάθειες για την ενίσχυση των μέσων που βελτιώνουν τη διαφάνεια, όπως τα κριτήρια αναφοράς, οι διαπιστώσεις για τις παραδοχές της που βασίζονται σε μοντέλα και οι αξιολογήσεις του Διοικητικού Συμβουλίου σχετικά με την εξέλιξη του πληθωρισμού·</w:t>
      </w:r>
    </w:p>
    <w:p w14:paraId="030C74A0" w14:textId="07CC856F" w:rsidR="00872140" w:rsidRPr="00BF356D" w:rsidRDefault="008C4028" w:rsidP="008C4028">
      <w:pPr>
        <w:pStyle w:val="NormalHanging12a"/>
        <w:ind w:left="570" w:hanging="570"/>
      </w:pPr>
      <w:r w:rsidRPr="00BF356D">
        <w:t>6.</w:t>
      </w:r>
      <w:r w:rsidRPr="00BF356D">
        <w:tab/>
      </w:r>
      <w:r w:rsidR="00872140" w:rsidRPr="00BF356D">
        <w:t>εκφράζει την ικανοποίησή του για την ανεξαρτησία της ΕΚΤ, όπως κατοχυρώνεται στο άρθρο 130 ΣΛΕΕ· τονίζει ότι η ανεξαρτησία συνεπάγεται την πολιτική ουδετερότητα των ενεργειών της ΕΚΤ·</w:t>
      </w:r>
    </w:p>
    <w:p w14:paraId="1CA31ABE" w14:textId="269A4818" w:rsidR="005A792B" w:rsidRPr="00BF356D" w:rsidRDefault="008C4028" w:rsidP="008C4028">
      <w:pPr>
        <w:pStyle w:val="NormalHanging12a"/>
        <w:ind w:left="570" w:hanging="570"/>
      </w:pPr>
      <w:r w:rsidRPr="00BF356D">
        <w:t>7.</w:t>
      </w:r>
      <w:r w:rsidRPr="00BF356D">
        <w:tab/>
      </w:r>
      <w:r w:rsidR="005A792B" w:rsidRPr="00BF356D">
        <w:t>συμμερίζεται τη δήλωση αλληλεγγύης της ΕΚΤ και άλλων κεντρικών τραπεζών παγκοσμίως όσον αφορά την Ομοσπονδιακή Τράπεζα των ΗΠΑ, στην οποία υπογραμμίζεται η σημασία της διατήρησης της ανεξαρτησίας των κεντρικών τραπεζών, με πλήρη σεβασμό του κράτους δικαίου και της δημοκρατικής λογοδοσίας</w:t>
      </w:r>
      <w:r w:rsidR="00B64145" w:rsidRPr="00BF356D">
        <w:t>·</w:t>
      </w:r>
    </w:p>
    <w:p w14:paraId="0FE2D1C1" w14:textId="77777777" w:rsidR="00872140" w:rsidRPr="00BF356D" w:rsidRDefault="00872140" w:rsidP="004167BC">
      <w:pPr>
        <w:pStyle w:val="Normal12a"/>
        <w:ind w:left="567" w:hanging="567"/>
      </w:pPr>
      <w:r w:rsidRPr="00BF356D">
        <w:rPr>
          <w:b/>
          <w:i/>
        </w:rPr>
        <w:t>Νομισματική πολιτική</w:t>
      </w:r>
    </w:p>
    <w:p w14:paraId="0B95925D" w14:textId="5D51CFB5" w:rsidR="00872140" w:rsidRPr="00BF356D" w:rsidRDefault="008C4028" w:rsidP="008C4028">
      <w:pPr>
        <w:pStyle w:val="NormalHanging12a"/>
        <w:ind w:left="570" w:hanging="570"/>
      </w:pPr>
      <w:r w:rsidRPr="00BF356D">
        <w:lastRenderedPageBreak/>
        <w:t>8.</w:t>
      </w:r>
      <w:r w:rsidRPr="00BF356D">
        <w:tab/>
      </w:r>
      <w:r w:rsidR="00872140" w:rsidRPr="00BF356D">
        <w:t>τονίζει τον πρωταρχικό στόχο της ΕΚΤ σχετικά με τη διατήρηση της σταθερότητας των τιμών, η οποία αποτελεί μία από τις απαραίτητες προϋποθέσεις για την ανάπτυξη, την ανταγωνιστικότητα και την οικονομική σταθερότητα στην Ένωση·</w:t>
      </w:r>
    </w:p>
    <w:p w14:paraId="041CBB94" w14:textId="6859EFCF" w:rsidR="00872140" w:rsidRPr="00BF356D" w:rsidRDefault="008C4028" w:rsidP="008C4028">
      <w:pPr>
        <w:pStyle w:val="NormalHanging12a"/>
        <w:ind w:left="570" w:hanging="570"/>
      </w:pPr>
      <w:r w:rsidRPr="00BF356D">
        <w:t>9.</w:t>
      </w:r>
      <w:r w:rsidRPr="00BF356D">
        <w:tab/>
      </w:r>
      <w:r w:rsidR="00872140" w:rsidRPr="00BF356D">
        <w:t>εκφράζει την ανησυχία του για τα υψηλά επίπεδα πληθωρισμού κατά την περίοδο μετά την πανδημία</w:t>
      </w:r>
      <w:r w:rsidR="000E4786" w:rsidRPr="00BF356D">
        <w:t xml:space="preserve"> της</w:t>
      </w:r>
      <w:r w:rsidR="00872140" w:rsidRPr="00BF356D">
        <w:t xml:space="preserve"> COVID-19, τα οποία προκλήθηκαν από κλυδωνισμούς στον εφοδιασμό· σημειώνει ότι κατά την περίοδο αυτή θα ήταν δικαιολογημένη η έγκαιρη επιστροφή στη σταθερότητα των τιμών μέσω αποφάσεων της ΕΚΤ· καλεί την ΕΚΤ να αξιολογήσει ενδελεχώς τα αίτια αυτών των υψηλών επιπέδων πληθωρισμού στην ετήσια έκθεσή της, και να διατυπώσει μια σειρά συστάσεων πολιτικής, προκειμένου στο μέλλον να εξάγονται τα κατάλληλα συμπεράσματα από οποιαδήποτε πληθωριστική κρίση·</w:t>
      </w:r>
    </w:p>
    <w:p w14:paraId="5D54BC4F" w14:textId="1B7165C5" w:rsidR="00872140" w:rsidRPr="00BF356D" w:rsidRDefault="008C4028" w:rsidP="008C4028">
      <w:pPr>
        <w:pStyle w:val="NormalHanging12a"/>
        <w:ind w:left="570" w:hanging="570"/>
      </w:pPr>
      <w:r w:rsidRPr="00BF356D">
        <w:t>10.</w:t>
      </w:r>
      <w:r w:rsidRPr="00BF356D">
        <w:tab/>
      </w:r>
      <w:r w:rsidR="00872140" w:rsidRPr="00BF356D">
        <w:t xml:space="preserve">εκφράζει την ικανοποίησή του για τη μείωση του πληθωρισμού σε σχέση με τα ποσοστά της περιόδου 2022-2023, καθώς και για την πρόσφατη σταθεροποίηση του πληθωρισμού· σημειώνει ότι η ΕΚΤ μείωσε το επιτόκιο καταθέσεων κατά 200 μονάδες βάσης μεταξύ Ιουνίου </w:t>
      </w:r>
      <w:r w:rsidR="000E4786" w:rsidRPr="00BF356D">
        <w:t xml:space="preserve">του </w:t>
      </w:r>
      <w:r w:rsidR="00872140" w:rsidRPr="00BF356D">
        <w:t xml:space="preserve">2024 και Ιουνίου </w:t>
      </w:r>
      <w:r w:rsidR="000E4786" w:rsidRPr="00BF356D">
        <w:t xml:space="preserve">του </w:t>
      </w:r>
      <w:r w:rsidR="00872140" w:rsidRPr="00BF356D">
        <w:t>2025· αναγνωρίζει τον συνεχιζόμενο κίνδυνο αναζωπύρωσης του πληθωρισμού· υπογραμμίζει ότι οποιαδήποτε περαιτέρω μέτρα χαλάρωσης της νομισματικής πολιτικής θα πρέπει να είναι συνετά, να βασίζονται σε δεδομένα και να έχουν ως γνώμονα τη σταθερότητα των τιμών·</w:t>
      </w:r>
    </w:p>
    <w:p w14:paraId="1FEE0145" w14:textId="0BCB9074" w:rsidR="005A792B" w:rsidRPr="00BF356D" w:rsidRDefault="008C4028" w:rsidP="008C4028">
      <w:pPr>
        <w:pStyle w:val="NormalHanging12a"/>
        <w:ind w:left="570" w:hanging="570"/>
      </w:pPr>
      <w:r w:rsidRPr="00BF356D">
        <w:t>11.</w:t>
      </w:r>
      <w:r w:rsidRPr="00BF356D">
        <w:tab/>
      </w:r>
      <w:r w:rsidR="005A792B" w:rsidRPr="00BF356D">
        <w:t>εκφράζει την ανησυχία του για το υψηλό κόστος ζωής, καθώς οι τιμές των τροφίμων και της ενέργειας στην Ευρώπη αυξήθηκαν μετά την πανδημία της COVID-19· σημειώνει ότι, κατά μέσο όρο, η τιμή ενός γεύματος στη ζώνη του ευρώ το 2025 ήταν κατά ένα τρίτο υψηλότερη σε σύγκριση με το διάστημα πριν από την πανδημία</w:t>
      </w:r>
      <w:r w:rsidR="005A792B" w:rsidRPr="00BF356D">
        <w:rPr>
          <w:rStyle w:val="FootnoteReference"/>
        </w:rPr>
        <w:footnoteReference w:id="4"/>
      </w:r>
      <w:r w:rsidR="005A792B" w:rsidRPr="00BF356D">
        <w:t>, και ότι τούτο επηρέασε ιδίως τα νοικοκυριά χαμηλού εισοδήματος·</w:t>
      </w:r>
    </w:p>
    <w:p w14:paraId="16C90E99" w14:textId="4D89E4FA" w:rsidR="00872140" w:rsidRPr="00BF356D" w:rsidRDefault="008C4028" w:rsidP="008C4028">
      <w:pPr>
        <w:pStyle w:val="NormalHanging12a"/>
        <w:ind w:left="570" w:hanging="570"/>
      </w:pPr>
      <w:r w:rsidRPr="00BF356D">
        <w:t>12.</w:t>
      </w:r>
      <w:r w:rsidRPr="00BF356D">
        <w:tab/>
      </w:r>
      <w:r w:rsidR="00872140" w:rsidRPr="00BF356D">
        <w:t>τονίζει ειδικότερα τον στρεβλωτικό αντίκτυπο που μπορεί να έχουν στις εξελίξεις των τιμών η γεωπολιτική αβεβαιότητα, οι κίνδυνοι για την ενεργειακή ασφάλεια και οι διαταραχές του εμπορίου·</w:t>
      </w:r>
    </w:p>
    <w:p w14:paraId="3A41CCA3" w14:textId="260CA104" w:rsidR="00872140" w:rsidRPr="00BF356D" w:rsidRDefault="008C4028" w:rsidP="008C4028">
      <w:pPr>
        <w:pStyle w:val="NormalHanging12a"/>
        <w:ind w:left="570" w:hanging="570"/>
      </w:pPr>
      <w:r w:rsidRPr="00BF356D">
        <w:t>13.</w:t>
      </w:r>
      <w:r w:rsidRPr="00BF356D">
        <w:tab/>
      </w:r>
      <w:r w:rsidR="00872140" w:rsidRPr="00BF356D">
        <w:t>καλεί την ΕΚΤ να αξιολογεί την καταλληλότητα του συμμετρικού της στόχου, λαμβάνοντας επίσης υπόψη ποιοτικούς παράγοντες· σημειώνει την αξιολόγηση της στρατηγικής νομισματικής πολιτικής, του 2025, και ενθαρρύνει την ΕΚΤ να διενεργεί τέτοιες αξιολογήσεις σε περιοδική βάση·</w:t>
      </w:r>
    </w:p>
    <w:p w14:paraId="095466E1" w14:textId="3666EFDC" w:rsidR="00872140" w:rsidRPr="00BF356D" w:rsidRDefault="008C4028" w:rsidP="008C4028">
      <w:pPr>
        <w:pStyle w:val="NormalHanging12a"/>
        <w:ind w:left="570" w:hanging="570"/>
      </w:pPr>
      <w:r w:rsidRPr="00BF356D">
        <w:t>14.</w:t>
      </w:r>
      <w:r w:rsidRPr="00BF356D">
        <w:tab/>
      </w:r>
      <w:r w:rsidR="00872140" w:rsidRPr="00BF356D">
        <w:t>τονίζει ότι τα προγράμματα αγορών της ΕΚΤ αποτελούν μη συμβατικά μέσα νομισματικής πολιτικής που έχουν παρενέργειες· σημειώνει ειδικότερα ότι τα προγράμματα αγοράς στοιχείων ενεργητικού μπορούν να προκαλέσουν στρέβλωση των μηνυμάτων όσον αφορά τις τιμές· σημειώνει ότι η ΕΚΤ έχει μεν αρχίσει να περιορίζει τον ισολογισμό της, αλλά με πολύ σταδιακό τρόπο· στηρίζει την ΕΚΤ στην περαιτέρω μείωση του άμεσου ρόλου της στην αγορά τίτλων· ενθαρρύνει την ΕΚΤ να καταργήσει σταδιακά τα προγράμματά της για την αγορά κρατικών ομολόγων· εκφράζει τη λύπη του για τον αντίκτυπο της δημοσιονομικής θέσης στην εκπλήρωση της πρωταρχικής εντολής της ΕΚΤ·</w:t>
      </w:r>
    </w:p>
    <w:p w14:paraId="05FB7B2B" w14:textId="0648EADE" w:rsidR="00872140" w:rsidRPr="00BF356D" w:rsidRDefault="008C4028" w:rsidP="008C4028">
      <w:pPr>
        <w:pStyle w:val="NormalHanging12a"/>
        <w:ind w:left="570" w:hanging="570"/>
      </w:pPr>
      <w:r w:rsidRPr="00BF356D">
        <w:lastRenderedPageBreak/>
        <w:t>15.</w:t>
      </w:r>
      <w:r w:rsidRPr="00BF356D">
        <w:tab/>
      </w:r>
      <w:r w:rsidR="00872140" w:rsidRPr="00BF356D">
        <w:t>εκφράζει τη λύπη του για το γεγονός ότι, από τη χρηματοπιστωτική κρίση του 2008, τα προγράμματα βραχυπρόθεσμης δανειοδότησης της ΕΚΤ έχουν εκτοπίσει σε μεγάλο βαθμό την ιδιωτική διατραπεζική αγορά χρηματοδότησης· καλεί την ΕΚΤ να αποφύγει την καταβολή επιτοκίων καταθέσεων στις τράπεζες που υπερβαίνουν τα επιτόκια της αγοράς, καθώς αυτό αντιβαίνει στην αρχή της οικονομίας της ανοικτής αγοράς με ελεύθερο ανταγωνισμό, και να άρει κάθε εμπόδιο που παρακωλύει την ανάκαμψη των βραχυπρόθεσμων μη εξασφαλισμένων διατραπεζικών αγορών·</w:t>
      </w:r>
    </w:p>
    <w:p w14:paraId="1BB0C14B" w14:textId="0ADE1E9C" w:rsidR="00872140" w:rsidRPr="00BF356D" w:rsidRDefault="008C4028" w:rsidP="008C4028">
      <w:pPr>
        <w:pStyle w:val="NormalHanging12a"/>
        <w:ind w:left="570" w:hanging="570"/>
      </w:pPr>
      <w:r w:rsidRPr="00BF356D">
        <w:t>16.</w:t>
      </w:r>
      <w:r w:rsidRPr="00BF356D">
        <w:tab/>
      </w:r>
      <w:r w:rsidR="00872140" w:rsidRPr="00BF356D">
        <w:t>τονίζει τη σημασία της διασφάλισης υψηλών προτύπων όσον αφορά τις απαιτήσεις ποιότητας για τις ασφάλειες στις δανειοδοτικές συμφωνίες με την ΕΚΤ· αναγνωρίζει ότι πρότυπα για τις ασφάλειες μπορούν να χρησιμοποιηθούν ως εργαλείο για τη μετάδοση της νομισματικής πολιτικής·</w:t>
      </w:r>
    </w:p>
    <w:p w14:paraId="66F41536" w14:textId="782DA9F5" w:rsidR="00872140" w:rsidRPr="00BF356D" w:rsidRDefault="008C4028" w:rsidP="008C4028">
      <w:pPr>
        <w:pStyle w:val="NormalHanging12a"/>
        <w:ind w:left="570" w:hanging="570"/>
      </w:pPr>
      <w:r w:rsidRPr="00BF356D">
        <w:t>17.</w:t>
      </w:r>
      <w:r w:rsidRPr="00BF356D">
        <w:tab/>
      </w:r>
      <w:r w:rsidR="00872140" w:rsidRPr="00BF356D">
        <w:t>υποστηρίζει τις προσπάθειες της ΕΚΤ να συμπεριλάβει τις ιδιοκατοικούμενες κατοικίες στην παρακολούθηση των δεικτών τιμών για λόγους τόσο αντιπροσωπευτικότητας όσο και συγκρισιμότητας μεταξύ των χωρών της ζώνης του ευρώ, υπό την προϋπόθεση ότι θα εφαρμοστεί μια εναρμονισμένη και μεθοδολογικά αξιόπιστη προσέγγιση·</w:t>
      </w:r>
    </w:p>
    <w:p w14:paraId="3CDEB6F2" w14:textId="77777777" w:rsidR="00872140" w:rsidRPr="00BF356D" w:rsidRDefault="00872140" w:rsidP="004167BC">
      <w:pPr>
        <w:pStyle w:val="Normal12a"/>
        <w:ind w:left="567" w:hanging="567"/>
      </w:pPr>
      <w:r w:rsidRPr="00BF356D">
        <w:rPr>
          <w:b/>
          <w:i/>
        </w:rPr>
        <w:t>Δευτερεύων στόχος: στήριξη των γενικών οικονομικών πολιτικών στην Ένωση</w:t>
      </w:r>
    </w:p>
    <w:p w14:paraId="471D4532" w14:textId="1F1EB5B5" w:rsidR="00872140" w:rsidRPr="00BF356D" w:rsidRDefault="008C4028" w:rsidP="008C4028">
      <w:pPr>
        <w:pStyle w:val="NormalHanging12a"/>
        <w:ind w:left="570" w:hanging="570"/>
      </w:pPr>
      <w:r w:rsidRPr="00BF356D">
        <w:t>18.</w:t>
      </w:r>
      <w:r w:rsidRPr="00BF356D">
        <w:tab/>
      </w:r>
      <w:r w:rsidR="00872140" w:rsidRPr="00BF356D">
        <w:t>σημειώνει ότι η ΕΚΤ, σύμφωνα με το άρθρο 127 παράγραφος 1 ΣΛΕΕ, πρέπει να στηρίζει τις γενικές οικονομικές πολιτικές της Ένωσης, προκειμένου να συμβάλει στην υλοποίηση των στόχων της Ένωσης, όπως ορίζονται στο άρθρο 3 ΣΕΕ, εφόσον δεν επηρεάζεται η δέσμευσή της για διασφάλιση της σταθερότητας των τιμών·</w:t>
      </w:r>
    </w:p>
    <w:p w14:paraId="48F45C7D" w14:textId="0280B7FA" w:rsidR="00872140" w:rsidRPr="00BF356D" w:rsidRDefault="008C4028" w:rsidP="008C4028">
      <w:pPr>
        <w:pStyle w:val="NormalHanging12a"/>
        <w:ind w:left="570" w:hanging="570"/>
      </w:pPr>
      <w:r w:rsidRPr="00BF356D">
        <w:t>19.</w:t>
      </w:r>
      <w:r w:rsidRPr="00BF356D">
        <w:tab/>
      </w:r>
      <w:r w:rsidR="00872140" w:rsidRPr="00BF356D">
        <w:t>υπενθυμίζει ότι το Ευρωσύστημα έχει διαμορφωθεί με βάση την αρχή της νομισματικής κυριαρχίας·</w:t>
      </w:r>
    </w:p>
    <w:p w14:paraId="618D12A1" w14:textId="5845A2BB" w:rsidR="00872140" w:rsidRPr="00BF356D" w:rsidRDefault="008C4028" w:rsidP="008C4028">
      <w:pPr>
        <w:pStyle w:val="NormalHanging12a"/>
        <w:ind w:left="570" w:hanging="570"/>
      </w:pPr>
      <w:r w:rsidRPr="00BF356D">
        <w:t>20.</w:t>
      </w:r>
      <w:r w:rsidRPr="00BF356D">
        <w:tab/>
      </w:r>
      <w:r w:rsidR="00872140" w:rsidRPr="00BF356D">
        <w:t>επισημαίνει, στο πλαίσιο της Οικονομικής και Νομισματικής Ένωσης και του πλαισίου οικονομικής διακυβέρνησης της ΕΕ, τη σημασία των υγιών και βιώσιμων δημόσιων οικονομικών για την αντιμετώπιση ενός περιβάλλοντος υψηλών επιτοκίων, για τη συμπλήρωση των προσπαθειών της ΕΚΤ να διατηρήσει τον πληθωρισμό σε χαμηλά επίπεδα, για τη διατήρηση μιας σταθερής οικονομίας και για την ανθεκτικότητα σε μελλοντικούς οικονομικούς και χρηματοπιστωτικούς κλυδωνισμούς·</w:t>
      </w:r>
    </w:p>
    <w:p w14:paraId="7C10A7EA" w14:textId="4616158D" w:rsidR="00872140" w:rsidRPr="00BF356D" w:rsidRDefault="008C4028" w:rsidP="008C4028">
      <w:pPr>
        <w:pStyle w:val="NormalHanging12a"/>
        <w:ind w:left="570" w:hanging="570"/>
      </w:pPr>
      <w:r w:rsidRPr="00BF356D">
        <w:t>21.</w:t>
      </w:r>
      <w:r w:rsidRPr="00BF356D">
        <w:tab/>
      </w:r>
      <w:r w:rsidR="00872140" w:rsidRPr="00BF356D">
        <w:t>λαμβάνει υπό σημείωση την απόκλιση των ισοζυγίων του TARGET2 που οφείλεται σε διασυνοριακές συναλλαγές· επισημαίνει τους πιθανούς κινδύνους να καταστούν τα ισοζύγια του TARGET2 διαρθρωτικά και προτείνει να εξεταστούν προσαρμογές μη νομισματικής πολιτικής·</w:t>
      </w:r>
    </w:p>
    <w:p w14:paraId="2606BEC2" w14:textId="53B79D30" w:rsidR="00872140" w:rsidRPr="00BF356D" w:rsidRDefault="008C4028" w:rsidP="008C4028">
      <w:pPr>
        <w:pStyle w:val="NormalHanging12a"/>
        <w:ind w:left="570" w:hanging="570"/>
      </w:pPr>
      <w:r w:rsidRPr="00BF356D">
        <w:t>22.</w:t>
      </w:r>
      <w:r w:rsidRPr="00BF356D">
        <w:tab/>
      </w:r>
      <w:r w:rsidR="00872140" w:rsidRPr="00BF356D">
        <w:t xml:space="preserve">υπογραμμίζει ότι η ΕΚΤ θα πρέπει να λαμβάνει υπόψη τις δυνητικές επιπτώσεις της κλιματικής αλλαγής </w:t>
      </w:r>
      <w:r w:rsidR="005A792B" w:rsidRPr="00BF356D">
        <w:t xml:space="preserve">μόνο </w:t>
      </w:r>
      <w:r w:rsidR="00872140" w:rsidRPr="00BF356D">
        <w:t>από τη σκοπιά της σταθερότητας των τιμών και εντός των ορίων της εντολής της·</w:t>
      </w:r>
    </w:p>
    <w:p w14:paraId="6BD0F0F7" w14:textId="00EE5ECD" w:rsidR="00872140" w:rsidRPr="00BF356D" w:rsidRDefault="008C4028" w:rsidP="008C4028">
      <w:pPr>
        <w:pStyle w:val="NormalHanging12a"/>
        <w:ind w:left="570" w:hanging="570"/>
      </w:pPr>
      <w:r w:rsidRPr="00BF356D">
        <w:t>23.</w:t>
      </w:r>
      <w:r w:rsidRPr="00BF356D">
        <w:tab/>
      </w:r>
      <w:r w:rsidR="00872140" w:rsidRPr="00BF356D">
        <w:t>σημειώνει ότι η έννοια της ουδετερότητας της αγοράς είναι συνδεδεμένη με την αρχή της «οικονομίας της ανοικτής αγοράς με ελεύθερο ανταγωνισμό»· καλεί την ΕΚΤ, με σεβασμό προς την ανεξαρτησία της, να αντιμετωπίσει τις αδυναμίες της αγοράς και να διασφαλίσει την αποτελεσματική κατανομή των πόρων σε μακροπρόθεσμο ορίζοντα, παραμένοντας ταυτόχρονα όσο το δυνατόν πιο πολιτικά ουδέτερη και τηρώντας την αρχή της ουδετερότητας της αγοράς· τονίζει ότι οι αποφάσεις αυτές δεν πρέπει να λαμβάνονται εις βάρος της εκπλήρωσης της εντολής της ΕΚΤ·</w:t>
      </w:r>
    </w:p>
    <w:p w14:paraId="49B9216D" w14:textId="6B359051" w:rsidR="00872140" w:rsidRPr="00BF356D" w:rsidRDefault="008C4028" w:rsidP="008C4028">
      <w:pPr>
        <w:pStyle w:val="NormalHanging12a"/>
        <w:ind w:left="570" w:hanging="570"/>
      </w:pPr>
      <w:r w:rsidRPr="00BF356D">
        <w:lastRenderedPageBreak/>
        <w:t>24.</w:t>
      </w:r>
      <w:r w:rsidRPr="00BF356D">
        <w:tab/>
      </w:r>
      <w:r w:rsidR="00872140" w:rsidRPr="00BF356D">
        <w:t>σημειώνει ότι οι νομισματικές πολιτικές της ΕΚΤ που αποσκοπούν στην εκπλήρωση της πρωταρχικής εντολής της υπόκεινται σε αξιολόγηση αναλογικότητας·</w:t>
      </w:r>
    </w:p>
    <w:p w14:paraId="5E442970" w14:textId="77777777" w:rsidR="00872140" w:rsidRPr="00BF356D" w:rsidRDefault="00872140" w:rsidP="004167BC">
      <w:pPr>
        <w:pStyle w:val="Normal12a"/>
        <w:ind w:left="567" w:hanging="567"/>
      </w:pPr>
      <w:r w:rsidRPr="00BF356D">
        <w:rPr>
          <w:b/>
          <w:i/>
        </w:rPr>
        <w:t>Άλλες πτυχές</w:t>
      </w:r>
    </w:p>
    <w:p w14:paraId="19E5E635" w14:textId="68E9C4F3" w:rsidR="00B64145" w:rsidRPr="00BF356D" w:rsidRDefault="008C4028" w:rsidP="008C4028">
      <w:pPr>
        <w:pStyle w:val="NormalHanging12a"/>
        <w:ind w:left="570" w:hanging="570"/>
      </w:pPr>
      <w:r w:rsidRPr="00BF356D">
        <w:t>25.</w:t>
      </w:r>
      <w:r w:rsidRPr="00BF356D">
        <w:tab/>
      </w:r>
      <w:r w:rsidR="00B64145" w:rsidRPr="00BF356D">
        <w:t>υπενθυμίζει ότι η ισότιμη πρόσβαση σε υπηρεσίες πληρωμών είναι απαραίτητη για τη συμμετοχή στην οικονομική ζωή· υπογραμμίζει ότι η αυξανόμενη ψηφιοποίηση των πληρωμών, εάν αφεθεί αποκλειστικά σε ιδιωτικούς φορείς και φορείς εκτός ΕΕ, ενέχει τον κίνδυνο δημιουργίας νέων μορφών αποκλεισμού τόσο για τους χρήστες όσο και για τους εμπόρους· τονίζει ότι ένα επιγραμμικό και μη επιγραμμικό ψηφιακό ευρώ θα πρέπει να συμβάλλει στη διασφάλιση της καθολικής πρόσβασης σε πληρωμές και της ευρείας αποδοχής από τους εμπόρους σε ολόκληρη την ΕΕ, με πλήρη σεβασμό των προτύπων προστασίας της ιδιωτικής ζωής και των δεδομένων·</w:t>
      </w:r>
    </w:p>
    <w:p w14:paraId="77F69B87" w14:textId="49C6C113" w:rsidR="00872140" w:rsidRPr="00BF356D" w:rsidRDefault="008C4028" w:rsidP="008C4028">
      <w:pPr>
        <w:pStyle w:val="NormalHanging12a"/>
        <w:ind w:left="570" w:hanging="570"/>
      </w:pPr>
      <w:r w:rsidRPr="00BF356D">
        <w:t>26.</w:t>
      </w:r>
      <w:r w:rsidRPr="00BF356D">
        <w:tab/>
      </w:r>
      <w:r w:rsidR="005A792B" w:rsidRPr="00BF356D">
        <w:t xml:space="preserve">χαιρετίζει </w:t>
      </w:r>
      <w:r w:rsidR="00872140" w:rsidRPr="00BF356D">
        <w:t>τις εν εξελίξει συζητήσεις για το ψηφιακό ευρώ·</w:t>
      </w:r>
      <w:r w:rsidR="005A792B" w:rsidRPr="00BF356D">
        <w:t xml:space="preserve"> υπογραμμίζει ότι, σε ένα πλαίσιο αυξημένης γεωπολιτικής αβεβαιότητας και υπερβολικής εξάρτησης από υποδομές πληρωμών εκτός ΕΕ, η εισαγωγή ενός ψηφιακού ευρώ, σχεδιασμένου να συμπληρώνει τις υπηρεσίες μετρητών και τις ιδιωτικές τραπεζικές υπηρεσίες, είναι απαραίτητη για την ενίσχυση της νομισματικής κυριαρχίας της ΕΕ, τη μείωση του κατακερματισμού των πληρωμών λιανικής και τη στήριξη της ακεραιότητας και της ανθεκτικότητας της ενιαίας αγοράς·</w:t>
      </w:r>
    </w:p>
    <w:p w14:paraId="4AB9952F" w14:textId="158927C1" w:rsidR="00872140" w:rsidRPr="00BF356D" w:rsidRDefault="008C4028" w:rsidP="008C4028">
      <w:pPr>
        <w:pStyle w:val="NormalHanging12a"/>
        <w:ind w:left="570" w:hanging="570"/>
      </w:pPr>
      <w:r w:rsidRPr="00BF356D">
        <w:t>27.</w:t>
      </w:r>
      <w:r w:rsidRPr="00BF356D">
        <w:tab/>
      </w:r>
      <w:r w:rsidR="00872140" w:rsidRPr="00BF356D">
        <w:t>εκφράζει την ικανοποίησή του για τα εν εξελίξει βραχυπρόθεσμα (</w:t>
      </w:r>
      <w:proofErr w:type="spellStart"/>
      <w:r w:rsidR="00872140" w:rsidRPr="00BF356D">
        <w:t>Pontes</w:t>
      </w:r>
      <w:proofErr w:type="spellEnd"/>
      <w:r w:rsidR="00872140" w:rsidRPr="00BF356D">
        <w:t>) και μακροπρόθεσμα (</w:t>
      </w:r>
      <w:proofErr w:type="spellStart"/>
      <w:r w:rsidR="00872140" w:rsidRPr="00BF356D">
        <w:t>Appia</w:t>
      </w:r>
      <w:proofErr w:type="spellEnd"/>
      <w:r w:rsidR="00872140" w:rsidRPr="00BF356D">
        <w:t>) έργα τεχνολογίας κατανεμημένου καθολικού για τον διακανονισμό συναλλαγών χονδρικής σε χρήμα κεντρικής τράπεζας·</w:t>
      </w:r>
    </w:p>
    <w:p w14:paraId="4C9D11C0" w14:textId="140EC430" w:rsidR="00872140" w:rsidRPr="00BF356D" w:rsidRDefault="008C4028" w:rsidP="008C4028">
      <w:pPr>
        <w:pStyle w:val="NormalHanging12a"/>
        <w:ind w:left="570" w:hanging="570"/>
      </w:pPr>
      <w:r w:rsidRPr="00BF356D">
        <w:t>28.</w:t>
      </w:r>
      <w:r w:rsidRPr="00BF356D">
        <w:tab/>
      </w:r>
      <w:r w:rsidR="00872140" w:rsidRPr="00BF356D">
        <w:t>τονίζει τη σημασία της διατήρησης του ρόλου των μετρητών· λαμβάνει υπό σημείωση τις εν εξελίξει συζητήσεις όσον αφορά την πρόταση σχετικά με το καθεστώς νόμιμου χρήματος·</w:t>
      </w:r>
    </w:p>
    <w:p w14:paraId="40BEDF3F" w14:textId="20C72CCF" w:rsidR="00872140" w:rsidRPr="00BF356D" w:rsidRDefault="008C4028" w:rsidP="008C4028">
      <w:pPr>
        <w:pStyle w:val="NormalHanging12a"/>
        <w:ind w:left="570" w:hanging="570"/>
      </w:pPr>
      <w:r w:rsidRPr="00BF356D">
        <w:t>29.</w:t>
      </w:r>
      <w:r w:rsidRPr="00BF356D">
        <w:tab/>
      </w:r>
      <w:r w:rsidR="00872140" w:rsidRPr="00BF356D">
        <w:t>καλεί την ΕΚΤ να εντείνει την παρακολούθηση των κρυπτοστοιχείων, π.χ. των σταθερών κρυπτονομισμάτων·</w:t>
      </w:r>
    </w:p>
    <w:p w14:paraId="75874E52" w14:textId="3CCD0860" w:rsidR="00872140" w:rsidRPr="00BF356D" w:rsidRDefault="008C4028" w:rsidP="008C4028">
      <w:pPr>
        <w:pStyle w:val="NormalHanging12a"/>
        <w:ind w:left="570" w:hanging="570"/>
      </w:pPr>
      <w:r w:rsidRPr="00BF356D">
        <w:t>30.</w:t>
      </w:r>
      <w:r w:rsidRPr="00BF356D">
        <w:tab/>
      </w:r>
      <w:r w:rsidR="00872140" w:rsidRPr="00BF356D">
        <w:t>στηρίζει την ΕΚΤ στις προσπάθειές της να ανταποκριθεί στον διεθνή ρόλο του ευρώ μέσω, μεταξύ άλλων, επαρκών συμφωνιών ανταλλαγής νομισμάτων και συμφωνιών επαναγοράς·</w:t>
      </w:r>
    </w:p>
    <w:p w14:paraId="62D4A935" w14:textId="550F08AF" w:rsidR="00872140" w:rsidRPr="00BF356D" w:rsidRDefault="008C4028" w:rsidP="008C4028">
      <w:pPr>
        <w:pStyle w:val="NormalHanging12a"/>
        <w:ind w:left="570" w:hanging="570"/>
      </w:pPr>
      <w:r w:rsidRPr="00BF356D">
        <w:t>31.</w:t>
      </w:r>
      <w:r w:rsidRPr="00BF356D">
        <w:tab/>
      </w:r>
      <w:r w:rsidR="00872140" w:rsidRPr="00BF356D">
        <w:t>υποδέχεται τη Δημοκρατία της Βουλγαρίας ως το 21ο μέλος της ζώνης του ευρώ, από την 1η Ιανουαρίου 2026·</w:t>
      </w:r>
    </w:p>
    <w:p w14:paraId="136C3531" w14:textId="5692B3F8" w:rsidR="00872140" w:rsidRPr="00BF356D" w:rsidRDefault="008C4028" w:rsidP="008C4028">
      <w:pPr>
        <w:pStyle w:val="NormalHanging12a"/>
        <w:ind w:left="570" w:hanging="570"/>
      </w:pPr>
      <w:r w:rsidRPr="00BF356D">
        <w:t>32.</w:t>
      </w:r>
      <w:r w:rsidRPr="00BF356D">
        <w:tab/>
      </w:r>
      <w:r w:rsidR="00872140" w:rsidRPr="00BF356D">
        <w:t>εκφράζει την ανησυχία του για την προσωρινή διακοπή λειτουργίας των συστημάτων διακανονισμού σε συνεχή χρόνο T2 και T2S της ΕΚΤ τον Φεβρουάριο του 2025· καλεί την ΕΚΤ να παρακολουθεί στενά και να διασφαλίζει την ορθή λειτουργία των συστημάτων διακανονισμού·</w:t>
      </w:r>
    </w:p>
    <w:p w14:paraId="39415199" w14:textId="485A9854" w:rsidR="00872140" w:rsidRPr="00BF356D" w:rsidRDefault="008C4028" w:rsidP="008C4028">
      <w:pPr>
        <w:pStyle w:val="NormalHanging12a"/>
        <w:ind w:left="570" w:hanging="570"/>
      </w:pPr>
      <w:r w:rsidRPr="00BF356D">
        <w:t>33.</w:t>
      </w:r>
      <w:r w:rsidRPr="00BF356D">
        <w:tab/>
      </w:r>
      <w:r w:rsidR="00872140" w:rsidRPr="00BF356D">
        <w:t xml:space="preserve">εκφράζει την ανησυχία του για τις διαδοχικές ζημίες που υπέστη η ΕΚΤ το 2023 και το 2024 λόγω του κινδύνου επιτοκίου· σημειώνει ότι οι ζημίες αυτές δεν έχουν υπονομεύσει την επιχειρησιακή ικανότητα του </w:t>
      </w:r>
      <w:proofErr w:type="spellStart"/>
      <w:r w:rsidR="00872140" w:rsidRPr="00BF356D">
        <w:t>Ευρωσυστήματος</w:t>
      </w:r>
      <w:proofErr w:type="spellEnd"/>
      <w:r w:rsidR="00872140" w:rsidRPr="00BF356D">
        <w:t xml:space="preserve"> να εφαρμόζει τη νομισματική πολιτική του·</w:t>
      </w:r>
    </w:p>
    <w:p w14:paraId="19E42849" w14:textId="2EF6AD14" w:rsidR="00872140" w:rsidRPr="00BF356D" w:rsidRDefault="008C4028" w:rsidP="008C4028">
      <w:pPr>
        <w:pStyle w:val="NormalHanging12a"/>
        <w:ind w:left="570" w:hanging="570"/>
      </w:pPr>
      <w:r w:rsidRPr="00BF356D">
        <w:t>34.</w:t>
      </w:r>
      <w:r w:rsidRPr="00BF356D">
        <w:tab/>
      </w:r>
      <w:r w:rsidR="00872140" w:rsidRPr="00BF356D">
        <w:t xml:space="preserve">υποστηρίζει τον ρόλο της ΕΚΤ στην προώθηση της χρηματοπιστωτικής σταθερότητας στο πλαίσιο του ενιαίου εποπτικού μηχανισμού και τη λειτουργία της ΕΚΤ ως δανειστή </w:t>
      </w:r>
      <w:r w:rsidR="00872140" w:rsidRPr="00BF356D">
        <w:lastRenderedPageBreak/>
        <w:t>έσχατης ανάγκης σε φερέγγυα ιδρύματα, έναντι καλών εξασφαλίσεων και με επιτόκια ποινής, για τη διασφάλιση της ρευστότητας και της εμπιστοσύνης κατά τη διάρκεια κρίσεων·</w:t>
      </w:r>
    </w:p>
    <w:p w14:paraId="60EA39DB" w14:textId="123FA702" w:rsidR="00872140" w:rsidRPr="00BF356D" w:rsidRDefault="008C4028" w:rsidP="008C4028">
      <w:pPr>
        <w:pStyle w:val="NormalHanging12a"/>
        <w:ind w:left="570" w:hanging="570"/>
      </w:pPr>
      <w:r w:rsidRPr="00BF356D">
        <w:t>35.</w:t>
      </w:r>
      <w:r w:rsidRPr="00BF356D">
        <w:tab/>
      </w:r>
      <w:r w:rsidR="00872140" w:rsidRPr="00BF356D">
        <w:t>υποστηρίζει την ΕΚΤ στις προσπάθειές της να βελτιώσει τον χρηματοοικονομικό γραμματισμό στην ΕΕ·</w:t>
      </w:r>
    </w:p>
    <w:p w14:paraId="14BA6F63" w14:textId="4699B849" w:rsidR="00872140" w:rsidRPr="00BF356D" w:rsidRDefault="008C4028" w:rsidP="008C4028">
      <w:pPr>
        <w:pStyle w:val="NormalHanging12a"/>
        <w:ind w:left="570" w:hanging="570"/>
      </w:pPr>
      <w:r w:rsidRPr="00BF356D">
        <w:t>36.</w:t>
      </w:r>
      <w:r w:rsidRPr="00BF356D">
        <w:tab/>
      </w:r>
      <w:r w:rsidR="00872140" w:rsidRPr="00BF356D">
        <w:t>εκφράζει την ικανοποίησή του για τη δέσμευση της ΕΚΤ να καταβάλει προσπάθειες απλούστευσης, όπως με τη δημιουργία της ειδικής ομάδας υψηλού επιπέδου της ΕΚΤ για την απλούστευση· επισημαίνει ότι το έργο της ειδικής ομάδας και η συνέχεια που θα δοθεί σε αυτό πρέπει να χαρακτηρίζονται από υψηλό βαθμό φιλοδοξίας, και εκφράζει την ικανοποίησή του για τις διεξοδικές συζητήσεις της ΕΚΤ με το Κοινοβούλιο·</w:t>
      </w:r>
    </w:p>
    <w:p w14:paraId="4F4FE0DC" w14:textId="74AA5C09" w:rsidR="00872140" w:rsidRPr="00BF356D" w:rsidRDefault="008C4028" w:rsidP="008C4028">
      <w:pPr>
        <w:pStyle w:val="NormalHanging12a"/>
        <w:ind w:left="570" w:hanging="570"/>
      </w:pPr>
      <w:r w:rsidRPr="00BF356D">
        <w:t>37.</w:t>
      </w:r>
      <w:r w:rsidRPr="00BF356D">
        <w:tab/>
      </w:r>
      <w:r w:rsidR="00872140" w:rsidRPr="00BF356D">
        <w:t>καλεί την ΕΚΤ να προωθήσει τον ανοικτό και εποικοδομητικό εσωτερικό διάλογο· ζητεί να ενισχυθούν περαιτέρω τα πλαίσια εκπροσώπησης του προσωπικού και το εσωτερικό πλαίσιο της ΕΚΤ για την καταγγελία δυσλειτουργιών·</w:t>
      </w:r>
    </w:p>
    <w:p w14:paraId="46724518" w14:textId="00FC9345" w:rsidR="00872140" w:rsidRPr="00BF356D" w:rsidRDefault="008C4028" w:rsidP="008C4028">
      <w:pPr>
        <w:pStyle w:val="NormalHanging12a"/>
        <w:ind w:left="570" w:hanging="570"/>
      </w:pPr>
      <w:r w:rsidRPr="00BF356D">
        <w:t>38.</w:t>
      </w:r>
      <w:r w:rsidRPr="00BF356D">
        <w:tab/>
      </w:r>
      <w:r w:rsidR="00872140" w:rsidRPr="00BF356D">
        <w:t>επαναλαμβάνει ότι οι υποψηφιότητες για την εκτελεστική επιτροπή της ΕΚΤ θα πρέπει να βασίζονται στις ικανότητες και να χαρακτηρίζονται από ισόρροπη εκπροσώπηση των φύλων και αξιοκρατία, και παράλληλα θα πρέπει να υποβάλλονται στο Κοινοβούλιο κατάλογοι επικρατέστερων υποψηφίων, και να έχουν όλα τα άτομα, ανεξαρτήτως φύλου, ίσες ευκαιρίες να υπηρετήσουν ως διοικητές των αντίστοιχων εθνικών κεντρικών τραπεζών·</w:t>
      </w:r>
    </w:p>
    <w:p w14:paraId="28D17626" w14:textId="5E230826" w:rsidR="00872140" w:rsidRPr="00BF356D" w:rsidRDefault="008C4028" w:rsidP="008C4028">
      <w:pPr>
        <w:pStyle w:val="NormalHanging12a"/>
        <w:ind w:left="570" w:hanging="570"/>
      </w:pPr>
      <w:r w:rsidRPr="00BF356D">
        <w:t>39.</w:t>
      </w:r>
      <w:r w:rsidRPr="00BF356D">
        <w:tab/>
      </w:r>
      <w:r w:rsidR="00872140" w:rsidRPr="00BF356D">
        <w:t>καλεί το ΕΣΚΤ να συνεχίσει και να ενισχύσει τους διαλόγους του με τα εθνικά κοινοβούλια, πράγμα που, κατά τη γνώμη του, θα ενισχύσει τη νομιμότητα και τις πολιτικές του ΕΣΚΤ·</w:t>
      </w:r>
    </w:p>
    <w:p w14:paraId="06AE4DC6" w14:textId="77777777" w:rsidR="00872140" w:rsidRPr="00BF356D" w:rsidRDefault="00872140" w:rsidP="004167BC">
      <w:pPr>
        <w:pStyle w:val="NormalCenter12a"/>
        <w:ind w:left="567" w:hanging="567"/>
      </w:pPr>
      <w:r w:rsidRPr="00BF356D">
        <w:t>°</w:t>
      </w:r>
    </w:p>
    <w:p w14:paraId="67EA60B8" w14:textId="77777777" w:rsidR="00872140" w:rsidRPr="00BF356D" w:rsidRDefault="00872140" w:rsidP="004167BC">
      <w:pPr>
        <w:pStyle w:val="NormalCenter12a"/>
        <w:ind w:left="567" w:hanging="567"/>
      </w:pPr>
      <w:r w:rsidRPr="00BF356D">
        <w:t>°</w:t>
      </w:r>
      <w:r w:rsidRPr="00BF356D">
        <w:tab/>
        <w:t>°</w:t>
      </w:r>
    </w:p>
    <w:p w14:paraId="258D711A" w14:textId="7778535D" w:rsidR="00A85500" w:rsidRPr="00BF356D" w:rsidRDefault="008C4028" w:rsidP="008C4028">
      <w:pPr>
        <w:pStyle w:val="NormalHanging12a"/>
        <w:ind w:left="570" w:hanging="570"/>
      </w:pPr>
      <w:r w:rsidRPr="00BF356D">
        <w:t>40.</w:t>
      </w:r>
      <w:r w:rsidRPr="00BF356D">
        <w:tab/>
      </w:r>
      <w:r w:rsidR="00872140" w:rsidRPr="00BF356D">
        <w:t>αναθέτει στην Πρόεδρό του να διαβιβάσει το παρόν ψήφισμα στο Συμβούλιο και στην Επιτροπή.</w:t>
      </w:r>
    </w:p>
    <w:p w14:paraId="24F8CD8C" w14:textId="7CD67884" w:rsidR="00E365E1" w:rsidRPr="00BF356D" w:rsidRDefault="00E365E1" w:rsidP="004167BC">
      <w:pPr>
        <w:widowControl/>
        <w:spacing w:after="240"/>
        <w:ind w:left="567" w:hanging="567"/>
      </w:pPr>
    </w:p>
    <w:sectPr w:rsidR="00E365E1" w:rsidRPr="00BF356D" w:rsidSect="00A8550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212C3" w14:textId="77777777" w:rsidR="00BD4824" w:rsidRPr="00A85500" w:rsidRDefault="00BD4824">
      <w:r w:rsidRPr="00A85500">
        <w:separator/>
      </w:r>
    </w:p>
  </w:endnote>
  <w:endnote w:type="continuationSeparator" w:id="0">
    <w:p w14:paraId="001D6967" w14:textId="77777777" w:rsidR="00BD4824" w:rsidRPr="00A85500" w:rsidRDefault="00BD4824">
      <w:r w:rsidRPr="00A855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3093" w14:textId="77777777" w:rsidR="00064002" w:rsidRPr="00A855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E3A4" w14:textId="77777777" w:rsidR="00064002" w:rsidRPr="00A855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40B6" w14:textId="77777777" w:rsidR="00064002" w:rsidRPr="00A855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042A" w14:textId="77777777" w:rsidR="00BD4824" w:rsidRPr="00A85500" w:rsidRDefault="00BD4824">
      <w:r w:rsidRPr="00A85500">
        <w:separator/>
      </w:r>
    </w:p>
  </w:footnote>
  <w:footnote w:type="continuationSeparator" w:id="0">
    <w:p w14:paraId="0D55B80D" w14:textId="77777777" w:rsidR="00BD4824" w:rsidRPr="00A85500" w:rsidRDefault="00BD4824">
      <w:r w:rsidRPr="00A85500">
        <w:continuationSeparator/>
      </w:r>
    </w:p>
  </w:footnote>
  <w:footnote w:id="1">
    <w:p w14:paraId="75980ACA" w14:textId="5DC7B513" w:rsidR="00B64145" w:rsidRPr="005A792B" w:rsidRDefault="00B64145" w:rsidP="00B64145">
      <w:pPr>
        <w:pStyle w:val="FootnoteText"/>
        <w:ind w:left="567" w:hanging="567"/>
        <w:rPr>
          <w:sz w:val="24"/>
          <w:szCs w:val="24"/>
          <w:lang w:val="el-GR"/>
        </w:rPr>
      </w:pPr>
      <w:r>
        <w:rPr>
          <w:rStyle w:val="FootnoteReference"/>
        </w:rPr>
        <w:footnoteRef/>
      </w:r>
      <w:r w:rsidRPr="005A792B">
        <w:rPr>
          <w:sz w:val="24"/>
          <w:szCs w:val="24"/>
          <w:vertAlign w:val="superscript"/>
          <w:lang w:val="el-GR"/>
        </w:rPr>
        <w:t xml:space="preserve"> </w:t>
      </w:r>
      <w:r w:rsidRPr="005A792B">
        <w:rPr>
          <w:sz w:val="24"/>
          <w:szCs w:val="24"/>
          <w:vertAlign w:val="superscript"/>
          <w:lang w:val="el-GR"/>
        </w:rPr>
        <w:tab/>
      </w:r>
      <w:r w:rsidRPr="005A792B">
        <w:rPr>
          <w:sz w:val="24"/>
          <w:szCs w:val="24"/>
          <w:lang w:val="el-GR"/>
        </w:rPr>
        <w:t>Ενημερωτικό σημείωμα — «</w:t>
      </w:r>
      <w:proofErr w:type="spellStart"/>
      <w:r w:rsidRPr="005A792B">
        <w:rPr>
          <w:sz w:val="24"/>
          <w:szCs w:val="24"/>
          <w:lang w:val="el-GR"/>
        </w:rPr>
        <w:t>Turning</w:t>
      </w:r>
      <w:proofErr w:type="spellEnd"/>
      <w:r w:rsidRPr="005A792B">
        <w:rPr>
          <w:sz w:val="24"/>
          <w:szCs w:val="24"/>
          <w:lang w:val="el-GR"/>
        </w:rPr>
        <w:t xml:space="preserve"> </w:t>
      </w:r>
      <w:proofErr w:type="spellStart"/>
      <w:r w:rsidRPr="005A792B">
        <w:rPr>
          <w:sz w:val="24"/>
          <w:szCs w:val="24"/>
          <w:lang w:val="el-GR"/>
        </w:rPr>
        <w:t>point</w:t>
      </w:r>
      <w:proofErr w:type="spellEnd"/>
      <w:r w:rsidRPr="005A792B">
        <w:rPr>
          <w:sz w:val="24"/>
          <w:szCs w:val="24"/>
          <w:lang w:val="el-GR"/>
        </w:rPr>
        <w:t xml:space="preserve"> </w:t>
      </w:r>
      <w:proofErr w:type="spellStart"/>
      <w:r w:rsidRPr="005A792B">
        <w:rPr>
          <w:sz w:val="24"/>
          <w:szCs w:val="24"/>
          <w:lang w:val="el-GR"/>
        </w:rPr>
        <w:t>or</w:t>
      </w:r>
      <w:proofErr w:type="spellEnd"/>
      <w:r w:rsidRPr="005A792B">
        <w:rPr>
          <w:sz w:val="24"/>
          <w:szCs w:val="24"/>
          <w:lang w:val="el-GR"/>
        </w:rPr>
        <w:t xml:space="preserve"> </w:t>
      </w:r>
      <w:proofErr w:type="spellStart"/>
      <w:r w:rsidRPr="005A792B">
        <w:rPr>
          <w:sz w:val="24"/>
          <w:szCs w:val="24"/>
          <w:lang w:val="el-GR"/>
        </w:rPr>
        <w:t>continuity</w:t>
      </w:r>
      <w:proofErr w:type="spellEnd"/>
      <w:r w:rsidRPr="005A792B">
        <w:rPr>
          <w:sz w:val="24"/>
          <w:szCs w:val="24"/>
          <w:lang w:val="el-GR"/>
        </w:rPr>
        <w:t xml:space="preserve">? The </w:t>
      </w:r>
      <w:proofErr w:type="spellStart"/>
      <w:r w:rsidRPr="005A792B">
        <w:rPr>
          <w:sz w:val="24"/>
          <w:szCs w:val="24"/>
          <w:lang w:val="el-GR"/>
        </w:rPr>
        <w:t>ECB’s</w:t>
      </w:r>
      <w:proofErr w:type="spellEnd"/>
      <w:r w:rsidRPr="005A792B">
        <w:rPr>
          <w:sz w:val="24"/>
          <w:szCs w:val="24"/>
          <w:lang w:val="el-GR"/>
        </w:rPr>
        <w:t xml:space="preserve"> 2025 </w:t>
      </w:r>
      <w:proofErr w:type="spellStart"/>
      <w:r w:rsidRPr="005A792B">
        <w:rPr>
          <w:sz w:val="24"/>
          <w:szCs w:val="24"/>
          <w:lang w:val="el-GR"/>
        </w:rPr>
        <w:t>strategy</w:t>
      </w:r>
      <w:proofErr w:type="spellEnd"/>
      <w:r w:rsidRPr="005A792B">
        <w:rPr>
          <w:sz w:val="24"/>
          <w:szCs w:val="24"/>
          <w:lang w:val="el-GR"/>
        </w:rPr>
        <w:t xml:space="preserve"> </w:t>
      </w:r>
      <w:proofErr w:type="spellStart"/>
      <w:r w:rsidRPr="005A792B">
        <w:rPr>
          <w:sz w:val="24"/>
          <w:szCs w:val="24"/>
          <w:lang w:val="el-GR"/>
        </w:rPr>
        <w:t>review</w:t>
      </w:r>
      <w:proofErr w:type="spellEnd"/>
      <w:r w:rsidRPr="005A792B">
        <w:rPr>
          <w:sz w:val="24"/>
          <w:szCs w:val="24"/>
          <w:lang w:val="el-GR"/>
        </w:rPr>
        <w:t>» (Σημείο καμπής ή συνέχεια; Η επανεξέταση της στρατηγικής της ΕΚΤ, του 2025), Ευρωπαϊκό Κοινοβούλιο, Γενική Διεύθυνση Οικονομίας, Μετασχηματισμού και Βιομηχανίας, Μονάδα Ελέγχου της Οικονομικής Διακυβέρνησης και της ΟΝΕ (EGOV), Οκτώβριος 2025.</w:t>
      </w:r>
    </w:p>
  </w:footnote>
  <w:footnote w:id="2">
    <w:p w14:paraId="6C05560D" w14:textId="646EB3F1" w:rsidR="00B64145" w:rsidRPr="005A792B" w:rsidRDefault="00B64145" w:rsidP="00B64145">
      <w:pPr>
        <w:pStyle w:val="FootnoteText"/>
        <w:ind w:left="567" w:hanging="567"/>
        <w:rPr>
          <w:sz w:val="24"/>
          <w:szCs w:val="24"/>
          <w:lang w:val="el-GR"/>
        </w:rPr>
      </w:pPr>
      <w:r>
        <w:rPr>
          <w:rStyle w:val="FootnoteReference"/>
        </w:rPr>
        <w:footnoteRef/>
      </w:r>
      <w:r w:rsidRPr="005A792B">
        <w:rPr>
          <w:sz w:val="24"/>
          <w:szCs w:val="24"/>
          <w:vertAlign w:val="superscript"/>
          <w:lang w:val="el-GR"/>
        </w:rPr>
        <w:t xml:space="preserve"> </w:t>
      </w:r>
      <w:r w:rsidRPr="005A792B">
        <w:rPr>
          <w:sz w:val="24"/>
          <w:szCs w:val="24"/>
          <w:vertAlign w:val="superscript"/>
          <w:lang w:val="el-GR"/>
        </w:rPr>
        <w:tab/>
      </w:r>
      <w:r w:rsidRPr="005A792B">
        <w:rPr>
          <w:sz w:val="24"/>
          <w:szCs w:val="24"/>
          <w:lang w:val="el-GR"/>
        </w:rPr>
        <w:t xml:space="preserve">Λεπτομερής ανάλυση — «The </w:t>
      </w:r>
      <w:proofErr w:type="spellStart"/>
      <w:r w:rsidRPr="005A792B">
        <w:rPr>
          <w:sz w:val="24"/>
          <w:szCs w:val="24"/>
          <w:lang w:val="el-GR"/>
        </w:rPr>
        <w:t>silent</w:t>
      </w:r>
      <w:proofErr w:type="spellEnd"/>
      <w:r w:rsidRPr="005A792B">
        <w:rPr>
          <w:sz w:val="24"/>
          <w:szCs w:val="24"/>
          <w:lang w:val="el-GR"/>
        </w:rPr>
        <w:t xml:space="preserve"> </w:t>
      </w:r>
      <w:proofErr w:type="spellStart"/>
      <w:r w:rsidRPr="005A792B">
        <w:rPr>
          <w:sz w:val="24"/>
          <w:szCs w:val="24"/>
          <w:lang w:val="el-GR"/>
        </w:rPr>
        <w:t>hand</w:t>
      </w:r>
      <w:proofErr w:type="spellEnd"/>
      <w:r w:rsidRPr="005A792B">
        <w:rPr>
          <w:sz w:val="24"/>
          <w:szCs w:val="24"/>
          <w:lang w:val="el-GR"/>
        </w:rPr>
        <w:t xml:space="preserve"> of </w:t>
      </w:r>
      <w:proofErr w:type="spellStart"/>
      <w:r w:rsidRPr="005A792B">
        <w:rPr>
          <w:sz w:val="24"/>
          <w:szCs w:val="24"/>
          <w:lang w:val="el-GR"/>
        </w:rPr>
        <w:t>central</w:t>
      </w:r>
      <w:proofErr w:type="spellEnd"/>
      <w:r w:rsidRPr="005A792B">
        <w:rPr>
          <w:sz w:val="24"/>
          <w:szCs w:val="24"/>
          <w:lang w:val="el-GR"/>
        </w:rPr>
        <w:t xml:space="preserve"> </w:t>
      </w:r>
      <w:proofErr w:type="spellStart"/>
      <w:r w:rsidRPr="005A792B">
        <w:rPr>
          <w:sz w:val="24"/>
          <w:szCs w:val="24"/>
          <w:lang w:val="el-GR"/>
        </w:rPr>
        <w:t>banking</w:t>
      </w:r>
      <w:proofErr w:type="spellEnd"/>
      <w:r w:rsidRPr="005A792B">
        <w:rPr>
          <w:sz w:val="24"/>
          <w:szCs w:val="24"/>
          <w:lang w:val="el-GR"/>
        </w:rPr>
        <w:t xml:space="preserve">: </w:t>
      </w:r>
      <w:proofErr w:type="spellStart"/>
      <w:r w:rsidRPr="005A792B">
        <w:rPr>
          <w:sz w:val="24"/>
          <w:szCs w:val="24"/>
          <w:lang w:val="el-GR"/>
        </w:rPr>
        <w:t>collateral</w:t>
      </w:r>
      <w:proofErr w:type="spellEnd"/>
      <w:r w:rsidRPr="005A792B">
        <w:rPr>
          <w:sz w:val="24"/>
          <w:szCs w:val="24"/>
          <w:lang w:val="el-GR"/>
        </w:rPr>
        <w:t xml:space="preserve"> </w:t>
      </w:r>
      <w:proofErr w:type="spellStart"/>
      <w:r w:rsidRPr="005A792B">
        <w:rPr>
          <w:sz w:val="24"/>
          <w:szCs w:val="24"/>
          <w:lang w:val="el-GR"/>
        </w:rPr>
        <w:t>framework</w:t>
      </w:r>
      <w:proofErr w:type="spellEnd"/>
      <w:r w:rsidRPr="005A792B">
        <w:rPr>
          <w:sz w:val="24"/>
          <w:szCs w:val="24"/>
          <w:lang w:val="el-GR"/>
        </w:rPr>
        <w:t>» (Το αθόρυβο χέρι της κεντρικής τραπεζικής: πλαίσιο ασφαλειών), Ευρωπαϊκό Κοινοβούλιο, Γενική Διεύθυνση Οικονομίας, Μετασχηματισμού και Βιομηχανίας, EGOV, Ιούνιος 2025.</w:t>
      </w:r>
    </w:p>
  </w:footnote>
  <w:footnote w:id="3">
    <w:p w14:paraId="5A4085E0" w14:textId="6CCADEB8" w:rsidR="00B64145" w:rsidRPr="005A792B" w:rsidRDefault="00B64145" w:rsidP="00B64145">
      <w:pPr>
        <w:pStyle w:val="FootnoteText"/>
        <w:ind w:left="567" w:hanging="567"/>
        <w:rPr>
          <w:sz w:val="24"/>
          <w:szCs w:val="24"/>
          <w:lang w:val="en-GB"/>
        </w:rPr>
      </w:pPr>
      <w:r>
        <w:rPr>
          <w:rStyle w:val="FootnoteReference"/>
        </w:rPr>
        <w:footnoteRef/>
      </w:r>
      <w:r w:rsidRPr="005A792B">
        <w:rPr>
          <w:sz w:val="24"/>
          <w:szCs w:val="24"/>
          <w:vertAlign w:val="superscript"/>
          <w:lang w:val="en-GB"/>
        </w:rPr>
        <w:t xml:space="preserve"> </w:t>
      </w:r>
      <w:r w:rsidRPr="005A792B">
        <w:rPr>
          <w:sz w:val="24"/>
          <w:szCs w:val="24"/>
          <w:vertAlign w:val="superscript"/>
          <w:lang w:val="en-GB"/>
        </w:rPr>
        <w:tab/>
      </w:r>
      <w:r w:rsidRPr="005A792B">
        <w:rPr>
          <w:sz w:val="24"/>
          <w:szCs w:val="24"/>
          <w:lang w:val="en-GB"/>
        </w:rPr>
        <w:t xml:space="preserve">Cochrane, J.H. </w:t>
      </w:r>
      <w:r w:rsidRPr="005A792B">
        <w:rPr>
          <w:sz w:val="24"/>
          <w:szCs w:val="24"/>
          <w:lang w:val="el-GR"/>
        </w:rPr>
        <w:t>κ</w:t>
      </w:r>
      <w:r w:rsidRPr="005A792B">
        <w:rPr>
          <w:sz w:val="24"/>
          <w:szCs w:val="24"/>
          <w:lang w:val="en-GB"/>
        </w:rPr>
        <w:t>.</w:t>
      </w:r>
      <w:r w:rsidRPr="005A792B">
        <w:rPr>
          <w:sz w:val="24"/>
          <w:szCs w:val="24"/>
          <w:lang w:val="el-GR"/>
        </w:rPr>
        <w:t>ά</w:t>
      </w:r>
      <w:r w:rsidRPr="005A792B">
        <w:rPr>
          <w:sz w:val="24"/>
          <w:szCs w:val="24"/>
          <w:lang w:val="en-GB"/>
        </w:rPr>
        <w:t>., «Crisis Cycle: Challenges, Evolution, and Future of the Euro» (</w:t>
      </w:r>
      <w:r w:rsidRPr="005A792B">
        <w:rPr>
          <w:sz w:val="24"/>
          <w:szCs w:val="24"/>
          <w:lang w:val="el-GR"/>
        </w:rPr>
        <w:t>Κύκλος</w:t>
      </w:r>
      <w:r w:rsidRPr="005A792B">
        <w:rPr>
          <w:sz w:val="24"/>
          <w:szCs w:val="24"/>
          <w:lang w:val="en-GB"/>
        </w:rPr>
        <w:t xml:space="preserve"> </w:t>
      </w:r>
      <w:r w:rsidRPr="005A792B">
        <w:rPr>
          <w:sz w:val="24"/>
          <w:szCs w:val="24"/>
          <w:lang w:val="el-GR"/>
        </w:rPr>
        <w:t>κρίσης</w:t>
      </w:r>
      <w:r w:rsidRPr="005A792B">
        <w:rPr>
          <w:sz w:val="24"/>
          <w:szCs w:val="24"/>
          <w:lang w:val="en-GB"/>
        </w:rPr>
        <w:t xml:space="preserve">: </w:t>
      </w:r>
      <w:r w:rsidRPr="005A792B">
        <w:rPr>
          <w:sz w:val="24"/>
          <w:szCs w:val="24"/>
          <w:lang w:val="el-GR"/>
        </w:rPr>
        <w:t>Προκλήσεις</w:t>
      </w:r>
      <w:r w:rsidRPr="005A792B">
        <w:rPr>
          <w:sz w:val="24"/>
          <w:szCs w:val="24"/>
          <w:lang w:val="en-GB"/>
        </w:rPr>
        <w:t xml:space="preserve">, </w:t>
      </w:r>
      <w:r w:rsidRPr="005A792B">
        <w:rPr>
          <w:sz w:val="24"/>
          <w:szCs w:val="24"/>
          <w:lang w:val="el-GR"/>
        </w:rPr>
        <w:t>εξέλιξη</w:t>
      </w:r>
      <w:r w:rsidRPr="005A792B">
        <w:rPr>
          <w:sz w:val="24"/>
          <w:szCs w:val="24"/>
          <w:lang w:val="en-GB"/>
        </w:rPr>
        <w:t xml:space="preserve"> </w:t>
      </w:r>
      <w:r w:rsidRPr="005A792B">
        <w:rPr>
          <w:sz w:val="24"/>
          <w:szCs w:val="24"/>
          <w:lang w:val="el-GR"/>
        </w:rPr>
        <w:t>και</w:t>
      </w:r>
      <w:r w:rsidRPr="005A792B">
        <w:rPr>
          <w:sz w:val="24"/>
          <w:szCs w:val="24"/>
          <w:lang w:val="en-GB"/>
        </w:rPr>
        <w:t xml:space="preserve"> </w:t>
      </w:r>
      <w:r w:rsidRPr="005A792B">
        <w:rPr>
          <w:sz w:val="24"/>
          <w:szCs w:val="24"/>
          <w:lang w:val="el-GR"/>
        </w:rPr>
        <w:t>μέλλον</w:t>
      </w:r>
      <w:r w:rsidRPr="005A792B">
        <w:rPr>
          <w:sz w:val="24"/>
          <w:szCs w:val="24"/>
          <w:lang w:val="en-GB"/>
        </w:rPr>
        <w:t xml:space="preserve"> </w:t>
      </w:r>
      <w:r w:rsidRPr="005A792B">
        <w:rPr>
          <w:sz w:val="24"/>
          <w:szCs w:val="24"/>
          <w:lang w:val="el-GR"/>
        </w:rPr>
        <w:t>του</w:t>
      </w:r>
      <w:r w:rsidRPr="005A792B">
        <w:rPr>
          <w:sz w:val="24"/>
          <w:szCs w:val="24"/>
          <w:lang w:val="en-GB"/>
        </w:rPr>
        <w:t xml:space="preserve"> </w:t>
      </w:r>
      <w:r w:rsidRPr="005A792B">
        <w:rPr>
          <w:sz w:val="24"/>
          <w:szCs w:val="24"/>
          <w:lang w:val="el-GR"/>
        </w:rPr>
        <w:t>ευρώ</w:t>
      </w:r>
      <w:r w:rsidRPr="005A792B">
        <w:rPr>
          <w:sz w:val="24"/>
          <w:szCs w:val="24"/>
          <w:lang w:val="en-GB"/>
        </w:rPr>
        <w:t>), Princeton University Press, 2025.</w:t>
      </w:r>
    </w:p>
  </w:footnote>
  <w:footnote w:id="4">
    <w:p w14:paraId="2BFC02DA" w14:textId="150CD95C" w:rsidR="005A792B" w:rsidRPr="00B64145" w:rsidRDefault="005A792B" w:rsidP="00B64145">
      <w:pPr>
        <w:pStyle w:val="FootnoteText"/>
        <w:ind w:left="567" w:hanging="567"/>
        <w:rPr>
          <w:sz w:val="24"/>
          <w:szCs w:val="22"/>
          <w:lang w:val="el-GR"/>
        </w:rPr>
      </w:pPr>
      <w:r w:rsidRPr="00B64145">
        <w:rPr>
          <w:rStyle w:val="FootnoteReference"/>
          <w:sz w:val="24"/>
          <w:szCs w:val="22"/>
        </w:rPr>
        <w:footnoteRef/>
      </w:r>
      <w:r w:rsidRPr="00B64145">
        <w:rPr>
          <w:sz w:val="24"/>
          <w:szCs w:val="22"/>
          <w:lang w:val="el-GR"/>
        </w:rPr>
        <w:t xml:space="preserve"> </w:t>
      </w:r>
      <w:r w:rsidRPr="00B64145">
        <w:rPr>
          <w:sz w:val="24"/>
          <w:szCs w:val="22"/>
          <w:lang w:val="el-GR"/>
        </w:rPr>
        <w:tab/>
      </w:r>
      <w:proofErr w:type="spellStart"/>
      <w:r w:rsidRPr="00B64145">
        <w:rPr>
          <w:sz w:val="24"/>
          <w:szCs w:val="22"/>
          <w:lang w:val="el-GR"/>
        </w:rPr>
        <w:t>Ιστολόγιο</w:t>
      </w:r>
      <w:proofErr w:type="spellEnd"/>
      <w:r w:rsidRPr="00B64145">
        <w:rPr>
          <w:sz w:val="24"/>
          <w:szCs w:val="22"/>
          <w:lang w:val="el-GR"/>
        </w:rPr>
        <w:t xml:space="preserve"> της Ευρωπαϊκής Κεντρικής Τράπεζας, «</w:t>
      </w:r>
      <w:proofErr w:type="spellStart"/>
      <w:r w:rsidRPr="00B64145">
        <w:rPr>
          <w:sz w:val="24"/>
          <w:szCs w:val="22"/>
          <w:lang w:val="el-GR"/>
        </w:rPr>
        <w:t>When</w:t>
      </w:r>
      <w:proofErr w:type="spellEnd"/>
      <w:r w:rsidRPr="00B64145">
        <w:rPr>
          <w:sz w:val="24"/>
          <w:szCs w:val="22"/>
          <w:lang w:val="el-GR"/>
        </w:rPr>
        <w:t xml:space="preserve"> </w:t>
      </w:r>
      <w:proofErr w:type="spellStart"/>
      <w:r w:rsidRPr="00B64145">
        <w:rPr>
          <w:sz w:val="24"/>
          <w:szCs w:val="22"/>
          <w:lang w:val="el-GR"/>
        </w:rPr>
        <w:t>groceries</w:t>
      </w:r>
      <w:proofErr w:type="spellEnd"/>
      <w:r w:rsidRPr="00B64145">
        <w:rPr>
          <w:sz w:val="24"/>
          <w:szCs w:val="22"/>
          <w:lang w:val="el-GR"/>
        </w:rPr>
        <w:t xml:space="preserve"> </w:t>
      </w:r>
      <w:proofErr w:type="spellStart"/>
      <w:r w:rsidRPr="00B64145">
        <w:rPr>
          <w:sz w:val="24"/>
          <w:szCs w:val="22"/>
          <w:lang w:val="el-GR"/>
        </w:rPr>
        <w:t>bite</w:t>
      </w:r>
      <w:proofErr w:type="spellEnd"/>
      <w:r w:rsidRPr="00B64145">
        <w:rPr>
          <w:sz w:val="24"/>
          <w:szCs w:val="22"/>
          <w:lang w:val="el-GR"/>
        </w:rPr>
        <w:t xml:space="preserve">, the </w:t>
      </w:r>
      <w:proofErr w:type="spellStart"/>
      <w:r w:rsidRPr="00B64145">
        <w:rPr>
          <w:sz w:val="24"/>
          <w:szCs w:val="22"/>
          <w:lang w:val="el-GR"/>
        </w:rPr>
        <w:t>role</w:t>
      </w:r>
      <w:proofErr w:type="spellEnd"/>
      <w:r w:rsidRPr="00B64145">
        <w:rPr>
          <w:sz w:val="24"/>
          <w:szCs w:val="22"/>
          <w:lang w:val="el-GR"/>
        </w:rPr>
        <w:t xml:space="preserve"> of </w:t>
      </w:r>
      <w:proofErr w:type="spellStart"/>
      <w:r w:rsidRPr="00B64145">
        <w:rPr>
          <w:sz w:val="24"/>
          <w:szCs w:val="22"/>
          <w:lang w:val="el-GR"/>
        </w:rPr>
        <w:t>food</w:t>
      </w:r>
      <w:proofErr w:type="spellEnd"/>
      <w:r w:rsidRPr="00B64145">
        <w:rPr>
          <w:sz w:val="24"/>
          <w:szCs w:val="22"/>
          <w:lang w:val="el-GR"/>
        </w:rPr>
        <w:t xml:space="preserve"> </w:t>
      </w:r>
      <w:proofErr w:type="spellStart"/>
      <w:r w:rsidRPr="00B64145">
        <w:rPr>
          <w:sz w:val="24"/>
          <w:szCs w:val="22"/>
          <w:lang w:val="el-GR"/>
        </w:rPr>
        <w:t>prices</w:t>
      </w:r>
      <w:proofErr w:type="spellEnd"/>
      <w:r w:rsidRPr="00B64145">
        <w:rPr>
          <w:sz w:val="24"/>
          <w:szCs w:val="22"/>
          <w:lang w:val="el-GR"/>
        </w:rPr>
        <w:t xml:space="preserve"> for </w:t>
      </w:r>
      <w:proofErr w:type="spellStart"/>
      <w:r w:rsidRPr="00B64145">
        <w:rPr>
          <w:sz w:val="24"/>
          <w:szCs w:val="22"/>
          <w:lang w:val="el-GR"/>
        </w:rPr>
        <w:t>inflation</w:t>
      </w:r>
      <w:proofErr w:type="spellEnd"/>
      <w:r w:rsidRPr="00B64145">
        <w:rPr>
          <w:sz w:val="24"/>
          <w:szCs w:val="22"/>
          <w:lang w:val="el-GR"/>
        </w:rPr>
        <w:t xml:space="preserve"> in the </w:t>
      </w:r>
      <w:proofErr w:type="spellStart"/>
      <w:r w:rsidRPr="00B64145">
        <w:rPr>
          <w:sz w:val="24"/>
          <w:szCs w:val="22"/>
          <w:lang w:val="el-GR"/>
        </w:rPr>
        <w:t>euro</w:t>
      </w:r>
      <w:proofErr w:type="spellEnd"/>
      <w:r w:rsidRPr="00B64145">
        <w:rPr>
          <w:sz w:val="24"/>
          <w:szCs w:val="22"/>
          <w:lang w:val="el-GR"/>
        </w:rPr>
        <w:t xml:space="preserve"> </w:t>
      </w:r>
      <w:proofErr w:type="spellStart"/>
      <w:r w:rsidRPr="00B64145">
        <w:rPr>
          <w:sz w:val="24"/>
          <w:szCs w:val="22"/>
          <w:lang w:val="el-GR"/>
        </w:rPr>
        <w:t>area</w:t>
      </w:r>
      <w:proofErr w:type="spellEnd"/>
      <w:r w:rsidRPr="00B64145">
        <w:rPr>
          <w:sz w:val="24"/>
          <w:szCs w:val="22"/>
          <w:lang w:val="el-GR"/>
        </w:rPr>
        <w:t>» (Όταν τα τρόφιμα είναι τσιμπημένα: τι σημαίνουν οι τιμές των τροφίμων για τον πληθωρισμό στην ευρωζώνη), 25 Σεπτεμβρίου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B5264" w14:textId="77777777" w:rsidR="00064002" w:rsidRPr="00A855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5F133" w14:textId="77777777" w:rsidR="00064002" w:rsidRPr="00A855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DF2E2" w14:textId="77777777" w:rsidR="00064002" w:rsidRPr="00A855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1761E2"/>
    <w:multiLevelType w:val="hybridMultilevel"/>
    <w:tmpl w:val="6046D6AE"/>
    <w:lvl w:ilvl="0" w:tplc="51824D1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EB66B3"/>
    <w:multiLevelType w:val="hybridMultilevel"/>
    <w:tmpl w:val="817CD0F6"/>
    <w:lvl w:ilvl="0" w:tplc="51824D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FC3449"/>
    <w:multiLevelType w:val="hybridMultilevel"/>
    <w:tmpl w:val="20A254CC"/>
    <w:lvl w:ilvl="0" w:tplc="51824D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63B600FB"/>
    <w:multiLevelType w:val="hybridMultilevel"/>
    <w:tmpl w:val="96941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407C02"/>
    <w:multiLevelType w:val="hybridMultilevel"/>
    <w:tmpl w:val="4BAEA858"/>
    <w:lvl w:ilvl="0" w:tplc="51824D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675F74"/>
    <w:multiLevelType w:val="hybridMultilevel"/>
    <w:tmpl w:val="55EA56F4"/>
    <w:lvl w:ilvl="0" w:tplc="51824D1A">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1966097">
    <w:abstractNumId w:val="9"/>
  </w:num>
  <w:num w:numId="2" w16cid:durableId="352846448">
    <w:abstractNumId w:val="9"/>
  </w:num>
  <w:num w:numId="3" w16cid:durableId="1402101207">
    <w:abstractNumId w:val="7"/>
  </w:num>
  <w:num w:numId="4" w16cid:durableId="1068844657">
    <w:abstractNumId w:val="7"/>
  </w:num>
  <w:num w:numId="5" w16cid:durableId="1945309509">
    <w:abstractNumId w:val="6"/>
  </w:num>
  <w:num w:numId="6" w16cid:durableId="383411957">
    <w:abstractNumId w:val="6"/>
  </w:num>
  <w:num w:numId="7" w16cid:durableId="304356977">
    <w:abstractNumId w:val="5"/>
  </w:num>
  <w:num w:numId="8" w16cid:durableId="409279529">
    <w:abstractNumId w:val="5"/>
  </w:num>
  <w:num w:numId="9" w16cid:durableId="1259217962">
    <w:abstractNumId w:val="4"/>
  </w:num>
  <w:num w:numId="10" w16cid:durableId="1871725322">
    <w:abstractNumId w:val="4"/>
  </w:num>
  <w:num w:numId="11" w16cid:durableId="295841432">
    <w:abstractNumId w:val="8"/>
  </w:num>
  <w:num w:numId="12" w16cid:durableId="805120037">
    <w:abstractNumId w:val="8"/>
  </w:num>
  <w:num w:numId="13" w16cid:durableId="1801993026">
    <w:abstractNumId w:val="3"/>
  </w:num>
  <w:num w:numId="14" w16cid:durableId="1772891477">
    <w:abstractNumId w:val="3"/>
  </w:num>
  <w:num w:numId="15" w16cid:durableId="1160388564">
    <w:abstractNumId w:val="2"/>
  </w:num>
  <w:num w:numId="16" w16cid:durableId="1439134842">
    <w:abstractNumId w:val="2"/>
  </w:num>
  <w:num w:numId="17" w16cid:durableId="946814592">
    <w:abstractNumId w:val="1"/>
  </w:num>
  <w:num w:numId="18" w16cid:durableId="1034190182">
    <w:abstractNumId w:val="1"/>
  </w:num>
  <w:num w:numId="19" w16cid:durableId="1569534578">
    <w:abstractNumId w:val="0"/>
  </w:num>
  <w:num w:numId="20" w16cid:durableId="896092757">
    <w:abstractNumId w:val="0"/>
  </w:num>
  <w:num w:numId="21" w16cid:durableId="3366162">
    <w:abstractNumId w:val="9"/>
  </w:num>
  <w:num w:numId="22" w16cid:durableId="1421565503">
    <w:abstractNumId w:val="7"/>
  </w:num>
  <w:num w:numId="23" w16cid:durableId="1202863482">
    <w:abstractNumId w:val="6"/>
  </w:num>
  <w:num w:numId="24" w16cid:durableId="1139571018">
    <w:abstractNumId w:val="5"/>
  </w:num>
  <w:num w:numId="25" w16cid:durableId="676418577">
    <w:abstractNumId w:val="4"/>
  </w:num>
  <w:num w:numId="26" w16cid:durableId="432939356">
    <w:abstractNumId w:val="8"/>
  </w:num>
  <w:num w:numId="27" w16cid:durableId="1661349695">
    <w:abstractNumId w:val="3"/>
  </w:num>
  <w:num w:numId="28" w16cid:durableId="2027438590">
    <w:abstractNumId w:val="2"/>
  </w:num>
  <w:num w:numId="29" w16cid:durableId="2071145209">
    <w:abstractNumId w:val="1"/>
  </w:num>
  <w:num w:numId="30" w16cid:durableId="1590886498">
    <w:abstractNumId w:val="0"/>
  </w:num>
  <w:num w:numId="31" w16cid:durableId="1480339760">
    <w:abstractNumId w:val="9"/>
  </w:num>
  <w:num w:numId="32" w16cid:durableId="1620188987">
    <w:abstractNumId w:val="7"/>
  </w:num>
  <w:num w:numId="33" w16cid:durableId="1605191410">
    <w:abstractNumId w:val="6"/>
  </w:num>
  <w:num w:numId="34" w16cid:durableId="252858803">
    <w:abstractNumId w:val="5"/>
  </w:num>
  <w:num w:numId="35" w16cid:durableId="535892118">
    <w:abstractNumId w:val="4"/>
  </w:num>
  <w:num w:numId="36" w16cid:durableId="329335727">
    <w:abstractNumId w:val="8"/>
  </w:num>
  <w:num w:numId="37" w16cid:durableId="878396686">
    <w:abstractNumId w:val="3"/>
  </w:num>
  <w:num w:numId="38" w16cid:durableId="673800632">
    <w:abstractNumId w:val="2"/>
  </w:num>
  <w:num w:numId="39" w16cid:durableId="1674332406">
    <w:abstractNumId w:val="1"/>
  </w:num>
  <w:num w:numId="40" w16cid:durableId="712267722">
    <w:abstractNumId w:val="0"/>
  </w:num>
  <w:num w:numId="41" w16cid:durableId="2119326955">
    <w:abstractNumId w:val="10"/>
  </w:num>
  <w:num w:numId="42" w16cid:durableId="761268032">
    <w:abstractNumId w:val="10"/>
  </w:num>
  <w:num w:numId="43" w16cid:durableId="2056157794">
    <w:abstractNumId w:val="10"/>
  </w:num>
  <w:num w:numId="44" w16cid:durableId="152332639">
    <w:abstractNumId w:val="14"/>
  </w:num>
  <w:num w:numId="45" w16cid:durableId="167335363">
    <w:abstractNumId w:val="15"/>
  </w:num>
  <w:num w:numId="46" w16cid:durableId="71588510">
    <w:abstractNumId w:val="11"/>
  </w:num>
  <w:num w:numId="47" w16cid:durableId="967667036">
    <w:abstractNumId w:val="13"/>
  </w:num>
  <w:num w:numId="48" w16cid:durableId="1153983410">
    <w:abstractNumId w:val="16"/>
  </w:num>
  <w:num w:numId="49" w16cid:durableId="1911037263">
    <w:abstractNumId w:val="12"/>
  </w:num>
  <w:num w:numId="50" w16cid:durableId="3845976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EL"/>
    <w:docVar w:name="dvnumam" w:val="0"/>
    <w:docVar w:name="dvpe" w:val="778.306"/>
    <w:docVar w:name="dvrapporteur" w:val="Εισηγητής: "/>
    <w:docVar w:name="dvtitre" w:val="Ψήφισμα του Ευρωπαϊκού Κοινοβουλίου της ... 2026 σχετικά με την ετήσια έκθεση της Ευρωπαϊκής Κεντρικής Τράπεζας για το 2025(2025/2182(INI))"/>
  </w:docVars>
  <w:rsids>
    <w:rsidRoot w:val="00BD4824"/>
    <w:rsid w:val="00002272"/>
    <w:rsid w:val="00064002"/>
    <w:rsid w:val="000677B9"/>
    <w:rsid w:val="000831BA"/>
    <w:rsid w:val="000A42CC"/>
    <w:rsid w:val="000E4786"/>
    <w:rsid w:val="000E7DD9"/>
    <w:rsid w:val="0010095E"/>
    <w:rsid w:val="00125B37"/>
    <w:rsid w:val="00187494"/>
    <w:rsid w:val="001F32AE"/>
    <w:rsid w:val="002767FF"/>
    <w:rsid w:val="002B18FE"/>
    <w:rsid w:val="002B5493"/>
    <w:rsid w:val="00343214"/>
    <w:rsid w:val="00361C00"/>
    <w:rsid w:val="00395FA1"/>
    <w:rsid w:val="003E15D4"/>
    <w:rsid w:val="0040233B"/>
    <w:rsid w:val="00411CCE"/>
    <w:rsid w:val="0041666E"/>
    <w:rsid w:val="004167BC"/>
    <w:rsid w:val="00421060"/>
    <w:rsid w:val="00471C19"/>
    <w:rsid w:val="004867E3"/>
    <w:rsid w:val="00494A28"/>
    <w:rsid w:val="004C0004"/>
    <w:rsid w:val="004C5D52"/>
    <w:rsid w:val="0050519A"/>
    <w:rsid w:val="005072A1"/>
    <w:rsid w:val="00514517"/>
    <w:rsid w:val="00545827"/>
    <w:rsid w:val="0054608B"/>
    <w:rsid w:val="00560270"/>
    <w:rsid w:val="005A792B"/>
    <w:rsid w:val="005C2568"/>
    <w:rsid w:val="005F1B17"/>
    <w:rsid w:val="006037C0"/>
    <w:rsid w:val="006631B6"/>
    <w:rsid w:val="00680577"/>
    <w:rsid w:val="006F74FA"/>
    <w:rsid w:val="00731ADD"/>
    <w:rsid w:val="00734777"/>
    <w:rsid w:val="00747932"/>
    <w:rsid w:val="00751A4A"/>
    <w:rsid w:val="00756632"/>
    <w:rsid w:val="00762C74"/>
    <w:rsid w:val="00786EC0"/>
    <w:rsid w:val="007875DB"/>
    <w:rsid w:val="007D1690"/>
    <w:rsid w:val="007E22AD"/>
    <w:rsid w:val="00817416"/>
    <w:rsid w:val="00842779"/>
    <w:rsid w:val="00865F67"/>
    <w:rsid w:val="00872140"/>
    <w:rsid w:val="00881A7B"/>
    <w:rsid w:val="008840E5"/>
    <w:rsid w:val="00887B3E"/>
    <w:rsid w:val="008C2AC6"/>
    <w:rsid w:val="008C4028"/>
    <w:rsid w:val="00930C23"/>
    <w:rsid w:val="0093193B"/>
    <w:rsid w:val="009509D8"/>
    <w:rsid w:val="00950B64"/>
    <w:rsid w:val="00981893"/>
    <w:rsid w:val="00A1687D"/>
    <w:rsid w:val="00A43E52"/>
    <w:rsid w:val="00A4678D"/>
    <w:rsid w:val="00A778C7"/>
    <w:rsid w:val="00A85500"/>
    <w:rsid w:val="00AB441E"/>
    <w:rsid w:val="00AB6293"/>
    <w:rsid w:val="00AE0928"/>
    <w:rsid w:val="00AF3B82"/>
    <w:rsid w:val="00B12E95"/>
    <w:rsid w:val="00B22876"/>
    <w:rsid w:val="00B558F0"/>
    <w:rsid w:val="00B64145"/>
    <w:rsid w:val="00BD4824"/>
    <w:rsid w:val="00BD48FE"/>
    <w:rsid w:val="00BD7BD8"/>
    <w:rsid w:val="00BE6ADC"/>
    <w:rsid w:val="00BF356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6EA"/>
    <w:rsid w:val="00F31773"/>
    <w:rsid w:val="00F5134D"/>
    <w:rsid w:val="00F73AB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57688"/>
  <w15:chartTrackingRefBased/>
  <w15:docId w15:val="{4639CCB7-C001-46BD-B69A-0DF21298C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72140"/>
    <w:pPr>
      <w:widowControl/>
      <w:spacing w:after="240"/>
    </w:pPr>
    <w:rPr>
      <w:szCs w:val="24"/>
      <w:lang w:eastAsia="en-US"/>
    </w:rPr>
  </w:style>
  <w:style w:type="paragraph" w:customStyle="1" w:styleId="NormalHanging12a">
    <w:name w:val="NormalHanging12a"/>
    <w:basedOn w:val="Normal"/>
    <w:rsid w:val="00872140"/>
    <w:pPr>
      <w:widowControl/>
      <w:spacing w:after="240"/>
      <w:ind w:left="566" w:hanging="566"/>
    </w:pPr>
    <w:rPr>
      <w:szCs w:val="24"/>
      <w:lang w:eastAsia="en-US"/>
    </w:rPr>
  </w:style>
  <w:style w:type="paragraph" w:customStyle="1" w:styleId="Normal12">
    <w:name w:val="Normal12"/>
    <w:basedOn w:val="Normal"/>
    <w:rsid w:val="00872140"/>
    <w:pPr>
      <w:widowControl/>
      <w:spacing w:after="240"/>
    </w:pPr>
    <w:rPr>
      <w:szCs w:val="24"/>
      <w:lang w:eastAsia="en-US"/>
    </w:rPr>
  </w:style>
  <w:style w:type="paragraph" w:customStyle="1" w:styleId="NormalHanging">
    <w:name w:val="NormalHanging"/>
    <w:basedOn w:val="Normal"/>
    <w:rsid w:val="00872140"/>
    <w:pPr>
      <w:widowControl/>
      <w:spacing w:after="240"/>
      <w:ind w:left="566" w:hanging="566"/>
    </w:pPr>
    <w:rPr>
      <w:szCs w:val="24"/>
      <w:lang w:eastAsia="en-US"/>
    </w:rPr>
  </w:style>
  <w:style w:type="paragraph" w:customStyle="1" w:styleId="NormalBold12a">
    <w:name w:val="NormalBold12a"/>
    <w:basedOn w:val="Normal"/>
    <w:rsid w:val="00872140"/>
    <w:pPr>
      <w:widowControl/>
      <w:spacing w:after="240"/>
    </w:pPr>
    <w:rPr>
      <w:b/>
      <w:szCs w:val="24"/>
      <w:lang w:eastAsia="en-US"/>
    </w:rPr>
  </w:style>
  <w:style w:type="paragraph" w:customStyle="1" w:styleId="NormalCenter12a">
    <w:name w:val="NormalCenter12a"/>
    <w:basedOn w:val="Normal"/>
    <w:rsid w:val="00872140"/>
    <w:pPr>
      <w:widowControl/>
      <w:spacing w:after="240"/>
      <w:jc w:val="center"/>
    </w:pPr>
    <w:rPr>
      <w:szCs w:val="24"/>
      <w:lang w:eastAsia="en-US"/>
    </w:rPr>
  </w:style>
  <w:style w:type="paragraph" w:styleId="Revision">
    <w:name w:val="Revision"/>
    <w:hidden/>
    <w:uiPriority w:val="99"/>
    <w:semiHidden/>
    <w:rsid w:val="000E478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2445</Words>
  <Characters>14170</Characters>
  <Application>Microsoft Office Word</Application>
  <DocSecurity>0</DocSecurity>
  <Lines>566</Lines>
  <Paragraphs>415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2026-02-10T14:07:00Z</dcterms:created>
  <dcterms:modified xsi:type="dcterms:W3CDTF">2026-02-10T14:07:00Z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A10-0002/2026</vt:lpwstr>
  </property>
  <property fmtid="{D5CDD505-2E9C-101B-9397-08002B2CF9AE}" pid="4" name="&lt;Type&gt;">
    <vt:lpwstr>RR</vt:lpwstr>
  </property>
</Properties>
</file>