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F376E" w14:paraId="58E3BAF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6393515" w14:textId="77777777" w:rsidR="00751A4A" w:rsidRPr="00FF376E" w:rsidRDefault="00F76440" w:rsidP="0010095E">
            <w:pPr>
              <w:pStyle w:val="EPName"/>
            </w:pPr>
            <w:r w:rsidRPr="00FF376E">
              <w:t>Europski parlament</w:t>
            </w:r>
          </w:p>
          <w:p w14:paraId="6BB64FAD" w14:textId="77777777" w:rsidR="00751A4A" w:rsidRPr="00FF376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F376E">
              <w:t>2024</w:t>
            </w:r>
            <w:r w:rsidR="00817416" w:rsidRPr="00FF376E">
              <w:t>-202</w:t>
            </w:r>
            <w:r w:rsidRPr="00FF376E">
              <w:t>9</w:t>
            </w:r>
          </w:p>
        </w:tc>
        <w:tc>
          <w:tcPr>
            <w:tcW w:w="2268" w:type="dxa"/>
            <w:shd w:val="clear" w:color="auto" w:fill="auto"/>
          </w:tcPr>
          <w:p w14:paraId="4C1B9303" w14:textId="77777777" w:rsidR="00751A4A" w:rsidRPr="00FF376E" w:rsidRDefault="00187494" w:rsidP="0010095E">
            <w:pPr>
              <w:pStyle w:val="EPLogo"/>
            </w:pPr>
            <w:r w:rsidRPr="00FF376E">
              <w:rPr>
                <w:noProof/>
                <w:lang w:eastAsia="ja-JP"/>
              </w:rPr>
              <w:drawing>
                <wp:inline distT="0" distB="0" distL="0" distR="0" wp14:anchorId="47EAF88E" wp14:editId="1C4E3AA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388B6FA" w14:textId="77777777" w:rsidR="00D058B8" w:rsidRPr="00FF376E" w:rsidRDefault="00D058B8" w:rsidP="004C5D52">
      <w:pPr>
        <w:pStyle w:val="LineTop"/>
      </w:pPr>
    </w:p>
    <w:p w14:paraId="1EE06A77" w14:textId="77777777" w:rsidR="00680577" w:rsidRPr="00FF376E" w:rsidRDefault="00F76440" w:rsidP="00680577">
      <w:pPr>
        <w:pStyle w:val="EPBodyTA1"/>
      </w:pPr>
      <w:r w:rsidRPr="00FF376E">
        <w:t>USVOJENI TEKSTOVI</w:t>
      </w:r>
    </w:p>
    <w:p w14:paraId="22612250" w14:textId="77777777" w:rsidR="00D058B8" w:rsidRPr="00FF376E" w:rsidRDefault="00D058B8" w:rsidP="00D058B8">
      <w:pPr>
        <w:pStyle w:val="LineBottom"/>
      </w:pPr>
    </w:p>
    <w:p w14:paraId="036E0AB1" w14:textId="62B3245C" w:rsidR="00F76440" w:rsidRPr="00FF376E" w:rsidRDefault="00F76440" w:rsidP="00F76440">
      <w:pPr>
        <w:pStyle w:val="ATHeading1"/>
      </w:pPr>
      <w:bookmarkStart w:id="0" w:name="TANumber"/>
      <w:r w:rsidRPr="00FF376E">
        <w:t>P10_TA(2026)00</w:t>
      </w:r>
      <w:bookmarkEnd w:id="0"/>
      <w:r w:rsidR="009F6B3D">
        <w:t>34</w:t>
      </w:r>
    </w:p>
    <w:p w14:paraId="2F9CE18C" w14:textId="5D33F680" w:rsidR="00F76440" w:rsidRPr="00FF376E" w:rsidRDefault="00F76440" w:rsidP="00F76440">
      <w:pPr>
        <w:pStyle w:val="ATHeading2"/>
      </w:pPr>
      <w:bookmarkStart w:id="1" w:name="title"/>
      <w:r w:rsidRPr="00FF376E">
        <w:t>Europska središnja banka – godišnje izvješće za 2025.</w:t>
      </w:r>
      <w:bookmarkEnd w:id="1"/>
      <w:r w:rsidR="00223F14">
        <w:t xml:space="preserve"> </w:t>
      </w:r>
    </w:p>
    <w:p w14:paraId="30858902" w14:textId="77777777" w:rsidR="00F76440" w:rsidRPr="00FF376E" w:rsidRDefault="00F76440" w:rsidP="00F76440">
      <w:pPr>
        <w:rPr>
          <w:i/>
          <w:vanish/>
        </w:rPr>
      </w:pPr>
      <w:r w:rsidRPr="00FF376E">
        <w:rPr>
          <w:i/>
        </w:rPr>
        <w:fldChar w:fldCharType="begin"/>
      </w:r>
      <w:r w:rsidRPr="00FF376E">
        <w:rPr>
          <w:i/>
        </w:rPr>
        <w:instrText xml:space="preserve"> TC"(</w:instrText>
      </w:r>
      <w:bookmarkStart w:id="2" w:name="DocNumber"/>
      <w:r w:rsidRPr="00FF376E">
        <w:rPr>
          <w:i/>
        </w:rPr>
        <w:instrText>A10-0002/2026</w:instrText>
      </w:r>
      <w:bookmarkEnd w:id="2"/>
      <w:r w:rsidRPr="00FF376E">
        <w:rPr>
          <w:i/>
        </w:rPr>
        <w:instrText xml:space="preserve"> - Izvjestitelj: Johan Van </w:instrText>
      </w:r>
      <w:proofErr w:type="spellStart"/>
      <w:r w:rsidRPr="00FF376E">
        <w:rPr>
          <w:i/>
        </w:rPr>
        <w:instrText>Overtveldt</w:instrText>
      </w:r>
      <w:proofErr w:type="spellEnd"/>
      <w:r w:rsidRPr="00FF376E">
        <w:rPr>
          <w:i/>
        </w:rPr>
        <w:instrText xml:space="preserve">)"\l3 \n&gt; \* MERGEFORMAT </w:instrText>
      </w:r>
      <w:r w:rsidRPr="00FF376E">
        <w:rPr>
          <w:i/>
        </w:rPr>
        <w:fldChar w:fldCharType="end"/>
      </w:r>
    </w:p>
    <w:p w14:paraId="0DE5E0B4" w14:textId="77777777" w:rsidR="00F76440" w:rsidRPr="00FF376E" w:rsidRDefault="00F76440" w:rsidP="00F76440">
      <w:pPr>
        <w:rPr>
          <w:vanish/>
        </w:rPr>
      </w:pPr>
      <w:bookmarkStart w:id="3" w:name="Commission"/>
      <w:r w:rsidRPr="00FF376E">
        <w:rPr>
          <w:vanish/>
        </w:rPr>
        <w:t>Odbor za ekonomsku i monetarnu politiku</w:t>
      </w:r>
      <w:bookmarkEnd w:id="3"/>
    </w:p>
    <w:p w14:paraId="46EA1E1A" w14:textId="77777777" w:rsidR="00F76440" w:rsidRPr="00FF376E" w:rsidRDefault="00F76440" w:rsidP="00F76440">
      <w:pPr>
        <w:rPr>
          <w:vanish/>
        </w:rPr>
      </w:pPr>
      <w:bookmarkStart w:id="4" w:name="PE"/>
      <w:r w:rsidRPr="00FF376E">
        <w:rPr>
          <w:vanish/>
        </w:rPr>
        <w:t>PE778.306</w:t>
      </w:r>
      <w:bookmarkEnd w:id="4"/>
    </w:p>
    <w:p w14:paraId="1E919494" w14:textId="312E50D4" w:rsidR="00F76440" w:rsidRPr="00FF376E" w:rsidRDefault="00F76440" w:rsidP="00F76440">
      <w:pPr>
        <w:pStyle w:val="ATHeading3"/>
      </w:pPr>
      <w:bookmarkStart w:id="5" w:name="Sujet"/>
      <w:r w:rsidRPr="00FF376E">
        <w:t xml:space="preserve">Rezolucija Europskog parlamenta od </w:t>
      </w:r>
      <w:r w:rsidR="00223F14">
        <w:t>10. veljače</w:t>
      </w:r>
      <w:r w:rsidRPr="00FF376E">
        <w:t xml:space="preserve"> 2026. o Europskoj središnjoj banci – godišnje izvješće za 2025.</w:t>
      </w:r>
      <w:bookmarkEnd w:id="5"/>
      <w:r w:rsidRPr="00FF376E">
        <w:t xml:space="preserve"> </w:t>
      </w:r>
      <w:bookmarkStart w:id="6" w:name="References"/>
      <w:r w:rsidRPr="00FF376E">
        <w:t>(2025/2182(INI))</w:t>
      </w:r>
      <w:bookmarkEnd w:id="6"/>
    </w:p>
    <w:p w14:paraId="052C3DE2" w14:textId="77777777" w:rsidR="00AF5D6C" w:rsidRPr="00FF376E" w:rsidRDefault="00AF5D6C" w:rsidP="00AF5D6C">
      <w:pPr>
        <w:pStyle w:val="Normal12"/>
      </w:pPr>
      <w:r w:rsidRPr="00FF376E">
        <w:rPr>
          <w:i/>
        </w:rPr>
        <w:t>Europski parlament</w:t>
      </w:r>
      <w:r w:rsidRPr="00FF376E">
        <w:t>,</w:t>
      </w:r>
    </w:p>
    <w:p w14:paraId="0D4EAE71" w14:textId="77777777" w:rsidR="00AF5D6C" w:rsidRPr="00FF376E" w:rsidRDefault="00AF5D6C" w:rsidP="00AF5D6C">
      <w:pPr>
        <w:pStyle w:val="NormalHanging"/>
      </w:pPr>
      <w:r w:rsidRPr="00FF376E">
        <w:t>–</w:t>
      </w:r>
      <w:r w:rsidRPr="00FF376E">
        <w:tab/>
        <w:t>uzimajući u obzir povratne informacije od 28. travnja 2025. koje je Europska središnja banka (ESB) dala kao odgovor na sadržaj Rezolucije Parlamenta o Godišnjem izvješću ESB-a za 2023.,</w:t>
      </w:r>
    </w:p>
    <w:p w14:paraId="1E86E664" w14:textId="77777777" w:rsidR="00AF5D6C" w:rsidRPr="00FF376E" w:rsidRDefault="00AF5D6C" w:rsidP="00AF5D6C">
      <w:pPr>
        <w:pStyle w:val="NormalHanging"/>
      </w:pPr>
      <w:r w:rsidRPr="00FF376E">
        <w:t>–</w:t>
      </w:r>
      <w:r w:rsidRPr="00FF376E">
        <w:tab/>
        <w:t>uzimajući u obzir Statut Europskog sustava središnjih banaka (ESSB) i ESB-a, a posebno njegove članke 2., 15. i 21.,</w:t>
      </w:r>
    </w:p>
    <w:p w14:paraId="38414CCA" w14:textId="77777777" w:rsidR="00AF5D6C" w:rsidRPr="00FF376E" w:rsidRDefault="00AF5D6C" w:rsidP="00AF5D6C">
      <w:pPr>
        <w:pStyle w:val="NormalHanging"/>
      </w:pPr>
      <w:r w:rsidRPr="00FF376E">
        <w:t>–</w:t>
      </w:r>
      <w:r w:rsidRPr="00FF376E">
        <w:tab/>
        <w:t>uzimajući u obzir članak 119., članak 123. stavak 1., članak 125., članak 127. stavke 1. i 2., članak 130., članak 282. stavak 2. i članak 284. stavak 3. Ugovora o funkcioniranju Europske unije (UFEU),</w:t>
      </w:r>
    </w:p>
    <w:p w14:paraId="3C2BBFA5" w14:textId="77777777" w:rsidR="00AF5D6C" w:rsidRPr="00FF376E" w:rsidRDefault="00AF5D6C" w:rsidP="00AF5D6C">
      <w:pPr>
        <w:pStyle w:val="NormalHanging"/>
      </w:pPr>
      <w:r w:rsidRPr="00FF376E">
        <w:t>–</w:t>
      </w:r>
      <w:r w:rsidRPr="00FF376E">
        <w:tab/>
        <w:t>uzimajući u obzir članke 3. i 13. Ugovora o Europskoj uniji (UEU),</w:t>
      </w:r>
    </w:p>
    <w:p w14:paraId="7563E3BF" w14:textId="77777777" w:rsidR="00AF5D6C" w:rsidRPr="00FF376E" w:rsidRDefault="00AF5D6C" w:rsidP="00AF5D6C">
      <w:pPr>
        <w:pStyle w:val="NormalHanging"/>
      </w:pPr>
      <w:r w:rsidRPr="00FF376E">
        <w:t>–</w:t>
      </w:r>
      <w:r w:rsidRPr="00FF376E">
        <w:tab/>
        <w:t xml:space="preserve">uzimajući u obzir monetarne dijaloge s predsjednicom ESB-a Christine </w:t>
      </w:r>
      <w:proofErr w:type="spellStart"/>
      <w:r w:rsidRPr="00FF376E">
        <w:t>Lagarde</w:t>
      </w:r>
      <w:proofErr w:type="spellEnd"/>
      <w:r w:rsidRPr="00FF376E">
        <w:t xml:space="preserve"> od 20. ožujka 2025., 23. lipnja 2025. i 6. listopada 2025.,</w:t>
      </w:r>
    </w:p>
    <w:p w14:paraId="1425092E" w14:textId="77777777" w:rsidR="00AF5D6C" w:rsidRPr="00FF376E" w:rsidRDefault="00AF5D6C" w:rsidP="00AF5D6C">
      <w:pPr>
        <w:pStyle w:val="NormalHanging"/>
      </w:pPr>
      <w:r w:rsidRPr="00FF376E">
        <w:t>–</w:t>
      </w:r>
      <w:r w:rsidRPr="00FF376E">
        <w:tab/>
        <w:t>uzimajući u obzir procjenu strategije monetarne politike ESB-a za 2025.,</w:t>
      </w:r>
    </w:p>
    <w:p w14:paraId="6BDDE7AD" w14:textId="77777777" w:rsidR="00AF5D6C" w:rsidRPr="00FF376E" w:rsidRDefault="00AF5D6C" w:rsidP="00AF5D6C">
      <w:pPr>
        <w:pStyle w:val="NormalHanging"/>
      </w:pPr>
      <w:r w:rsidRPr="00FF376E">
        <w:t>–</w:t>
      </w:r>
      <w:r w:rsidRPr="00FF376E">
        <w:tab/>
        <w:t>uzimajući u obzir izvješće ESB-a iz 2025. o međunarodnoj ulozi eura,</w:t>
      </w:r>
    </w:p>
    <w:p w14:paraId="3B0DBA01" w14:textId="77777777" w:rsidR="00AF5D6C" w:rsidRPr="00FF376E" w:rsidRDefault="00AF5D6C" w:rsidP="00AF5D6C">
      <w:pPr>
        <w:pStyle w:val="NormalHanging"/>
      </w:pPr>
      <w:r w:rsidRPr="00FF376E">
        <w:t>–</w:t>
      </w:r>
      <w:r w:rsidRPr="00FF376E">
        <w:tab/>
        <w:t>uzimajući u obzir plan ESB-a za klimu i prirodu za razdoblje 2024. – 2025.,</w:t>
      </w:r>
    </w:p>
    <w:p w14:paraId="18A59068" w14:textId="77777777" w:rsidR="00AF5D6C" w:rsidRPr="00FF376E" w:rsidRDefault="00AF5D6C" w:rsidP="00AF5D6C">
      <w:pPr>
        <w:pStyle w:val="NormalHanging"/>
      </w:pPr>
      <w:r w:rsidRPr="00FF376E">
        <w:t>–</w:t>
      </w:r>
      <w:r w:rsidRPr="00FF376E">
        <w:tab/>
        <w:t xml:space="preserve">uzimajući u obzir </w:t>
      </w:r>
      <w:proofErr w:type="spellStart"/>
      <w:r w:rsidRPr="00FF376E">
        <w:t>Eurostatovu</w:t>
      </w:r>
      <w:proofErr w:type="spellEnd"/>
      <w:r w:rsidRPr="00FF376E">
        <w:t xml:space="preserve"> procjenu inflacije od 20. kolovoza 2025. i početne procjene Eurostata od 1. listopada 2025.,</w:t>
      </w:r>
    </w:p>
    <w:p w14:paraId="22A1A9AB" w14:textId="460548E4" w:rsidR="00AF5D6C" w:rsidRPr="00FF376E" w:rsidRDefault="00AF5D6C" w:rsidP="00AF5D6C">
      <w:pPr>
        <w:pStyle w:val="NormalHanging"/>
      </w:pPr>
      <w:r w:rsidRPr="00FF376E">
        <w:t>–</w:t>
      </w:r>
      <w:r w:rsidRPr="00FF376E">
        <w:tab/>
        <w:t>uzimajući u obzir brifing EGOV-a iz listopada 2025. naslovljen „</w:t>
      </w:r>
      <w:proofErr w:type="spellStart"/>
      <w:r w:rsidRPr="00FF376E">
        <w:t>Turning</w:t>
      </w:r>
      <w:proofErr w:type="spellEnd"/>
      <w:r w:rsidRPr="00FF376E">
        <w:t xml:space="preserve"> </w:t>
      </w:r>
      <w:proofErr w:type="spellStart"/>
      <w:r w:rsidRPr="00FF376E">
        <w:t>point</w:t>
      </w:r>
      <w:proofErr w:type="spellEnd"/>
      <w:r w:rsidRPr="00FF376E">
        <w:t xml:space="preserve"> </w:t>
      </w:r>
      <w:proofErr w:type="spellStart"/>
      <w:r w:rsidRPr="00FF376E">
        <w:t>or</w:t>
      </w:r>
      <w:proofErr w:type="spellEnd"/>
      <w:r w:rsidRPr="00FF376E">
        <w:t xml:space="preserve"> </w:t>
      </w:r>
      <w:proofErr w:type="spellStart"/>
      <w:r w:rsidRPr="00FF376E">
        <w:t>continuity</w:t>
      </w:r>
      <w:proofErr w:type="spellEnd"/>
      <w:r w:rsidRPr="00FF376E">
        <w:t xml:space="preserve">? </w:t>
      </w:r>
      <w:proofErr w:type="spellStart"/>
      <w:r w:rsidRPr="00FF376E">
        <w:t>The</w:t>
      </w:r>
      <w:proofErr w:type="spellEnd"/>
      <w:r w:rsidRPr="00FF376E">
        <w:t xml:space="preserve"> </w:t>
      </w:r>
      <w:proofErr w:type="spellStart"/>
      <w:r w:rsidRPr="00FF376E">
        <w:t>ECB’s</w:t>
      </w:r>
      <w:proofErr w:type="spellEnd"/>
      <w:r w:rsidRPr="00FF376E">
        <w:t xml:space="preserve"> 2025 </w:t>
      </w:r>
      <w:proofErr w:type="spellStart"/>
      <w:r w:rsidRPr="00FF376E">
        <w:t>strategy</w:t>
      </w:r>
      <w:proofErr w:type="spellEnd"/>
      <w:r w:rsidRPr="00FF376E">
        <w:t xml:space="preserve"> </w:t>
      </w:r>
      <w:proofErr w:type="spellStart"/>
      <w:r w:rsidRPr="00FF376E">
        <w:t>review</w:t>
      </w:r>
      <w:proofErr w:type="spellEnd"/>
      <w:r w:rsidRPr="00FF376E">
        <w:t xml:space="preserve">” (Prekretnica ili kontinuitet? Revizija </w:t>
      </w:r>
      <w:r w:rsidRPr="00FF376E">
        <w:lastRenderedPageBreak/>
        <w:t>strategije ESB-a za 2025.) koji je objavila Glavna uprava ESB-a za ekonomiju, transformaciju i industriju</w:t>
      </w:r>
      <w:r w:rsidR="00206276">
        <w:rPr>
          <w:rStyle w:val="FootnoteReference"/>
        </w:rPr>
        <w:footnoteReference w:id="1"/>
      </w:r>
      <w:r w:rsidRPr="00FF376E">
        <w:t>,</w:t>
      </w:r>
    </w:p>
    <w:p w14:paraId="2EF6CE54" w14:textId="2FC20018" w:rsidR="00AF5D6C" w:rsidRPr="00FF376E" w:rsidRDefault="00AF5D6C" w:rsidP="00AF5D6C">
      <w:pPr>
        <w:pStyle w:val="NormalHanging"/>
      </w:pPr>
      <w:r w:rsidRPr="00FF376E">
        <w:t>–</w:t>
      </w:r>
      <w:r w:rsidRPr="00FF376E">
        <w:tab/>
        <w:t>uzimajući u obzir analizu EGOV-a iz lipnja 2025. naslovljenu „</w:t>
      </w:r>
      <w:proofErr w:type="spellStart"/>
      <w:r w:rsidRPr="00FF376E">
        <w:t>The</w:t>
      </w:r>
      <w:proofErr w:type="spellEnd"/>
      <w:r w:rsidRPr="00FF376E">
        <w:t xml:space="preserve"> </w:t>
      </w:r>
      <w:proofErr w:type="spellStart"/>
      <w:r w:rsidRPr="00FF376E">
        <w:t>silent</w:t>
      </w:r>
      <w:proofErr w:type="spellEnd"/>
      <w:r w:rsidRPr="00FF376E">
        <w:t xml:space="preserve"> </w:t>
      </w:r>
      <w:proofErr w:type="spellStart"/>
      <w:r w:rsidRPr="00FF376E">
        <w:t>hand</w:t>
      </w:r>
      <w:proofErr w:type="spellEnd"/>
      <w:r w:rsidRPr="00FF376E">
        <w:t xml:space="preserve"> </w:t>
      </w:r>
      <w:proofErr w:type="spellStart"/>
      <w:r w:rsidRPr="00FF376E">
        <w:t>of</w:t>
      </w:r>
      <w:proofErr w:type="spellEnd"/>
      <w:r w:rsidRPr="00FF376E">
        <w:t xml:space="preserve"> </w:t>
      </w:r>
      <w:proofErr w:type="spellStart"/>
      <w:r w:rsidRPr="00FF376E">
        <w:t>central</w:t>
      </w:r>
      <w:proofErr w:type="spellEnd"/>
      <w:r w:rsidRPr="00FF376E">
        <w:t xml:space="preserve"> </w:t>
      </w:r>
      <w:proofErr w:type="spellStart"/>
      <w:r w:rsidRPr="00FF376E">
        <w:t>banking</w:t>
      </w:r>
      <w:proofErr w:type="spellEnd"/>
      <w:r w:rsidRPr="00FF376E">
        <w:t xml:space="preserve">: </w:t>
      </w:r>
      <w:proofErr w:type="spellStart"/>
      <w:r w:rsidRPr="00FF376E">
        <w:t>collateral</w:t>
      </w:r>
      <w:proofErr w:type="spellEnd"/>
      <w:r w:rsidRPr="00FF376E">
        <w:t xml:space="preserve"> </w:t>
      </w:r>
      <w:proofErr w:type="spellStart"/>
      <w:r w:rsidRPr="00FF376E">
        <w:t>framework</w:t>
      </w:r>
      <w:proofErr w:type="spellEnd"/>
      <w:r w:rsidRPr="00FF376E">
        <w:t>” (Tiha ruka središnjeg bankarstva: kolateralni okvir) koju je objavila Glavna uprava ESB-a za ekonomiju, transformaciju i industriju</w:t>
      </w:r>
      <w:r w:rsidR="00206276">
        <w:rPr>
          <w:rStyle w:val="FootnoteReference"/>
        </w:rPr>
        <w:footnoteReference w:id="2"/>
      </w:r>
      <w:r w:rsidRPr="00FF376E">
        <w:t>,</w:t>
      </w:r>
    </w:p>
    <w:p w14:paraId="4D5631C0" w14:textId="77777777" w:rsidR="00AF5D6C" w:rsidRPr="00FF376E" w:rsidRDefault="00AF5D6C" w:rsidP="00AF5D6C">
      <w:pPr>
        <w:pStyle w:val="NormalHanging"/>
      </w:pPr>
      <w:r w:rsidRPr="00FF376E">
        <w:t>–</w:t>
      </w:r>
      <w:r w:rsidRPr="00FF376E">
        <w:tab/>
        <w:t>uzimajući u obzir članak 55. Poslovnika,</w:t>
      </w:r>
    </w:p>
    <w:p w14:paraId="7EBF664B" w14:textId="77777777" w:rsidR="00AF5D6C" w:rsidRPr="00FF376E" w:rsidRDefault="00AF5D6C" w:rsidP="00AF5D6C">
      <w:pPr>
        <w:pStyle w:val="NormalHanging"/>
      </w:pPr>
      <w:r w:rsidRPr="00FF376E">
        <w:t>–</w:t>
      </w:r>
      <w:r w:rsidRPr="00FF376E">
        <w:tab/>
        <w:t>uzimajući u obzir izvješće Odbora za ekonomsku i monetarnu politiku (A10-0002/2026),</w:t>
      </w:r>
    </w:p>
    <w:p w14:paraId="0FC43965" w14:textId="77777777" w:rsidR="00AF5D6C" w:rsidRPr="00FF376E" w:rsidRDefault="00AF5D6C" w:rsidP="00AF5D6C">
      <w:pPr>
        <w:pStyle w:val="NormalHanging"/>
      </w:pPr>
      <w:r w:rsidRPr="00FF376E">
        <w:t>A.</w:t>
      </w:r>
      <w:r w:rsidRPr="00FF376E">
        <w:tab/>
        <w:t xml:space="preserve">budući da je prema podacima Eurostata godišnja inflacija u EU-u iznosila 2,5 %, a inflacija u </w:t>
      </w:r>
      <w:proofErr w:type="spellStart"/>
      <w:r w:rsidRPr="00FF376E">
        <w:t>europodručju</w:t>
      </w:r>
      <w:proofErr w:type="spellEnd"/>
      <w:r w:rsidRPr="00FF376E">
        <w:t xml:space="preserve"> 2,1 % u listopadu 2025., kako je izmjereno harmoniziranim indeksom potrošačkih cijena;</w:t>
      </w:r>
    </w:p>
    <w:p w14:paraId="75DA8BC3" w14:textId="77777777" w:rsidR="00AF5D6C" w:rsidRPr="00FF376E" w:rsidRDefault="00AF5D6C" w:rsidP="00AF5D6C">
      <w:pPr>
        <w:pStyle w:val="NormalHanging"/>
      </w:pPr>
      <w:r w:rsidRPr="00FF376E">
        <w:t>B.</w:t>
      </w:r>
      <w:r w:rsidRPr="00FF376E">
        <w:tab/>
        <w:t>budući da su prema anketi ESB-a o očekivanjima potrošača iz listopada 2025. srednja inflacijska očekivanja i dalje iznad 2 %;</w:t>
      </w:r>
    </w:p>
    <w:p w14:paraId="5C30C142" w14:textId="77777777" w:rsidR="00AF5D6C" w:rsidRPr="00FF376E" w:rsidRDefault="00AF5D6C" w:rsidP="00AF5D6C">
      <w:pPr>
        <w:pStyle w:val="NormalHanging"/>
      </w:pPr>
      <w:r w:rsidRPr="00FF376E">
        <w:t>C.</w:t>
      </w:r>
      <w:r w:rsidRPr="00FF376E">
        <w:tab/>
        <w:t>budući da se ciljna inflacija ESB-a s vremenom preusmjerila s referentne vrijednosti „ispod 2 %” na cilj od „ispod, ali blizu 2 %” te na simetričan cilj od 2% u srednjoročnom razdoblju;</w:t>
      </w:r>
    </w:p>
    <w:p w14:paraId="5572DFE9" w14:textId="77777777" w:rsidR="00AF5D6C" w:rsidRPr="00FF376E" w:rsidRDefault="00AF5D6C" w:rsidP="00AF5D6C">
      <w:pPr>
        <w:pStyle w:val="NormalHanging"/>
      </w:pPr>
      <w:r w:rsidRPr="00FF376E">
        <w:t>D.</w:t>
      </w:r>
      <w:r w:rsidRPr="00FF376E">
        <w:tab/>
        <w:t>budući da su mogućnost posudbe na kraju dana i kamatna stopa na novčani depozit oformile uzak kamatni koridor oko kamatne stope na glavne operacije refinanciranja;</w:t>
      </w:r>
    </w:p>
    <w:p w14:paraId="3304CCCE" w14:textId="0F6C8CC4" w:rsidR="00AF5D6C" w:rsidRPr="00FF376E" w:rsidRDefault="00AF5D6C" w:rsidP="00AF5D6C">
      <w:pPr>
        <w:pStyle w:val="NormalHanging"/>
      </w:pPr>
      <w:r w:rsidRPr="00FF376E">
        <w:t>E.</w:t>
      </w:r>
      <w:r w:rsidRPr="00FF376E">
        <w:tab/>
        <w:t>budući da se okvir ESB-a u pogledu kupnje državnog duga stalno proširuje, od programa za tržišta vrijednosnih papira do programa izravnih monetarnih transakcija, programa kupnje vrijednosnih papira javnog sektora, hitnog programa kupnje zbog pandemije i instrumenta za zaštitu prijenosa</w:t>
      </w:r>
      <w:r w:rsidR="00206276">
        <w:rPr>
          <w:rStyle w:val="FootnoteReference"/>
        </w:rPr>
        <w:footnoteReference w:id="3"/>
      </w:r>
      <w:r w:rsidRPr="00FF376E">
        <w:t>;</w:t>
      </w:r>
    </w:p>
    <w:p w14:paraId="5A31C889" w14:textId="77777777" w:rsidR="00AF5D6C" w:rsidRPr="00FF376E" w:rsidRDefault="00AF5D6C" w:rsidP="00AF5D6C">
      <w:pPr>
        <w:pStyle w:val="NormalHanging"/>
      </w:pPr>
      <w:r w:rsidRPr="00FF376E">
        <w:t>F.</w:t>
      </w:r>
      <w:r w:rsidRPr="00FF376E">
        <w:tab/>
        <w:t>budući da su ponovna ulaganja u okviru programa kupnje vrijednosnih papira (APP) obustavljena od srpnja 2023., a u slučaju PEPP-a od prosinca 2024., čime se uspostavlja put za smanjenje bilance ESB-a;</w:t>
      </w:r>
    </w:p>
    <w:p w14:paraId="42E71778" w14:textId="77777777" w:rsidR="00AF5D6C" w:rsidRPr="00FF376E" w:rsidRDefault="00AF5D6C" w:rsidP="00AF5D6C">
      <w:pPr>
        <w:pStyle w:val="NormalHanging"/>
      </w:pPr>
      <w:r w:rsidRPr="00FF376E">
        <w:t>G.</w:t>
      </w:r>
      <w:r w:rsidRPr="00FF376E">
        <w:tab/>
        <w:t>budući da deflacija može biti benigna posljedica tehnološkog napretka;</w:t>
      </w:r>
    </w:p>
    <w:p w14:paraId="367C3F6B" w14:textId="77777777" w:rsidR="00AF5D6C" w:rsidRPr="00FF376E" w:rsidRDefault="00AF5D6C" w:rsidP="00AF5D6C">
      <w:pPr>
        <w:pStyle w:val="NormalHanging"/>
      </w:pPr>
      <w:r w:rsidRPr="00FF376E">
        <w:t>H.</w:t>
      </w:r>
      <w:r w:rsidRPr="00FF376E">
        <w:tab/>
        <w:t>budući da je člankom 123. UFEU-a i člankom 21. Statuta ESSB-a i ESB-a zabranjeno izravno monetarno financiranje država;</w:t>
      </w:r>
    </w:p>
    <w:p w14:paraId="5799CA21" w14:textId="77777777" w:rsidR="00AF5D6C" w:rsidRPr="00FF376E" w:rsidRDefault="00AF5D6C" w:rsidP="00AF5D6C">
      <w:pPr>
        <w:pStyle w:val="Normal12a"/>
      </w:pPr>
      <w:r w:rsidRPr="00FF376E">
        <w:rPr>
          <w:b/>
          <w:i/>
        </w:rPr>
        <w:t>Upravljanje</w:t>
      </w:r>
    </w:p>
    <w:p w14:paraId="41EC4129" w14:textId="77777777" w:rsidR="00AF5D6C" w:rsidRPr="00FF376E" w:rsidRDefault="00AF5D6C" w:rsidP="00AF5D6C">
      <w:pPr>
        <w:pStyle w:val="NormalHanging12a"/>
      </w:pPr>
      <w:r w:rsidRPr="00FF376E">
        <w:t>1.</w:t>
      </w:r>
      <w:r w:rsidRPr="00FF376E">
        <w:tab/>
        <w:t xml:space="preserve">podsjeća da se u članku 127. UFEU-a navodi da je „glavni cilj Europskog sustava središnjih banaka (ESSB) održati stabilnost cijena. Ne dovodeći u pitanje cilj stabilnosti </w:t>
      </w:r>
      <w:r w:rsidRPr="00FF376E">
        <w:lastRenderedPageBreak/>
        <w:t>cijena, ESSB podržava opće ekonomske politike u Uniji kako bi doprinio ostvarivanju ciljeva Unije utvrđenih člankom 3. Ugovora o Europskoj uniji. ESSB djeluje u skladu s načelom otvorenog tržišnog gospodarstva sa slobodnim tržišnim natjecanjem, dajući prednost učinkovitoj raspodjeli resursa te u skladu s načelima određenima člankom 119.”;</w:t>
      </w:r>
    </w:p>
    <w:p w14:paraId="1F8C8E53" w14:textId="77777777" w:rsidR="00AF5D6C" w:rsidRPr="00FF376E" w:rsidRDefault="00AF5D6C" w:rsidP="00AF5D6C">
      <w:pPr>
        <w:pStyle w:val="NormalHanging12a"/>
      </w:pPr>
      <w:r w:rsidRPr="00FF376E">
        <w:t>2.</w:t>
      </w:r>
      <w:r w:rsidRPr="00FF376E">
        <w:tab/>
        <w:t>ističe da je statutarna neovisnost ESB-a, kako je utvrđeno u Ugovorima, preduvjet na temelju kojeg ESB može ostvariti svoj mandat održavanja stabilnosti cijena;</w:t>
      </w:r>
    </w:p>
    <w:p w14:paraId="6E3CC41E" w14:textId="77777777" w:rsidR="00AF5D6C" w:rsidRPr="00FF376E" w:rsidRDefault="00AF5D6C" w:rsidP="00AF5D6C">
      <w:pPr>
        <w:pStyle w:val="NormalHanging12a"/>
      </w:pPr>
      <w:r w:rsidRPr="00FF376E">
        <w:t>3.</w:t>
      </w:r>
      <w:r w:rsidRPr="00FF376E">
        <w:tab/>
        <w:t>ističe da ESB polaže račune Parlamentu; naglašava da ESB mora donositi odluke bez političkog uplitanja kako bi ispunio svoj mandat; napominje da bi središnje banke trebale biti neovisne, ali ne i izolirane;</w:t>
      </w:r>
    </w:p>
    <w:p w14:paraId="2C3C950E" w14:textId="77777777" w:rsidR="00AF5D6C" w:rsidRPr="00FF376E" w:rsidRDefault="00AF5D6C" w:rsidP="00AF5D6C">
      <w:pPr>
        <w:pStyle w:val="NormalHanging12a"/>
      </w:pPr>
      <w:r w:rsidRPr="00FF376E">
        <w:t>4.</w:t>
      </w:r>
      <w:r w:rsidRPr="00FF376E">
        <w:tab/>
        <w:t>napominje da je transparentnost važna za jamčenje odgovornosti i da su potrebni pouzdan institucionalni koncept i mehanizmi odgovornosti; u tom smislu pozdravlja sporazume u obliku razmjene pisama između Europskog parlamenta i Europske središnje banke o strukturiranju interakcije u području središnjeg bankarstva;</w:t>
      </w:r>
    </w:p>
    <w:p w14:paraId="2B2F1221" w14:textId="77777777" w:rsidR="00AF5D6C" w:rsidRPr="00FF376E" w:rsidRDefault="00AF5D6C" w:rsidP="00AF5D6C">
      <w:pPr>
        <w:pStyle w:val="NormalHanging12a"/>
      </w:pPr>
      <w:r w:rsidRPr="00FF376E">
        <w:t>5.</w:t>
      </w:r>
      <w:r w:rsidRPr="00FF376E">
        <w:tab/>
        <w:t>poziva ESB da uloži napore u unapređenje instrumenata kojima se poboljšava transparentnost, kao što su referentne vrijednosti, uvid u njegove pretpostavke temeljene na modelima i procjene kretanja inflacije koje vrši Upravno vijeće;</w:t>
      </w:r>
    </w:p>
    <w:p w14:paraId="47D73FE0" w14:textId="77777777" w:rsidR="00AF5D6C" w:rsidRDefault="00AF5D6C" w:rsidP="00AF5D6C">
      <w:pPr>
        <w:pStyle w:val="NormalHanging12a"/>
      </w:pPr>
      <w:r w:rsidRPr="00FF376E">
        <w:t>6.</w:t>
      </w:r>
      <w:r w:rsidRPr="00FF376E">
        <w:tab/>
        <w:t>pozdravlja neovisnost ESB-a, kako je utvrđena u članku 130. UFEU-a; naglašava da neovisnost zahtijeva da djelovanje ESB-a ostane apolitično;</w:t>
      </w:r>
    </w:p>
    <w:p w14:paraId="37A643AA" w14:textId="7DE255FA" w:rsidR="009F6B3D" w:rsidRPr="009F6B3D" w:rsidRDefault="005C5F4D" w:rsidP="00AF5D6C">
      <w:pPr>
        <w:pStyle w:val="NormalHanging12a"/>
        <w:rPr>
          <w:bCs/>
          <w:iCs/>
        </w:rPr>
      </w:pPr>
      <w:r>
        <w:rPr>
          <w:bCs/>
          <w:iCs/>
        </w:rPr>
        <w:t>7</w:t>
      </w:r>
      <w:r w:rsidR="009F6B3D" w:rsidRPr="00447D4F">
        <w:rPr>
          <w:bCs/>
          <w:iCs/>
        </w:rPr>
        <w:t>.</w:t>
      </w:r>
      <w:r w:rsidR="009F6B3D" w:rsidRPr="009F6B3D">
        <w:rPr>
          <w:bCs/>
          <w:iCs/>
        </w:rPr>
        <w:tab/>
      </w:r>
      <w:bookmarkStart w:id="7" w:name="_Hlk221632260"/>
      <w:r w:rsidR="009F6B3D" w:rsidRPr="00447D4F">
        <w:rPr>
          <w:bCs/>
          <w:iCs/>
        </w:rPr>
        <w:t xml:space="preserve">podržava izjavu o solidarnosti </w:t>
      </w:r>
      <w:r w:rsidR="00447D4F">
        <w:rPr>
          <w:bCs/>
          <w:iCs/>
        </w:rPr>
        <w:t xml:space="preserve">s </w:t>
      </w:r>
      <w:r w:rsidR="00447D4F" w:rsidRPr="00447D4F">
        <w:rPr>
          <w:bCs/>
          <w:iCs/>
        </w:rPr>
        <w:t>američk</w:t>
      </w:r>
      <w:r w:rsidR="00447D4F">
        <w:rPr>
          <w:bCs/>
          <w:iCs/>
        </w:rPr>
        <w:t>im</w:t>
      </w:r>
      <w:r w:rsidR="00447D4F" w:rsidRPr="00447D4F">
        <w:rPr>
          <w:bCs/>
          <w:iCs/>
        </w:rPr>
        <w:t xml:space="preserve"> Sustav</w:t>
      </w:r>
      <w:r w:rsidR="00447D4F">
        <w:rPr>
          <w:bCs/>
          <w:iCs/>
        </w:rPr>
        <w:t>om</w:t>
      </w:r>
      <w:r w:rsidR="00447D4F" w:rsidRPr="00447D4F">
        <w:rPr>
          <w:bCs/>
          <w:iCs/>
        </w:rPr>
        <w:t xml:space="preserve"> federaln</w:t>
      </w:r>
      <w:r w:rsidR="00447D4F">
        <w:rPr>
          <w:bCs/>
          <w:iCs/>
        </w:rPr>
        <w:t>ih</w:t>
      </w:r>
      <w:r w:rsidR="00447D4F" w:rsidRPr="00447D4F">
        <w:rPr>
          <w:bCs/>
          <w:iCs/>
        </w:rPr>
        <w:t xml:space="preserve"> rezerv</w:t>
      </w:r>
      <w:r w:rsidR="00447D4F">
        <w:rPr>
          <w:bCs/>
          <w:iCs/>
        </w:rPr>
        <w:t xml:space="preserve">i </w:t>
      </w:r>
      <w:r w:rsidR="009F6B3D" w:rsidRPr="00447D4F">
        <w:rPr>
          <w:bCs/>
          <w:iCs/>
        </w:rPr>
        <w:t>koju su ESB i druge središnje banke diljem svijeta podnijele, u kojoj se naglašava važnost očuvanja neovisnosti središnje banke, uz potpuno poštovanje vladavine prava i demokratske odgovornosti;</w:t>
      </w:r>
    </w:p>
    <w:bookmarkEnd w:id="7"/>
    <w:p w14:paraId="27BA3D95" w14:textId="77777777" w:rsidR="00AF5D6C" w:rsidRPr="00FF376E" w:rsidRDefault="00AF5D6C" w:rsidP="00AF5D6C">
      <w:pPr>
        <w:pStyle w:val="Normal12a"/>
      </w:pPr>
      <w:r w:rsidRPr="00FF376E">
        <w:rPr>
          <w:b/>
          <w:i/>
        </w:rPr>
        <w:t>Monetarna politika</w:t>
      </w:r>
    </w:p>
    <w:p w14:paraId="2ED9425D" w14:textId="5B4D2E43" w:rsidR="00AF5D6C" w:rsidRPr="00FF376E" w:rsidRDefault="005C5F4D" w:rsidP="00AF5D6C">
      <w:pPr>
        <w:pStyle w:val="NormalHanging12a"/>
      </w:pPr>
      <w:r>
        <w:t>8</w:t>
      </w:r>
      <w:r w:rsidR="00AF5D6C" w:rsidRPr="00FF376E">
        <w:t>.</w:t>
      </w:r>
      <w:r w:rsidR="00AF5D6C" w:rsidRPr="00FF376E">
        <w:tab/>
        <w:t>ističe da je glavni cilj ESB-a održavanje stabilnosti cijena, što je jedan od potrebnih uvjeta za rast, konkurentnost i gospodarsku stabilnost u Uniji;</w:t>
      </w:r>
    </w:p>
    <w:p w14:paraId="5FD3BD54" w14:textId="3AF4ACD6" w:rsidR="00AF5D6C" w:rsidRPr="00FF376E" w:rsidRDefault="005C5F4D" w:rsidP="00AF5D6C">
      <w:pPr>
        <w:pStyle w:val="NormalHanging12a"/>
      </w:pPr>
      <w:r>
        <w:t>9</w:t>
      </w:r>
      <w:r w:rsidR="00AF5D6C" w:rsidRPr="00FF376E">
        <w:t>.</w:t>
      </w:r>
      <w:r w:rsidR="00AF5D6C" w:rsidRPr="00FF376E">
        <w:tab/>
        <w:t>izražava zabrinutost zbog visoke stope inflacije u godinama nakon pandemije bolesti COVID-19, izazvane šokovima na strani ponude; napominje da bi pravodoban povratak na stabilnost cijena u tom razdoblju bio opravdan odlukama ESB-a; poziva ESB da u svojem godišnjem izvješću temeljito analizira uzroke tih visokih stopa inflacije i izda niz preporuka za politike kako bi se iz svih budućih inflacijskih kriza izveli ispravni zaključci;</w:t>
      </w:r>
    </w:p>
    <w:p w14:paraId="59132DA9" w14:textId="5797682E" w:rsidR="00AF5D6C" w:rsidRDefault="005C5F4D" w:rsidP="00AF5D6C">
      <w:pPr>
        <w:pStyle w:val="NormalHanging12a"/>
      </w:pPr>
      <w:r>
        <w:t>10</w:t>
      </w:r>
      <w:r w:rsidR="00AF5D6C" w:rsidRPr="00FF376E">
        <w:t>.</w:t>
      </w:r>
      <w:r w:rsidR="00AF5D6C" w:rsidRPr="00FF376E">
        <w:tab/>
        <w:t>pozdravlja smanjenje inflacije u odnosu na stope u razdoblju 2022. – 2023. i nedavnu stabilizaciju inflacije; napominje da je ESB smanjio kamatnu stopu na depozite za 200 baznih bodova između lipnja 2024. i lipnja 2025.; prima na znanje kontinuirani rizik od ponovnog porasta inflacije; naglašava da bi daljnji koraci prema ublažavanju monetarne politike trebali biti razboriti, temeljeni na podacima i vođeni stabilnošću cijena;</w:t>
      </w:r>
    </w:p>
    <w:p w14:paraId="654019DA" w14:textId="404293C1" w:rsidR="00DC63CC" w:rsidRPr="009F6B3D" w:rsidRDefault="005C5F4D" w:rsidP="00DC63CC">
      <w:pPr>
        <w:pStyle w:val="NormalHanging12a"/>
        <w:rPr>
          <w:bCs/>
          <w:iCs/>
        </w:rPr>
      </w:pPr>
      <w:r>
        <w:rPr>
          <w:bCs/>
          <w:iCs/>
        </w:rPr>
        <w:t>11</w:t>
      </w:r>
      <w:r w:rsidR="009F6B3D" w:rsidRPr="00447D4F">
        <w:rPr>
          <w:bCs/>
          <w:iCs/>
        </w:rPr>
        <w:t>.</w:t>
      </w:r>
      <w:r w:rsidR="009F6B3D" w:rsidRPr="009F6B3D">
        <w:rPr>
          <w:bCs/>
          <w:iCs/>
        </w:rPr>
        <w:tab/>
      </w:r>
      <w:r w:rsidR="009F6B3D" w:rsidRPr="00447D4F">
        <w:rPr>
          <w:bCs/>
          <w:iCs/>
        </w:rPr>
        <w:t xml:space="preserve">izražava zabrinutost zbog visokih troškova života, s obzirom na to da su cijene hrane i energije u Europi porasle od pandemije bolesti COVID-19; napominje da je cijena </w:t>
      </w:r>
      <w:r w:rsidR="009F6B3D" w:rsidRPr="00447D4F">
        <w:rPr>
          <w:bCs/>
          <w:iCs/>
        </w:rPr>
        <w:lastRenderedPageBreak/>
        <w:t xml:space="preserve">obroka u </w:t>
      </w:r>
      <w:proofErr w:type="spellStart"/>
      <w:r w:rsidR="009F6B3D" w:rsidRPr="00447D4F">
        <w:rPr>
          <w:bCs/>
          <w:iCs/>
        </w:rPr>
        <w:t>europodručju</w:t>
      </w:r>
      <w:proofErr w:type="spellEnd"/>
      <w:r w:rsidR="009F6B3D" w:rsidRPr="00447D4F">
        <w:rPr>
          <w:bCs/>
          <w:iCs/>
        </w:rPr>
        <w:t xml:space="preserve"> 2025. bila u prosjeku za trećinu viša nego prije pandemije</w:t>
      </w:r>
      <w:r w:rsidR="009F6B3D">
        <w:rPr>
          <w:rStyle w:val="FootnoteReference"/>
          <w:bCs/>
          <w:iCs/>
        </w:rPr>
        <w:footnoteReference w:id="4"/>
      </w:r>
      <w:r w:rsidR="009F6B3D" w:rsidRPr="00447D4F">
        <w:rPr>
          <w:bCs/>
          <w:iCs/>
        </w:rPr>
        <w:t xml:space="preserve"> te da je to posebno utjecalo na kućanstva s niskim prihodima</w:t>
      </w:r>
      <w:r w:rsidR="00DC63CC">
        <w:rPr>
          <w:bCs/>
          <w:iCs/>
        </w:rPr>
        <w:t>;</w:t>
      </w:r>
    </w:p>
    <w:p w14:paraId="4FCB86AF" w14:textId="66848FC4" w:rsidR="00AF5D6C" w:rsidRPr="00FF376E" w:rsidRDefault="005C5F4D" w:rsidP="00AF5D6C">
      <w:pPr>
        <w:pStyle w:val="NormalHanging12a"/>
      </w:pPr>
      <w:r>
        <w:t>12</w:t>
      </w:r>
      <w:r w:rsidR="00AF5D6C" w:rsidRPr="00FF376E">
        <w:t>.</w:t>
      </w:r>
      <w:r w:rsidR="00AF5D6C" w:rsidRPr="00FF376E">
        <w:tab/>
        <w:t>posebno ističe potencijalno narušavajući učinak geopolitičke nesigurnosti, rizika za energetsku sigurnost i poremećaja u trgovini na kretanja cijena;</w:t>
      </w:r>
    </w:p>
    <w:p w14:paraId="4DFABCB1" w14:textId="068C30FE" w:rsidR="00AF5D6C" w:rsidRPr="00FF376E" w:rsidRDefault="005C5F4D" w:rsidP="00AF5D6C">
      <w:pPr>
        <w:pStyle w:val="NormalHanging12a"/>
      </w:pPr>
      <w:r>
        <w:t>13</w:t>
      </w:r>
      <w:r w:rsidR="00AF5D6C" w:rsidRPr="00FF376E">
        <w:t>.</w:t>
      </w:r>
      <w:r w:rsidR="00AF5D6C" w:rsidRPr="00FF376E">
        <w:tab/>
        <w:t>poziva ESB da procjenjuje prikladnost svojeg simetričnog cilja, uzimajući u obzir i kvalitativne faktore; prima na znanje procjenu strategije monetarne politike za 2025. i potiče ESB da periodično provodi takve procjene;</w:t>
      </w:r>
    </w:p>
    <w:p w14:paraId="2725B954" w14:textId="4B402B22" w:rsidR="00AF5D6C" w:rsidRPr="00FF376E" w:rsidRDefault="005C5F4D" w:rsidP="00AF5D6C">
      <w:pPr>
        <w:pStyle w:val="NormalHanging12a"/>
      </w:pPr>
      <w:r>
        <w:t>14</w:t>
      </w:r>
      <w:r w:rsidR="00AF5D6C" w:rsidRPr="00FF376E">
        <w:t>.</w:t>
      </w:r>
      <w:r w:rsidR="00AF5D6C" w:rsidRPr="00FF376E">
        <w:tab/>
        <w:t>naglašava da su ESB-ovi programi kupnje nekonvencionalni alati monetarne politike koji imaju nuspojave; posebno napominje da programi kupnje imovine mogu iskriviti cjenovne signale; napominje da je ESB tek vrlo postupno počeo smanjivati svoju bilancu; podržava ESB u daljnjem smanjenju njegove izravne uloge u kupnji vrijednosnih papira; potiče ESB da postupno ukine svoje programe kupnje državnih obveznica; žali zbog učinka fiskalnog položaja na ispunjavanje primarnog mandata ESB-a;</w:t>
      </w:r>
    </w:p>
    <w:p w14:paraId="6D439BFC" w14:textId="77C38D4B" w:rsidR="00AF5D6C" w:rsidRPr="00FF376E" w:rsidRDefault="005C5F4D" w:rsidP="00AF5D6C">
      <w:pPr>
        <w:pStyle w:val="NormalHanging12a"/>
      </w:pPr>
      <w:r>
        <w:t>15</w:t>
      </w:r>
      <w:r w:rsidR="00AF5D6C" w:rsidRPr="00FF376E">
        <w:t>.</w:t>
      </w:r>
      <w:r w:rsidR="00AF5D6C" w:rsidRPr="00FF376E">
        <w:tab/>
        <w:t>žali zbog toga što su programi kratkoročnog kreditiranja ESB-a u velikoj mjeri zamijenili privatno međubankovno tržište financiranja od financijske krize 2008.; poziva ESB da bankama ne isplaćuje kamatne stope na depozite koje su iznad tržišnih stopa jer je to u suprotnosti s načelom otvorenog tržišnog gospodarstva sa slobodnim tržišnim natjecanjem i da ukloni sve prepreke koje ometaju oporavak kratkoročnih neosiguranih međubankovnih tržišta;</w:t>
      </w:r>
    </w:p>
    <w:p w14:paraId="55C415E5" w14:textId="24105D33" w:rsidR="00AF5D6C" w:rsidRPr="00FF376E" w:rsidRDefault="005C5F4D" w:rsidP="00AF5D6C">
      <w:pPr>
        <w:pStyle w:val="NormalHanging12a"/>
      </w:pPr>
      <w:r>
        <w:t>16</w:t>
      </w:r>
      <w:r w:rsidR="00AF5D6C" w:rsidRPr="00FF376E">
        <w:t>.</w:t>
      </w:r>
      <w:r w:rsidR="00AF5D6C" w:rsidRPr="00FF376E">
        <w:tab/>
        <w:t>ističe da je važno zajamčiti visoke standarde kad je riječ o zahtjevima kvalitete koji se odnose na kolaterale u ugovorima o pozajmljivanju s ESB-om; prepoznaje da se standardi za kolaterale mogu koristiti kao alat za transmisiju monetarne politike;</w:t>
      </w:r>
    </w:p>
    <w:p w14:paraId="5E88DC10" w14:textId="22D4372F" w:rsidR="00AF5D6C" w:rsidRPr="00FF376E" w:rsidRDefault="005C5F4D" w:rsidP="00AF5D6C">
      <w:pPr>
        <w:pStyle w:val="NormalHanging12a"/>
      </w:pPr>
      <w:r>
        <w:t>17</w:t>
      </w:r>
      <w:r w:rsidR="00AF5D6C" w:rsidRPr="00FF376E">
        <w:t>.</w:t>
      </w:r>
      <w:r w:rsidR="00AF5D6C" w:rsidRPr="00FF376E">
        <w:tab/>
        <w:t xml:space="preserve">podržava ESB u njegovim naporima da u svrhu reprezentativnosti i usporedivosti među zemljama </w:t>
      </w:r>
      <w:proofErr w:type="spellStart"/>
      <w:r w:rsidR="00AF5D6C" w:rsidRPr="00FF376E">
        <w:t>europodručja</w:t>
      </w:r>
      <w:proofErr w:type="spellEnd"/>
      <w:r w:rsidR="00AF5D6C" w:rsidRPr="00FF376E">
        <w:t xml:space="preserve"> u svoje praćenje indeksa cijena uključi stambene objekte u kojima stanuju vlasnici, ovisno o usklađenom, metodološki pouzdanom pristupu;</w:t>
      </w:r>
    </w:p>
    <w:p w14:paraId="436F44E7" w14:textId="77777777" w:rsidR="00AF5D6C" w:rsidRPr="00FF376E" w:rsidRDefault="00AF5D6C" w:rsidP="00AF5D6C">
      <w:pPr>
        <w:pStyle w:val="Normal12a"/>
      </w:pPr>
      <w:r w:rsidRPr="00FF376E">
        <w:rPr>
          <w:b/>
          <w:i/>
        </w:rPr>
        <w:t>Sekundarni cilj: pružanje potpore općim gospodarskim politikama u Uniji</w:t>
      </w:r>
    </w:p>
    <w:p w14:paraId="1EB32BC2" w14:textId="4255CEC1" w:rsidR="00AF5D6C" w:rsidRPr="00FF376E" w:rsidRDefault="005C5F4D" w:rsidP="00AF5D6C">
      <w:pPr>
        <w:pStyle w:val="NormalHanging12a"/>
      </w:pPr>
      <w:r>
        <w:t>18</w:t>
      </w:r>
      <w:r w:rsidR="00AF5D6C" w:rsidRPr="00FF376E">
        <w:t>.</w:t>
      </w:r>
      <w:r w:rsidR="00AF5D6C" w:rsidRPr="00FF376E">
        <w:tab/>
        <w:t>primjećuje da ESB, u skladu s člankom 127. stavkom 1. UFEU-a, mora podržavati opće ekonomske politike u Uniji kako bi doprinio ostvarivanju ciljeva Unije utvrđenih člankom 3. UEU-a sve dok je njegova predanost stabilnosti cijena nepromijenjena;</w:t>
      </w:r>
    </w:p>
    <w:p w14:paraId="5AA28326" w14:textId="70E9A34B" w:rsidR="00AF5D6C" w:rsidRPr="00FF376E" w:rsidRDefault="005C5F4D" w:rsidP="00AF5D6C">
      <w:pPr>
        <w:pStyle w:val="NormalHanging12a"/>
      </w:pPr>
      <w:r>
        <w:t>19</w:t>
      </w:r>
      <w:r w:rsidR="00AF5D6C" w:rsidRPr="00FF376E">
        <w:t>.</w:t>
      </w:r>
      <w:r w:rsidR="00AF5D6C" w:rsidRPr="00FF376E">
        <w:tab/>
        <w:t xml:space="preserve">podsjeća da je </w:t>
      </w:r>
      <w:proofErr w:type="spellStart"/>
      <w:r w:rsidR="00AF5D6C" w:rsidRPr="00FF376E">
        <w:t>Eurosustav</w:t>
      </w:r>
      <w:proofErr w:type="spellEnd"/>
      <w:r w:rsidR="00AF5D6C" w:rsidRPr="00FF376E">
        <w:t xml:space="preserve"> izgrađen na načelu monetarne dominacije;</w:t>
      </w:r>
    </w:p>
    <w:p w14:paraId="278E2232" w14:textId="4E2A64A3" w:rsidR="00AF5D6C" w:rsidRPr="00FF376E" w:rsidRDefault="005C5F4D" w:rsidP="00AF5D6C">
      <w:pPr>
        <w:pStyle w:val="NormalHanging12a"/>
      </w:pPr>
      <w:r>
        <w:t>20</w:t>
      </w:r>
      <w:r w:rsidR="00AF5D6C" w:rsidRPr="00FF376E">
        <w:t>.</w:t>
      </w:r>
      <w:r w:rsidR="00AF5D6C" w:rsidRPr="00FF376E">
        <w:tab/>
        <w:t>ističe, u kontekstu ekonomske i monetarne unije i okvira gospodarskog upravljanja EU-a, važnost zdravih i održivih javnih financija u suočavanju s okruženjem visokih kamatnih stopa, dopunjavanju napora ESB-a da zadrži nisku inflaciju, održavanju stabilnog gospodarstva i održavanju otpornosti na buduće gospodarske i financijske šokove;</w:t>
      </w:r>
    </w:p>
    <w:p w14:paraId="12C2A664" w14:textId="4B63ACBD" w:rsidR="00AF5D6C" w:rsidRPr="00FF376E" w:rsidRDefault="005C5F4D" w:rsidP="00AF5D6C">
      <w:pPr>
        <w:pStyle w:val="NormalHanging12a"/>
      </w:pPr>
      <w:r>
        <w:lastRenderedPageBreak/>
        <w:t>21</w:t>
      </w:r>
      <w:r w:rsidR="00AF5D6C" w:rsidRPr="00FF376E">
        <w:t>.</w:t>
      </w:r>
      <w:r w:rsidR="00AF5D6C" w:rsidRPr="00FF376E">
        <w:tab/>
        <w:t>prima na znanje različita salda u sustavu TARGET2 koja proizlaze iz prekograničnih transakcija; prima na znanje potencijalne rizike da salda u sustavu TARGET2 postanu strukturna i predlaže da se uzmu u obzir nemonetarne prilagodbe politike;</w:t>
      </w:r>
    </w:p>
    <w:p w14:paraId="50761614" w14:textId="49E69B3D" w:rsidR="00AF5D6C" w:rsidRPr="00FF376E" w:rsidRDefault="005C5F4D" w:rsidP="00AF5D6C">
      <w:pPr>
        <w:pStyle w:val="NormalHanging12a"/>
      </w:pPr>
      <w:r>
        <w:t>22</w:t>
      </w:r>
      <w:r w:rsidR="00AF5D6C" w:rsidRPr="00FF376E">
        <w:t>.</w:t>
      </w:r>
      <w:r w:rsidR="00AF5D6C" w:rsidRPr="00FF376E">
        <w:tab/>
        <w:t xml:space="preserve">ističe da bi ESB trebao razmatrati </w:t>
      </w:r>
      <w:r w:rsidR="00E71A1D" w:rsidRPr="00447D4F">
        <w:rPr>
          <w:bCs/>
          <w:iCs/>
        </w:rPr>
        <w:t>samo</w:t>
      </w:r>
      <w:r w:rsidR="00E71A1D">
        <w:t xml:space="preserve"> </w:t>
      </w:r>
      <w:r w:rsidR="00AF5D6C" w:rsidRPr="00FF376E">
        <w:t>potencijalne učinke klimatskih promjena sa stajališta stabilnosti cijena te u okviru svojeg mandata;</w:t>
      </w:r>
    </w:p>
    <w:p w14:paraId="5D39EF9B" w14:textId="1F2622BB" w:rsidR="00AF5D6C" w:rsidRPr="00FF376E" w:rsidRDefault="005C5F4D" w:rsidP="00AF5D6C">
      <w:pPr>
        <w:pStyle w:val="NormalHanging12a"/>
      </w:pPr>
      <w:r>
        <w:t>23</w:t>
      </w:r>
      <w:r w:rsidR="00AF5D6C" w:rsidRPr="00FF376E">
        <w:t>.</w:t>
      </w:r>
      <w:r w:rsidR="00AF5D6C" w:rsidRPr="00FF376E">
        <w:tab/>
        <w:t>konstatira da je koncept tržišne neutralnosti povezan s načelom „otvorenog tržišnog gospodarstva sa slobodnim tržišnim natjecanjem”; poziva ESB da se, poštujući svoju neovisnost, pozabavi nefunkcioniranjem tržišta i osigura učinkovitu raspodjelu resursa u dugoročnom razdoblju, istodobno zadržavajući najvišu moguću razinu apolitičnosti i poštujući načelo neutralnosti tržišta; ističe da se takve odluke ne smiju donositi nauštrb postizanja mandata ESB-a;</w:t>
      </w:r>
    </w:p>
    <w:p w14:paraId="12A9EE32" w14:textId="150F1237" w:rsidR="00AF5D6C" w:rsidRDefault="005C5F4D" w:rsidP="00AF5D6C">
      <w:pPr>
        <w:pStyle w:val="NormalHanging12a"/>
      </w:pPr>
      <w:r>
        <w:t>24</w:t>
      </w:r>
      <w:r w:rsidR="00AF5D6C" w:rsidRPr="00FF376E">
        <w:t>.</w:t>
      </w:r>
      <w:r w:rsidR="00AF5D6C" w:rsidRPr="00FF376E">
        <w:tab/>
        <w:t>konstatira da monetarne politike ESB-a usmjerene na ispunjavanje njegove glavne zadaće podliježu procjeni proporcionalnosti;</w:t>
      </w:r>
    </w:p>
    <w:p w14:paraId="1C23A253" w14:textId="77777777" w:rsidR="00AF5D6C" w:rsidRDefault="00AF5D6C" w:rsidP="00AF5D6C">
      <w:pPr>
        <w:pStyle w:val="Normal12a"/>
        <w:rPr>
          <w:b/>
          <w:i/>
        </w:rPr>
      </w:pPr>
      <w:r w:rsidRPr="00FF376E">
        <w:rPr>
          <w:b/>
          <w:i/>
        </w:rPr>
        <w:t>Ostali aspekti</w:t>
      </w:r>
    </w:p>
    <w:p w14:paraId="35FF649E" w14:textId="2AFD0980" w:rsidR="00447D4F" w:rsidRPr="00FF376E" w:rsidRDefault="00447D4F" w:rsidP="00447D4F">
      <w:pPr>
        <w:pStyle w:val="NormalHanging12a"/>
      </w:pPr>
      <w:r>
        <w:rPr>
          <w:bCs/>
          <w:iCs/>
        </w:rPr>
        <w:t>25</w:t>
      </w:r>
      <w:r w:rsidRPr="00447D4F">
        <w:rPr>
          <w:bCs/>
          <w:iCs/>
        </w:rPr>
        <w:t>.</w:t>
      </w:r>
      <w:r w:rsidRPr="00E71A1D">
        <w:rPr>
          <w:bCs/>
          <w:iCs/>
        </w:rPr>
        <w:tab/>
      </w:r>
      <w:r w:rsidRPr="00447D4F">
        <w:rPr>
          <w:bCs/>
          <w:iCs/>
        </w:rPr>
        <w:t>podsjeća da je ravnopravan pristup platnim uslugama ključan za sudjelovanje u gospodarskom životu; ističe da bi sve veća digitalizacija plaćanja, ako se prepusti isključivo privatnim akterima i akterima izvan EU-a, mogla rezultirati novim oblicima isključivanja i za korisnike i za trgovce; naglašava da bi digitalni euro na internetu i bez interneta trebao doprinijeti zaštiti univerzalnog pristupa plaćanjima i širokom prihvaćanju od strane trgovaca diljem EU-a, uz potpuno poštovanje standarda privatnosti i zaštite podataka;</w:t>
      </w:r>
    </w:p>
    <w:p w14:paraId="1E16F96F" w14:textId="23EFB111" w:rsidR="00AF5D6C" w:rsidRPr="00E71A1D" w:rsidRDefault="005C5F4D" w:rsidP="00AF5D6C">
      <w:pPr>
        <w:pStyle w:val="NormalHanging12a"/>
        <w:rPr>
          <w:bCs/>
          <w:iCs/>
        </w:rPr>
      </w:pPr>
      <w:r>
        <w:t>26</w:t>
      </w:r>
      <w:r w:rsidR="00AF5D6C" w:rsidRPr="00FF376E">
        <w:t>.</w:t>
      </w:r>
      <w:r w:rsidR="00AF5D6C" w:rsidRPr="00FF376E">
        <w:tab/>
      </w:r>
      <w:r w:rsidR="00E71A1D" w:rsidRPr="00447D4F">
        <w:t>pozdravlja</w:t>
      </w:r>
      <w:r w:rsidR="00AF5D6C" w:rsidRPr="00FF376E">
        <w:t xml:space="preserve"> tekuće rasprave o digitalnom euru;</w:t>
      </w:r>
      <w:r w:rsidR="00E71A1D">
        <w:t xml:space="preserve"> </w:t>
      </w:r>
      <w:r w:rsidR="00E71A1D" w:rsidRPr="00447D4F">
        <w:rPr>
          <w:bCs/>
          <w:iCs/>
        </w:rPr>
        <w:t>naglašava da je, u kontekstu povećane geopolitičke nesigurnosti i prekomjerne ovisnosti o platnim infrastrukturama izvan EU-a, uvođenje digitalnog eura, osmišljenog kao dopuna gotovinskim i privatnim bankarskim uslugama, ključno za jačanje monetarne suverenosti EU-a, smanjenje fragmentacije plaćanja malih vrijednosti i pružanje potpore integritetu i otpornosti jedinstvenog tržišta;</w:t>
      </w:r>
    </w:p>
    <w:p w14:paraId="726BE266" w14:textId="3D68A17B" w:rsidR="00AF5D6C" w:rsidRPr="00FF376E" w:rsidRDefault="005C5F4D" w:rsidP="00AF5D6C">
      <w:pPr>
        <w:pStyle w:val="NormalHanging12a"/>
      </w:pPr>
      <w:r>
        <w:t>27</w:t>
      </w:r>
      <w:r w:rsidR="00AF5D6C" w:rsidRPr="00FF376E">
        <w:t>.</w:t>
      </w:r>
      <w:r w:rsidR="00AF5D6C" w:rsidRPr="00FF376E">
        <w:tab/>
        <w:t>pozdravlja tekuće kratkoročne (</w:t>
      </w:r>
      <w:proofErr w:type="spellStart"/>
      <w:r w:rsidR="00AF5D6C" w:rsidRPr="00FF376E">
        <w:t>Pontes</w:t>
      </w:r>
      <w:proofErr w:type="spellEnd"/>
      <w:r w:rsidR="00AF5D6C" w:rsidRPr="00FF376E">
        <w:t>) i dugoročne (</w:t>
      </w:r>
      <w:proofErr w:type="spellStart"/>
      <w:r w:rsidR="00AF5D6C" w:rsidRPr="00FF376E">
        <w:t>Appia</w:t>
      </w:r>
      <w:proofErr w:type="spellEnd"/>
      <w:r w:rsidR="00AF5D6C" w:rsidRPr="00FF376E">
        <w:t>) projekte u području tehnologije decentraliziranog vođenja evidencije transakcija za veleprodajnu namiru u novcu središnje banke;</w:t>
      </w:r>
    </w:p>
    <w:p w14:paraId="2FD96368" w14:textId="7207D062" w:rsidR="00AF5D6C" w:rsidRPr="00FF376E" w:rsidRDefault="005C5F4D" w:rsidP="00AF5D6C">
      <w:pPr>
        <w:pStyle w:val="NormalHanging12a"/>
      </w:pPr>
      <w:r>
        <w:t>28</w:t>
      </w:r>
      <w:r w:rsidR="00AF5D6C" w:rsidRPr="00FF376E">
        <w:t>.</w:t>
      </w:r>
      <w:r w:rsidR="00AF5D6C" w:rsidRPr="00FF376E">
        <w:tab/>
        <w:t>naglašava da je važno zadržati ulogu gotovine; prima na znanje aktualne rasprave o prijedlogu o zakonskom sredstvu plaćanja;</w:t>
      </w:r>
    </w:p>
    <w:p w14:paraId="41C76C77" w14:textId="30D2449A" w:rsidR="00AF5D6C" w:rsidRPr="00FF376E" w:rsidRDefault="005C5F4D" w:rsidP="00AF5D6C">
      <w:pPr>
        <w:pStyle w:val="NormalHanging12a"/>
      </w:pPr>
      <w:r>
        <w:t>29</w:t>
      </w:r>
      <w:r w:rsidR="00AF5D6C" w:rsidRPr="00FF376E">
        <w:t>.</w:t>
      </w:r>
      <w:r w:rsidR="00AF5D6C" w:rsidRPr="00FF376E">
        <w:tab/>
        <w:t xml:space="preserve">poziva ESB da pojača praćenje </w:t>
      </w:r>
      <w:proofErr w:type="spellStart"/>
      <w:r w:rsidR="00AF5D6C" w:rsidRPr="00FF376E">
        <w:t>kriptoimovine</w:t>
      </w:r>
      <w:proofErr w:type="spellEnd"/>
      <w:r w:rsidR="00AF5D6C" w:rsidRPr="00FF376E">
        <w:t xml:space="preserve">, kao što su stabilne </w:t>
      </w:r>
      <w:proofErr w:type="spellStart"/>
      <w:r w:rsidR="00AF5D6C" w:rsidRPr="00FF376E">
        <w:t>kriptovalute</w:t>
      </w:r>
      <w:proofErr w:type="spellEnd"/>
      <w:r w:rsidR="00AF5D6C" w:rsidRPr="00FF376E">
        <w:t>;</w:t>
      </w:r>
    </w:p>
    <w:p w14:paraId="1A98E959" w14:textId="0D9E8B4F" w:rsidR="00AF5D6C" w:rsidRPr="00FF376E" w:rsidRDefault="005C5F4D" w:rsidP="00AF5D6C">
      <w:pPr>
        <w:pStyle w:val="NormalHanging12a"/>
      </w:pPr>
      <w:r>
        <w:t>30</w:t>
      </w:r>
      <w:r w:rsidR="00AF5D6C" w:rsidRPr="00FF376E">
        <w:t>.</w:t>
      </w:r>
      <w:r w:rsidR="00AF5D6C" w:rsidRPr="00FF376E">
        <w:tab/>
        <w:t>podržava ESB u njegovim naporima da vodi računa o međunarodnoj ulozi eura, među ostalim s pomoću dostatnih valutnih zamjena i linija za repo ugovore;</w:t>
      </w:r>
    </w:p>
    <w:p w14:paraId="773CC62F" w14:textId="1653147E" w:rsidR="00AF5D6C" w:rsidRPr="00FF376E" w:rsidRDefault="005C5F4D" w:rsidP="00AF5D6C">
      <w:pPr>
        <w:pStyle w:val="NormalHanging12a"/>
      </w:pPr>
      <w:r>
        <w:t>31</w:t>
      </w:r>
      <w:r w:rsidR="00AF5D6C" w:rsidRPr="00FF376E">
        <w:t>.</w:t>
      </w:r>
      <w:r w:rsidR="00AF5D6C" w:rsidRPr="00FF376E">
        <w:tab/>
        <w:t xml:space="preserve">pozdravlja Republiku Bugarsku koja od 1. siječnja 2026. postaje 21. članica </w:t>
      </w:r>
      <w:proofErr w:type="spellStart"/>
      <w:r w:rsidR="00AF5D6C" w:rsidRPr="00FF376E">
        <w:t>europodručja</w:t>
      </w:r>
      <w:proofErr w:type="spellEnd"/>
      <w:r w:rsidR="00AF5D6C" w:rsidRPr="00FF376E">
        <w:t>;</w:t>
      </w:r>
    </w:p>
    <w:p w14:paraId="718BE485" w14:textId="0C45E17F" w:rsidR="00AF5D6C" w:rsidRPr="00FF376E" w:rsidRDefault="005C5F4D" w:rsidP="00AF5D6C">
      <w:pPr>
        <w:pStyle w:val="NormalHanging12a"/>
      </w:pPr>
      <w:r>
        <w:t>32</w:t>
      </w:r>
      <w:r w:rsidR="00AF5D6C" w:rsidRPr="00FF376E">
        <w:t>.</w:t>
      </w:r>
      <w:r w:rsidR="00AF5D6C" w:rsidRPr="00FF376E">
        <w:tab/>
        <w:t>izražava zabrinutost zbog privremenog prekida rada sustava ESB-a za bruto namiru u stvarnom vremenu T2 i T2S u veljači 2025.; poziva ESB da pomno prati i osigura pravilno funkcioniranje sustava za namiru;</w:t>
      </w:r>
    </w:p>
    <w:p w14:paraId="1ECAAE71" w14:textId="6FE86FB2" w:rsidR="00AF5D6C" w:rsidRPr="00FF376E" w:rsidRDefault="005C5F4D" w:rsidP="00AF5D6C">
      <w:pPr>
        <w:pStyle w:val="NormalHanging12a"/>
      </w:pPr>
      <w:r>
        <w:lastRenderedPageBreak/>
        <w:t>33</w:t>
      </w:r>
      <w:r w:rsidR="00AF5D6C" w:rsidRPr="00FF376E">
        <w:t>.</w:t>
      </w:r>
      <w:r w:rsidR="00AF5D6C" w:rsidRPr="00FF376E">
        <w:tab/>
        <w:t xml:space="preserve">izražava zabrinutost zbog uzastopnih gubitaka koje je ESB pretrpio 2023. i 2024. zbog kamatnog rizika; napominje da ti gubici nisu ugrozili operativnu sposobnost </w:t>
      </w:r>
      <w:proofErr w:type="spellStart"/>
      <w:r w:rsidR="00AF5D6C" w:rsidRPr="00FF376E">
        <w:t>Eurosustava</w:t>
      </w:r>
      <w:proofErr w:type="spellEnd"/>
      <w:r w:rsidR="00AF5D6C" w:rsidRPr="00FF376E">
        <w:t xml:space="preserve"> za provođenje monetarne politike;</w:t>
      </w:r>
    </w:p>
    <w:p w14:paraId="6092DCB9" w14:textId="4311E019" w:rsidR="00AF5D6C" w:rsidRPr="00FF376E" w:rsidRDefault="005C5F4D" w:rsidP="00AF5D6C">
      <w:pPr>
        <w:pStyle w:val="NormalHanging12a"/>
      </w:pPr>
      <w:r>
        <w:t>34</w:t>
      </w:r>
      <w:r w:rsidR="00AF5D6C" w:rsidRPr="00FF376E">
        <w:t>.</w:t>
      </w:r>
      <w:r w:rsidR="00AF5D6C" w:rsidRPr="00FF376E">
        <w:tab/>
        <w:t xml:space="preserve">podržava ulogu ESB-a u promicanju financijske stabilnosti u okviru jedinstvenog nadzornog mehanizma i funkciju ESB-a kao zajmodavca u krajnjoj nuždi solventnih institucija, na temelju dobrog kolaterala i po </w:t>
      </w:r>
      <w:proofErr w:type="spellStart"/>
      <w:r w:rsidR="00AF5D6C" w:rsidRPr="00FF376E">
        <w:t>odvraćajućim</w:t>
      </w:r>
      <w:proofErr w:type="spellEnd"/>
      <w:r w:rsidR="00AF5D6C" w:rsidRPr="00FF376E">
        <w:t xml:space="preserve"> stopama, kako bi se zaštitila likvidnost i povjerenje tijekom kriza;</w:t>
      </w:r>
    </w:p>
    <w:p w14:paraId="7D2A7D78" w14:textId="1FCEF03B" w:rsidR="00AF5D6C" w:rsidRPr="00FF376E" w:rsidRDefault="005C5F4D" w:rsidP="00AF5D6C">
      <w:pPr>
        <w:pStyle w:val="NormalHanging12a"/>
      </w:pPr>
      <w:r>
        <w:t>35</w:t>
      </w:r>
      <w:r w:rsidR="00AF5D6C" w:rsidRPr="00FF376E">
        <w:t>.</w:t>
      </w:r>
      <w:r w:rsidR="00AF5D6C" w:rsidRPr="00FF376E">
        <w:tab/>
        <w:t>podržava napore ESB-a da poboljša financijsku pismenost u EU-u;</w:t>
      </w:r>
    </w:p>
    <w:p w14:paraId="621C63BF" w14:textId="60E2D668" w:rsidR="00AF5D6C" w:rsidRPr="00FF376E" w:rsidRDefault="005C5F4D" w:rsidP="00AF5D6C">
      <w:pPr>
        <w:pStyle w:val="NormalHanging12a"/>
      </w:pPr>
      <w:r>
        <w:t>36</w:t>
      </w:r>
      <w:r w:rsidR="00AF5D6C" w:rsidRPr="00FF376E">
        <w:t>.</w:t>
      </w:r>
      <w:r w:rsidR="00AF5D6C" w:rsidRPr="00FF376E">
        <w:tab/>
        <w:t>pozdravlja predanost ESB-a naporima za pojednostavnjenje, primjerice osnivanjem radne skupine ESB-a na visokoj razini za pojednostavnjenje; ističe potrebu za visokim stupnjem ambicije u radu i daljnjem postupanju radne skupine te pozdravlja detaljne rasprave ESB-a s Parlamentom;</w:t>
      </w:r>
    </w:p>
    <w:p w14:paraId="762B79AA" w14:textId="79483EDA" w:rsidR="00AF5D6C" w:rsidRPr="00FF376E" w:rsidRDefault="005C5F4D" w:rsidP="00AF5D6C">
      <w:pPr>
        <w:pStyle w:val="NormalHanging12a"/>
      </w:pPr>
      <w:r>
        <w:t>37</w:t>
      </w:r>
      <w:r w:rsidR="00AF5D6C" w:rsidRPr="00FF376E">
        <w:t>.</w:t>
      </w:r>
      <w:r w:rsidR="00AF5D6C" w:rsidRPr="00FF376E">
        <w:tab/>
        <w:t>poziva ESB da potiče otvoren i konstruktivan interni dijalog; poziva na daljnje poboljšanje okvira za predstavljanje zaposlenika i internog okvira ESB-a za prijavljivanje nepravilnosti;</w:t>
      </w:r>
    </w:p>
    <w:p w14:paraId="7CE76272" w14:textId="63A020B0" w:rsidR="00AF5D6C" w:rsidRPr="00FF376E" w:rsidRDefault="005C5F4D" w:rsidP="00AF5D6C">
      <w:pPr>
        <w:pStyle w:val="NormalHanging12a"/>
      </w:pPr>
      <w:r>
        <w:t>38</w:t>
      </w:r>
      <w:r w:rsidR="00AF5D6C" w:rsidRPr="00FF376E">
        <w:t>.</w:t>
      </w:r>
      <w:r w:rsidR="00AF5D6C" w:rsidRPr="00FF376E">
        <w:tab/>
        <w:t>ponavlja da bi kandidature za Izvršni odbor ESB-a trebale biti rodno uravnotežene, utemeljene na kriterijima zasluga i sposobnosti, s popisima kandidata koji su ušli u uži izbor podnesenima Parlamentu, te da bi osobe svih rodova trebale imati jednake mogućnosti da budu guverneri svojih nacionalnih središnjih banaka;</w:t>
      </w:r>
    </w:p>
    <w:p w14:paraId="53B89AA3" w14:textId="1112E492" w:rsidR="00AF5D6C" w:rsidRPr="00FF376E" w:rsidRDefault="005C5F4D" w:rsidP="00AF5D6C">
      <w:pPr>
        <w:pStyle w:val="NormalHanging12a"/>
      </w:pPr>
      <w:r>
        <w:t>39</w:t>
      </w:r>
      <w:r w:rsidR="00AF5D6C" w:rsidRPr="00FF376E">
        <w:t>.</w:t>
      </w:r>
      <w:r w:rsidR="00AF5D6C" w:rsidRPr="00FF376E">
        <w:tab/>
        <w:t>poziva ESSB da nastavi i ojača svoje dijaloge s nacionalnim parlamentima, za koje smatra da bi ojačali legitimnost i politike ESSB-a;</w:t>
      </w:r>
    </w:p>
    <w:p w14:paraId="4FFDF4D5" w14:textId="5CA679B3" w:rsidR="00223F14" w:rsidRDefault="00223F14" w:rsidP="00223F14">
      <w:pPr>
        <w:pStyle w:val="NormalCenter12a"/>
      </w:pPr>
      <w:r>
        <w:t>°</w:t>
      </w:r>
    </w:p>
    <w:p w14:paraId="4D7681CA" w14:textId="565DF660" w:rsidR="00223F14" w:rsidRDefault="00223F14" w:rsidP="00223F14">
      <w:pPr>
        <w:pStyle w:val="NormalCenter12a"/>
      </w:pPr>
      <w:r>
        <w:t>°     °</w:t>
      </w:r>
    </w:p>
    <w:p w14:paraId="3C04CAF4" w14:textId="1CD76658" w:rsidR="00FF376E" w:rsidRPr="00FF376E" w:rsidRDefault="005C5F4D" w:rsidP="00FF376E">
      <w:pPr>
        <w:pStyle w:val="NormalHanging12a"/>
      </w:pPr>
      <w:r>
        <w:t>40</w:t>
      </w:r>
      <w:r w:rsidR="00AF5D6C" w:rsidRPr="00FF376E">
        <w:t>.</w:t>
      </w:r>
      <w:r w:rsidR="00AF5D6C" w:rsidRPr="00FF376E">
        <w:tab/>
        <w:t>nalaže svojoj predsjednici da ovu Rezoluciju proslijedi Vijeću i Komisiji.</w:t>
      </w:r>
    </w:p>
    <w:p w14:paraId="7FD7A0CE" w14:textId="28EDCF7B" w:rsidR="00E365E1" w:rsidRPr="00FF376E" w:rsidRDefault="00E365E1" w:rsidP="00F76440"/>
    <w:sectPr w:rsidR="00E365E1" w:rsidRPr="00FF376E" w:rsidSect="00FF376E"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DBA15F" w14:textId="77777777" w:rsidR="00F76440" w:rsidRPr="00FF376E" w:rsidRDefault="00F76440">
      <w:r w:rsidRPr="00FF376E">
        <w:separator/>
      </w:r>
    </w:p>
  </w:endnote>
  <w:endnote w:type="continuationSeparator" w:id="0">
    <w:p w14:paraId="6405BD96" w14:textId="77777777" w:rsidR="00F76440" w:rsidRPr="00FF376E" w:rsidRDefault="00F76440">
      <w:r w:rsidRPr="00FF376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5EBAB5" w14:textId="77777777" w:rsidR="00F76440" w:rsidRPr="00FF376E" w:rsidRDefault="00F76440">
      <w:r w:rsidRPr="00FF376E">
        <w:separator/>
      </w:r>
    </w:p>
  </w:footnote>
  <w:footnote w:type="continuationSeparator" w:id="0">
    <w:p w14:paraId="3B798FFA" w14:textId="77777777" w:rsidR="00F76440" w:rsidRPr="00FF376E" w:rsidRDefault="00F76440">
      <w:r w:rsidRPr="00FF376E">
        <w:continuationSeparator/>
      </w:r>
    </w:p>
  </w:footnote>
  <w:footnote w:id="1">
    <w:p w14:paraId="47ABECF4" w14:textId="0C9C5F41" w:rsidR="00206276" w:rsidRPr="00FF376E" w:rsidRDefault="00206276" w:rsidP="00FF376E">
      <w:pPr>
        <w:pStyle w:val="FootnoteText"/>
        <w:ind w:left="567" w:hanging="567"/>
        <w:rPr>
          <w:sz w:val="24"/>
          <w:lang w:val="hr-HR"/>
        </w:rPr>
      </w:pPr>
      <w:r>
        <w:rPr>
          <w:rStyle w:val="FootnoteReference"/>
        </w:rPr>
        <w:footnoteRef/>
      </w:r>
      <w:r w:rsidRPr="00FF376E">
        <w:rPr>
          <w:sz w:val="24"/>
          <w:vertAlign w:val="superscript"/>
          <w:lang w:val="hr-HR"/>
        </w:rPr>
        <w:t xml:space="preserve"> </w:t>
      </w:r>
      <w:r w:rsidRPr="00FF376E">
        <w:rPr>
          <w:sz w:val="24"/>
          <w:vertAlign w:val="superscript"/>
          <w:lang w:val="hr-HR"/>
        </w:rPr>
        <w:tab/>
      </w:r>
      <w:r w:rsidRPr="00FF376E">
        <w:rPr>
          <w:sz w:val="24"/>
          <w:lang w:val="hr-HR"/>
        </w:rPr>
        <w:t>Brifing – „Prekretnica ili kontinuitet? Revizija strategije ESB-a za 2025.”, Europski parlament, Glavna uprava za ekonomiju, transformaciju i industriju, Odjel za kontrolu gospodarskog upravljanja i EMU-a (EGOV), listopad 2025.</w:t>
      </w:r>
    </w:p>
  </w:footnote>
  <w:footnote w:id="2">
    <w:p w14:paraId="01A19AF3" w14:textId="195700C4" w:rsidR="00206276" w:rsidRPr="00FF376E" w:rsidRDefault="00206276" w:rsidP="00FF376E">
      <w:pPr>
        <w:pStyle w:val="FootnoteText"/>
        <w:ind w:left="567" w:hanging="567"/>
        <w:rPr>
          <w:sz w:val="24"/>
          <w:lang w:val="hr-HR"/>
        </w:rPr>
      </w:pPr>
      <w:r>
        <w:rPr>
          <w:rStyle w:val="FootnoteReference"/>
        </w:rPr>
        <w:footnoteRef/>
      </w:r>
      <w:r w:rsidRPr="00FF376E">
        <w:rPr>
          <w:sz w:val="24"/>
          <w:vertAlign w:val="superscript"/>
          <w:lang w:val="hr-HR"/>
        </w:rPr>
        <w:t xml:space="preserve"> </w:t>
      </w:r>
      <w:r w:rsidRPr="00FF376E">
        <w:rPr>
          <w:sz w:val="24"/>
          <w:vertAlign w:val="superscript"/>
          <w:lang w:val="hr-HR"/>
        </w:rPr>
        <w:tab/>
      </w:r>
      <w:r w:rsidRPr="00FF376E">
        <w:rPr>
          <w:sz w:val="24"/>
          <w:lang w:val="hr-HR"/>
        </w:rPr>
        <w:t>Detaljna analiza – „</w:t>
      </w:r>
      <w:proofErr w:type="spellStart"/>
      <w:r w:rsidRPr="00FF376E">
        <w:rPr>
          <w:sz w:val="24"/>
          <w:lang w:val="hr-HR"/>
        </w:rPr>
        <w:t>The</w:t>
      </w:r>
      <w:proofErr w:type="spellEnd"/>
      <w:r w:rsidRPr="00FF376E">
        <w:rPr>
          <w:sz w:val="24"/>
          <w:lang w:val="hr-HR"/>
        </w:rPr>
        <w:t xml:space="preserve"> </w:t>
      </w:r>
      <w:proofErr w:type="spellStart"/>
      <w:r w:rsidRPr="00FF376E">
        <w:rPr>
          <w:sz w:val="24"/>
          <w:lang w:val="hr-HR"/>
        </w:rPr>
        <w:t>silent</w:t>
      </w:r>
      <w:proofErr w:type="spellEnd"/>
      <w:r w:rsidRPr="00FF376E">
        <w:rPr>
          <w:sz w:val="24"/>
          <w:lang w:val="hr-HR"/>
        </w:rPr>
        <w:t xml:space="preserve"> </w:t>
      </w:r>
      <w:proofErr w:type="spellStart"/>
      <w:r w:rsidRPr="00FF376E">
        <w:rPr>
          <w:sz w:val="24"/>
          <w:lang w:val="hr-HR"/>
        </w:rPr>
        <w:t>hand</w:t>
      </w:r>
      <w:proofErr w:type="spellEnd"/>
      <w:r w:rsidRPr="00FF376E">
        <w:rPr>
          <w:sz w:val="24"/>
          <w:lang w:val="hr-HR"/>
        </w:rPr>
        <w:t xml:space="preserve"> </w:t>
      </w:r>
      <w:proofErr w:type="spellStart"/>
      <w:r w:rsidRPr="00FF376E">
        <w:rPr>
          <w:sz w:val="24"/>
          <w:lang w:val="hr-HR"/>
        </w:rPr>
        <w:t>of</w:t>
      </w:r>
      <w:proofErr w:type="spellEnd"/>
      <w:r w:rsidRPr="00FF376E">
        <w:rPr>
          <w:sz w:val="24"/>
          <w:lang w:val="hr-HR"/>
        </w:rPr>
        <w:t xml:space="preserve"> </w:t>
      </w:r>
      <w:proofErr w:type="spellStart"/>
      <w:r w:rsidRPr="00FF376E">
        <w:rPr>
          <w:sz w:val="24"/>
          <w:lang w:val="hr-HR"/>
        </w:rPr>
        <w:t>central</w:t>
      </w:r>
      <w:proofErr w:type="spellEnd"/>
      <w:r w:rsidRPr="00FF376E">
        <w:rPr>
          <w:sz w:val="24"/>
          <w:lang w:val="hr-HR"/>
        </w:rPr>
        <w:t xml:space="preserve"> </w:t>
      </w:r>
      <w:proofErr w:type="spellStart"/>
      <w:r w:rsidRPr="00FF376E">
        <w:rPr>
          <w:sz w:val="24"/>
          <w:lang w:val="hr-HR"/>
        </w:rPr>
        <w:t>banking</w:t>
      </w:r>
      <w:proofErr w:type="spellEnd"/>
      <w:r w:rsidRPr="00FF376E">
        <w:rPr>
          <w:sz w:val="24"/>
          <w:lang w:val="hr-HR"/>
        </w:rPr>
        <w:t xml:space="preserve">: </w:t>
      </w:r>
      <w:proofErr w:type="spellStart"/>
      <w:r w:rsidRPr="00FF376E">
        <w:rPr>
          <w:sz w:val="24"/>
          <w:lang w:val="hr-HR"/>
        </w:rPr>
        <w:t>collateral</w:t>
      </w:r>
      <w:proofErr w:type="spellEnd"/>
      <w:r w:rsidRPr="00FF376E">
        <w:rPr>
          <w:sz w:val="24"/>
          <w:lang w:val="hr-HR"/>
        </w:rPr>
        <w:t xml:space="preserve"> </w:t>
      </w:r>
      <w:proofErr w:type="spellStart"/>
      <w:r w:rsidRPr="00FF376E">
        <w:rPr>
          <w:sz w:val="24"/>
          <w:lang w:val="hr-HR"/>
        </w:rPr>
        <w:t>framework</w:t>
      </w:r>
      <w:proofErr w:type="spellEnd"/>
      <w:r w:rsidRPr="00FF376E">
        <w:rPr>
          <w:sz w:val="24"/>
          <w:lang w:val="hr-HR"/>
        </w:rPr>
        <w:t>” (Tiha ruka središnjeg bankarstva: kolateralni okvir), Europski parlament, Glavna uprava za ekonomiju, transformaciju i industriju, EGOV, lipanj 2025.</w:t>
      </w:r>
    </w:p>
  </w:footnote>
  <w:footnote w:id="3">
    <w:p w14:paraId="39B27CDA" w14:textId="6E2F7E2C" w:rsidR="00206276" w:rsidRPr="00FF376E" w:rsidRDefault="00206276" w:rsidP="00FF376E">
      <w:pPr>
        <w:pStyle w:val="FootnoteText"/>
        <w:ind w:left="567" w:hanging="567"/>
        <w:rPr>
          <w:sz w:val="24"/>
          <w:lang w:val="hr-HR"/>
        </w:rPr>
      </w:pPr>
      <w:r>
        <w:rPr>
          <w:rStyle w:val="FootnoteReference"/>
        </w:rPr>
        <w:footnoteRef/>
      </w:r>
      <w:r w:rsidRPr="00FF376E">
        <w:rPr>
          <w:sz w:val="24"/>
          <w:vertAlign w:val="superscript"/>
          <w:lang w:val="hr-HR"/>
        </w:rPr>
        <w:t xml:space="preserve"> </w:t>
      </w:r>
      <w:r w:rsidRPr="00FF376E">
        <w:rPr>
          <w:sz w:val="24"/>
          <w:vertAlign w:val="superscript"/>
          <w:lang w:val="hr-HR"/>
        </w:rPr>
        <w:tab/>
      </w:r>
      <w:r w:rsidRPr="00FF376E">
        <w:rPr>
          <w:sz w:val="24"/>
          <w:lang w:val="hr-HR"/>
        </w:rPr>
        <w:t>Cochrane, J.H. i dr., „</w:t>
      </w:r>
      <w:proofErr w:type="spellStart"/>
      <w:r w:rsidRPr="00FF376E">
        <w:rPr>
          <w:sz w:val="24"/>
          <w:lang w:val="hr-HR"/>
        </w:rPr>
        <w:t>Crisis</w:t>
      </w:r>
      <w:proofErr w:type="spellEnd"/>
      <w:r w:rsidRPr="00FF376E">
        <w:rPr>
          <w:sz w:val="24"/>
          <w:lang w:val="hr-HR"/>
        </w:rPr>
        <w:t xml:space="preserve"> </w:t>
      </w:r>
      <w:proofErr w:type="spellStart"/>
      <w:r w:rsidRPr="00FF376E">
        <w:rPr>
          <w:sz w:val="24"/>
          <w:lang w:val="hr-HR"/>
        </w:rPr>
        <w:t>Cycle</w:t>
      </w:r>
      <w:proofErr w:type="spellEnd"/>
      <w:r w:rsidRPr="00FF376E">
        <w:rPr>
          <w:sz w:val="24"/>
          <w:lang w:val="hr-HR"/>
        </w:rPr>
        <w:t xml:space="preserve">: </w:t>
      </w:r>
      <w:proofErr w:type="spellStart"/>
      <w:r w:rsidRPr="00FF376E">
        <w:rPr>
          <w:sz w:val="24"/>
          <w:lang w:val="hr-HR"/>
        </w:rPr>
        <w:t>Challenges</w:t>
      </w:r>
      <w:proofErr w:type="spellEnd"/>
      <w:r w:rsidRPr="00FF376E">
        <w:rPr>
          <w:sz w:val="24"/>
          <w:lang w:val="hr-HR"/>
        </w:rPr>
        <w:t xml:space="preserve">, </w:t>
      </w:r>
      <w:proofErr w:type="spellStart"/>
      <w:r w:rsidRPr="00FF376E">
        <w:rPr>
          <w:sz w:val="24"/>
          <w:lang w:val="hr-HR"/>
        </w:rPr>
        <w:t>Evolution</w:t>
      </w:r>
      <w:proofErr w:type="spellEnd"/>
      <w:r w:rsidRPr="00FF376E">
        <w:rPr>
          <w:sz w:val="24"/>
          <w:lang w:val="hr-HR"/>
        </w:rPr>
        <w:t xml:space="preserve">, </w:t>
      </w:r>
      <w:proofErr w:type="spellStart"/>
      <w:r w:rsidRPr="00FF376E">
        <w:rPr>
          <w:sz w:val="24"/>
          <w:lang w:val="hr-HR"/>
        </w:rPr>
        <w:t>and</w:t>
      </w:r>
      <w:proofErr w:type="spellEnd"/>
      <w:r w:rsidRPr="00FF376E">
        <w:rPr>
          <w:sz w:val="24"/>
          <w:lang w:val="hr-HR"/>
        </w:rPr>
        <w:t xml:space="preserve"> Future </w:t>
      </w:r>
      <w:proofErr w:type="spellStart"/>
      <w:r w:rsidRPr="00FF376E">
        <w:rPr>
          <w:sz w:val="24"/>
          <w:lang w:val="hr-HR"/>
        </w:rPr>
        <w:t>of</w:t>
      </w:r>
      <w:proofErr w:type="spellEnd"/>
      <w:r w:rsidRPr="00FF376E">
        <w:rPr>
          <w:sz w:val="24"/>
          <w:lang w:val="hr-HR"/>
        </w:rPr>
        <w:t xml:space="preserve"> </w:t>
      </w:r>
      <w:proofErr w:type="spellStart"/>
      <w:r w:rsidRPr="00FF376E">
        <w:rPr>
          <w:sz w:val="24"/>
          <w:lang w:val="hr-HR"/>
        </w:rPr>
        <w:t>the</w:t>
      </w:r>
      <w:proofErr w:type="spellEnd"/>
      <w:r w:rsidRPr="00FF376E">
        <w:rPr>
          <w:sz w:val="24"/>
          <w:lang w:val="hr-HR"/>
        </w:rPr>
        <w:t xml:space="preserve"> Euro” („Krizni ciklus: izazovi, razvoj i budućnost eura”), Princeton University Press, 2025.</w:t>
      </w:r>
    </w:p>
  </w:footnote>
  <w:footnote w:id="4">
    <w:p w14:paraId="6B652C1A" w14:textId="3E561DC9" w:rsidR="009F6B3D" w:rsidRPr="00447D4F" w:rsidRDefault="009F6B3D" w:rsidP="00447D4F">
      <w:pPr>
        <w:pStyle w:val="FootnoteText"/>
        <w:ind w:left="567" w:hanging="567"/>
        <w:rPr>
          <w:sz w:val="24"/>
          <w:szCs w:val="24"/>
          <w:lang w:val="hr-HR"/>
        </w:rPr>
      </w:pPr>
      <w:r>
        <w:rPr>
          <w:rStyle w:val="FootnoteReference"/>
        </w:rPr>
        <w:footnoteRef/>
      </w:r>
      <w:r w:rsidRPr="00447D4F">
        <w:rPr>
          <w:lang w:val="hr-HR"/>
        </w:rPr>
        <w:t xml:space="preserve"> </w:t>
      </w:r>
      <w:r>
        <w:rPr>
          <w:lang w:val="hr-HR"/>
        </w:rPr>
        <w:tab/>
      </w:r>
      <w:hyperlink r:id="rId1" w:history="1">
        <w:r w:rsidRPr="00447D4F">
          <w:rPr>
            <w:rStyle w:val="Hyperlink"/>
            <w:sz w:val="24"/>
            <w:szCs w:val="24"/>
            <w:lang w:val="hr-HR"/>
          </w:rPr>
          <w:t>Blog Europske središnje banke,</w:t>
        </w:r>
        <w:r w:rsidRPr="00447D4F">
          <w:rPr>
            <w:rStyle w:val="Hyperlink"/>
            <w:sz w:val="24"/>
            <w:szCs w:val="24"/>
            <w:lang w:val="hr-HR"/>
          </w:rPr>
          <w:t xml:space="preserve"> </w:t>
        </w:r>
        <w:r w:rsidRPr="00447D4F">
          <w:rPr>
            <w:rStyle w:val="Hyperlink"/>
            <w:sz w:val="24"/>
            <w:szCs w:val="24"/>
            <w:lang w:val="hr-HR"/>
          </w:rPr>
          <w:t>„</w:t>
        </w:r>
        <w:proofErr w:type="spellStart"/>
        <w:r w:rsidRPr="00447D4F">
          <w:rPr>
            <w:rStyle w:val="Hyperlink"/>
            <w:sz w:val="24"/>
            <w:szCs w:val="24"/>
            <w:lang w:val="hr-HR"/>
          </w:rPr>
          <w:t>W</w:t>
        </w:r>
        <w:r w:rsidRPr="00447D4F">
          <w:rPr>
            <w:rStyle w:val="Hyperlink"/>
            <w:sz w:val="24"/>
            <w:szCs w:val="24"/>
            <w:lang w:val="hr-HR"/>
          </w:rPr>
          <w:t>hen</w:t>
        </w:r>
        <w:proofErr w:type="spellEnd"/>
        <w:r w:rsidRPr="00447D4F">
          <w:rPr>
            <w:rStyle w:val="Hyperlink"/>
            <w:sz w:val="24"/>
            <w:szCs w:val="24"/>
            <w:lang w:val="hr-HR"/>
          </w:rPr>
          <w:t xml:space="preserve"> </w:t>
        </w:r>
        <w:proofErr w:type="spellStart"/>
        <w:r w:rsidRPr="00447D4F">
          <w:rPr>
            <w:rStyle w:val="Hyperlink"/>
            <w:sz w:val="24"/>
            <w:szCs w:val="24"/>
            <w:lang w:val="hr-HR"/>
          </w:rPr>
          <w:t>groceries</w:t>
        </w:r>
        <w:proofErr w:type="spellEnd"/>
        <w:r w:rsidRPr="00447D4F">
          <w:rPr>
            <w:rStyle w:val="Hyperlink"/>
            <w:sz w:val="24"/>
            <w:szCs w:val="24"/>
            <w:lang w:val="hr-HR"/>
          </w:rPr>
          <w:t xml:space="preserve"> bite, </w:t>
        </w:r>
        <w:proofErr w:type="spellStart"/>
        <w:r w:rsidRPr="00447D4F">
          <w:rPr>
            <w:rStyle w:val="Hyperlink"/>
            <w:sz w:val="24"/>
            <w:szCs w:val="24"/>
            <w:lang w:val="hr-HR"/>
          </w:rPr>
          <w:t>the</w:t>
        </w:r>
        <w:proofErr w:type="spellEnd"/>
        <w:r w:rsidRPr="00447D4F">
          <w:rPr>
            <w:rStyle w:val="Hyperlink"/>
            <w:sz w:val="24"/>
            <w:szCs w:val="24"/>
            <w:lang w:val="hr-HR"/>
          </w:rPr>
          <w:t xml:space="preserve"> role </w:t>
        </w:r>
        <w:proofErr w:type="spellStart"/>
        <w:r w:rsidRPr="00447D4F">
          <w:rPr>
            <w:rStyle w:val="Hyperlink"/>
            <w:sz w:val="24"/>
            <w:szCs w:val="24"/>
            <w:lang w:val="hr-HR"/>
          </w:rPr>
          <w:t>of</w:t>
        </w:r>
        <w:proofErr w:type="spellEnd"/>
        <w:r w:rsidRPr="00447D4F">
          <w:rPr>
            <w:rStyle w:val="Hyperlink"/>
            <w:sz w:val="24"/>
            <w:szCs w:val="24"/>
            <w:lang w:val="hr-HR"/>
          </w:rPr>
          <w:t xml:space="preserve"> </w:t>
        </w:r>
        <w:proofErr w:type="spellStart"/>
        <w:r w:rsidRPr="00447D4F">
          <w:rPr>
            <w:rStyle w:val="Hyperlink"/>
            <w:sz w:val="24"/>
            <w:szCs w:val="24"/>
            <w:lang w:val="hr-HR"/>
          </w:rPr>
          <w:t>food</w:t>
        </w:r>
        <w:proofErr w:type="spellEnd"/>
        <w:r w:rsidRPr="00447D4F">
          <w:rPr>
            <w:rStyle w:val="Hyperlink"/>
            <w:sz w:val="24"/>
            <w:szCs w:val="24"/>
            <w:lang w:val="hr-HR"/>
          </w:rPr>
          <w:t xml:space="preserve"> </w:t>
        </w:r>
        <w:proofErr w:type="spellStart"/>
        <w:r w:rsidRPr="00447D4F">
          <w:rPr>
            <w:rStyle w:val="Hyperlink"/>
            <w:sz w:val="24"/>
            <w:szCs w:val="24"/>
            <w:lang w:val="hr-HR"/>
          </w:rPr>
          <w:t>prices</w:t>
        </w:r>
        <w:proofErr w:type="spellEnd"/>
        <w:r w:rsidRPr="00447D4F">
          <w:rPr>
            <w:rStyle w:val="Hyperlink"/>
            <w:sz w:val="24"/>
            <w:szCs w:val="24"/>
            <w:lang w:val="hr-HR"/>
          </w:rPr>
          <w:t xml:space="preserve"> for </w:t>
        </w:r>
        <w:proofErr w:type="spellStart"/>
        <w:r w:rsidRPr="00447D4F">
          <w:rPr>
            <w:rStyle w:val="Hyperlink"/>
            <w:sz w:val="24"/>
            <w:szCs w:val="24"/>
            <w:lang w:val="hr-HR"/>
          </w:rPr>
          <w:t>inflation</w:t>
        </w:r>
        <w:proofErr w:type="spellEnd"/>
        <w:r w:rsidRPr="00447D4F">
          <w:rPr>
            <w:rStyle w:val="Hyperlink"/>
            <w:sz w:val="24"/>
            <w:szCs w:val="24"/>
            <w:lang w:val="hr-HR"/>
          </w:rPr>
          <w:t xml:space="preserve"> </w:t>
        </w:r>
        <w:proofErr w:type="spellStart"/>
        <w:r w:rsidRPr="00447D4F">
          <w:rPr>
            <w:rStyle w:val="Hyperlink"/>
            <w:sz w:val="24"/>
            <w:szCs w:val="24"/>
            <w:lang w:val="hr-HR"/>
          </w:rPr>
          <w:t>in</w:t>
        </w:r>
        <w:proofErr w:type="spellEnd"/>
        <w:r w:rsidRPr="00447D4F">
          <w:rPr>
            <w:rStyle w:val="Hyperlink"/>
            <w:sz w:val="24"/>
            <w:szCs w:val="24"/>
            <w:lang w:val="hr-HR"/>
          </w:rPr>
          <w:t xml:space="preserve"> </w:t>
        </w:r>
        <w:proofErr w:type="spellStart"/>
        <w:r w:rsidRPr="00447D4F">
          <w:rPr>
            <w:rStyle w:val="Hyperlink"/>
            <w:sz w:val="24"/>
            <w:szCs w:val="24"/>
            <w:lang w:val="hr-HR"/>
          </w:rPr>
          <w:t>the</w:t>
        </w:r>
        <w:proofErr w:type="spellEnd"/>
        <w:r w:rsidRPr="00447D4F">
          <w:rPr>
            <w:rStyle w:val="Hyperlink"/>
            <w:sz w:val="24"/>
            <w:szCs w:val="24"/>
            <w:lang w:val="hr-HR"/>
          </w:rPr>
          <w:t xml:space="preserve"> euro </w:t>
        </w:r>
        <w:proofErr w:type="spellStart"/>
        <w:r w:rsidRPr="00447D4F">
          <w:rPr>
            <w:rStyle w:val="Hyperlink"/>
            <w:sz w:val="24"/>
            <w:szCs w:val="24"/>
            <w:lang w:val="hr-HR"/>
          </w:rPr>
          <w:t>area</w:t>
        </w:r>
        <w:proofErr w:type="spellEnd"/>
        <w:r w:rsidRPr="00447D4F">
          <w:rPr>
            <w:rStyle w:val="Hyperlink"/>
            <w:sz w:val="24"/>
            <w:szCs w:val="24"/>
            <w:lang w:val="hr-HR"/>
          </w:rPr>
          <w:t xml:space="preserve">“ (Kad namirnice poskupe – uloga cijena hrane u inflaciji u </w:t>
        </w:r>
        <w:proofErr w:type="spellStart"/>
        <w:r w:rsidRPr="00447D4F">
          <w:rPr>
            <w:rStyle w:val="Hyperlink"/>
            <w:sz w:val="24"/>
            <w:szCs w:val="24"/>
            <w:lang w:val="hr-HR"/>
          </w:rPr>
          <w:t>europodručju</w:t>
        </w:r>
        <w:proofErr w:type="spellEnd"/>
        <w:r w:rsidRPr="00447D4F">
          <w:rPr>
            <w:rStyle w:val="Hyperlink"/>
            <w:sz w:val="24"/>
            <w:szCs w:val="24"/>
            <w:lang w:val="hr-HR"/>
          </w:rPr>
          <w:t>), 25. rujna 2025</w:t>
        </w:r>
      </w:hyperlink>
      <w:r w:rsidRPr="00447D4F">
        <w:rPr>
          <w:sz w:val="24"/>
          <w:szCs w:val="24"/>
          <w:lang w:val="hr-HR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67980673">
    <w:abstractNumId w:val="9"/>
  </w:num>
  <w:num w:numId="2" w16cid:durableId="401222791">
    <w:abstractNumId w:val="9"/>
  </w:num>
  <w:num w:numId="3" w16cid:durableId="1013606847">
    <w:abstractNumId w:val="7"/>
  </w:num>
  <w:num w:numId="4" w16cid:durableId="233049310">
    <w:abstractNumId w:val="7"/>
  </w:num>
  <w:num w:numId="5" w16cid:durableId="1477606200">
    <w:abstractNumId w:val="6"/>
  </w:num>
  <w:num w:numId="6" w16cid:durableId="395666483">
    <w:abstractNumId w:val="6"/>
  </w:num>
  <w:num w:numId="7" w16cid:durableId="1720015656">
    <w:abstractNumId w:val="5"/>
  </w:num>
  <w:num w:numId="8" w16cid:durableId="1913273418">
    <w:abstractNumId w:val="5"/>
  </w:num>
  <w:num w:numId="9" w16cid:durableId="1089809178">
    <w:abstractNumId w:val="4"/>
  </w:num>
  <w:num w:numId="10" w16cid:durableId="197816700">
    <w:abstractNumId w:val="4"/>
  </w:num>
  <w:num w:numId="11" w16cid:durableId="749928818">
    <w:abstractNumId w:val="8"/>
  </w:num>
  <w:num w:numId="12" w16cid:durableId="52388550">
    <w:abstractNumId w:val="8"/>
  </w:num>
  <w:num w:numId="13" w16cid:durableId="1483423360">
    <w:abstractNumId w:val="3"/>
  </w:num>
  <w:num w:numId="14" w16cid:durableId="194660322">
    <w:abstractNumId w:val="3"/>
  </w:num>
  <w:num w:numId="15" w16cid:durableId="718895091">
    <w:abstractNumId w:val="2"/>
  </w:num>
  <w:num w:numId="16" w16cid:durableId="925844072">
    <w:abstractNumId w:val="2"/>
  </w:num>
  <w:num w:numId="17" w16cid:durableId="1944652050">
    <w:abstractNumId w:val="1"/>
  </w:num>
  <w:num w:numId="18" w16cid:durableId="1416786299">
    <w:abstractNumId w:val="1"/>
  </w:num>
  <w:num w:numId="19" w16cid:durableId="572664046">
    <w:abstractNumId w:val="0"/>
  </w:num>
  <w:num w:numId="20" w16cid:durableId="301888518">
    <w:abstractNumId w:val="0"/>
  </w:num>
  <w:num w:numId="21" w16cid:durableId="808863524">
    <w:abstractNumId w:val="9"/>
  </w:num>
  <w:num w:numId="22" w16cid:durableId="1154184535">
    <w:abstractNumId w:val="7"/>
  </w:num>
  <w:num w:numId="23" w16cid:durableId="1196697792">
    <w:abstractNumId w:val="6"/>
  </w:num>
  <w:num w:numId="24" w16cid:durableId="1478958236">
    <w:abstractNumId w:val="5"/>
  </w:num>
  <w:num w:numId="25" w16cid:durableId="1445617606">
    <w:abstractNumId w:val="4"/>
  </w:num>
  <w:num w:numId="26" w16cid:durableId="772408426">
    <w:abstractNumId w:val="8"/>
  </w:num>
  <w:num w:numId="27" w16cid:durableId="2041121854">
    <w:abstractNumId w:val="3"/>
  </w:num>
  <w:num w:numId="28" w16cid:durableId="1573352221">
    <w:abstractNumId w:val="2"/>
  </w:num>
  <w:num w:numId="29" w16cid:durableId="6097977">
    <w:abstractNumId w:val="1"/>
  </w:num>
  <w:num w:numId="30" w16cid:durableId="584922996">
    <w:abstractNumId w:val="0"/>
  </w:num>
  <w:num w:numId="31" w16cid:durableId="173032335">
    <w:abstractNumId w:val="9"/>
  </w:num>
  <w:num w:numId="32" w16cid:durableId="1111047471">
    <w:abstractNumId w:val="7"/>
  </w:num>
  <w:num w:numId="33" w16cid:durableId="394160760">
    <w:abstractNumId w:val="6"/>
  </w:num>
  <w:num w:numId="34" w16cid:durableId="1306156291">
    <w:abstractNumId w:val="5"/>
  </w:num>
  <w:num w:numId="35" w16cid:durableId="2091272692">
    <w:abstractNumId w:val="4"/>
  </w:num>
  <w:num w:numId="36" w16cid:durableId="140469074">
    <w:abstractNumId w:val="8"/>
  </w:num>
  <w:num w:numId="37" w16cid:durableId="840315187">
    <w:abstractNumId w:val="3"/>
  </w:num>
  <w:num w:numId="38" w16cid:durableId="1437286333">
    <w:abstractNumId w:val="2"/>
  </w:num>
  <w:num w:numId="39" w16cid:durableId="653991722">
    <w:abstractNumId w:val="1"/>
  </w:num>
  <w:num w:numId="40" w16cid:durableId="1776703560">
    <w:abstractNumId w:val="0"/>
  </w:num>
  <w:num w:numId="41" w16cid:durableId="844129081">
    <w:abstractNumId w:val="10"/>
  </w:num>
  <w:num w:numId="42" w16cid:durableId="2048138070">
    <w:abstractNumId w:val="10"/>
  </w:num>
  <w:num w:numId="43" w16cid:durableId="151485140">
    <w:abstractNumId w:val="10"/>
  </w:num>
  <w:num w:numId="44" w16cid:durableId="179254775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02/2026"/>
    <w:docVar w:name="dvlangue" w:val="HR"/>
    <w:docVar w:name="dvnumam" w:val="0"/>
    <w:docVar w:name="dvpe" w:val="778.306"/>
    <w:docVar w:name="dvrapporteur" w:val="Izvjestitelj: "/>
    <w:docVar w:name="dvtitre" w:val="Rezolucija Europskog parlamenta od .... 2026. o Europskoj središnjoj banci – godišnje izvješće za 2025.(2025/2182(INI))"/>
  </w:docVars>
  <w:rsids>
    <w:rsidRoot w:val="00F7644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06276"/>
    <w:rsid w:val="00223F14"/>
    <w:rsid w:val="002767FF"/>
    <w:rsid w:val="002A11E7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7D4F"/>
    <w:rsid w:val="00471C19"/>
    <w:rsid w:val="004867E3"/>
    <w:rsid w:val="00494A28"/>
    <w:rsid w:val="004A36F7"/>
    <w:rsid w:val="004C0004"/>
    <w:rsid w:val="004C5D52"/>
    <w:rsid w:val="0050519A"/>
    <w:rsid w:val="005072A1"/>
    <w:rsid w:val="00514517"/>
    <w:rsid w:val="00545827"/>
    <w:rsid w:val="00560270"/>
    <w:rsid w:val="005C2568"/>
    <w:rsid w:val="005C5F4D"/>
    <w:rsid w:val="005F1B17"/>
    <w:rsid w:val="006037C0"/>
    <w:rsid w:val="00613BD4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F6B3D"/>
    <w:rsid w:val="00A1687D"/>
    <w:rsid w:val="00A43E52"/>
    <w:rsid w:val="00A4678D"/>
    <w:rsid w:val="00A778C7"/>
    <w:rsid w:val="00AB441E"/>
    <w:rsid w:val="00AB6293"/>
    <w:rsid w:val="00AE0928"/>
    <w:rsid w:val="00AF3B82"/>
    <w:rsid w:val="00AF5D6C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A77EA"/>
    <w:rsid w:val="00CC2357"/>
    <w:rsid w:val="00CF071A"/>
    <w:rsid w:val="00D058B8"/>
    <w:rsid w:val="00D56C11"/>
    <w:rsid w:val="00D834A0"/>
    <w:rsid w:val="00D872DF"/>
    <w:rsid w:val="00D91E21"/>
    <w:rsid w:val="00DA7FCD"/>
    <w:rsid w:val="00DC63CC"/>
    <w:rsid w:val="00E365E1"/>
    <w:rsid w:val="00E71A1D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76440"/>
    <w:rsid w:val="00F87713"/>
    <w:rsid w:val="00FB4360"/>
    <w:rsid w:val="00FD0C70"/>
    <w:rsid w:val="00FF3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B25F3B"/>
  <w15:chartTrackingRefBased/>
  <w15:docId w15:val="{66C03D6D-0131-43DF-9705-4CDFD2CC9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AF5D6C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rsid w:val="00AF5D6C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AF5D6C"/>
    <w:pPr>
      <w:widowControl/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AF5D6C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AF5D6C"/>
    <w:pPr>
      <w:widowControl/>
      <w:spacing w:after="240"/>
      <w:jc w:val="center"/>
    </w:pPr>
    <w:rPr>
      <w:szCs w:val="24"/>
      <w:lang w:eastAsia="en-US"/>
    </w:rPr>
  </w:style>
  <w:style w:type="paragraph" w:styleId="Revision">
    <w:name w:val="Revision"/>
    <w:hidden/>
    <w:uiPriority w:val="99"/>
    <w:semiHidden/>
    <w:rsid w:val="00223F14"/>
    <w:rPr>
      <w:sz w:val="24"/>
      <w:lang w:val="hr-HR"/>
    </w:rPr>
  </w:style>
  <w:style w:type="character" w:styleId="Hyperlink">
    <w:name w:val="Hyperlink"/>
    <w:basedOn w:val="DefaultParagraphFont"/>
    <w:rsid w:val="009F6B3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F6B3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447D4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ecb.europa.eu/press/blog/date/2025/html/ecb.blog20250925~7fd65a388a.en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1930</Words>
  <Characters>11782</Characters>
  <Application>Microsoft Office Word</Application>
  <DocSecurity>0</DocSecurity>
  <Lines>535</Lines>
  <Paragraphs>415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2026-02-10T15:42:00Z</dcterms:created>
  <dcterms:modified xsi:type="dcterms:W3CDTF">2026-02-10T15:42:00Z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A10-0002/2026</vt:lpwstr>
  </property>
  <property fmtid="{D5CDD505-2E9C-101B-9397-08002B2CF9AE}" pid="4" name="&lt;Type&gt;">
    <vt:lpwstr>RR</vt:lpwstr>
  </property>
</Properties>
</file>