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5F27" w14:paraId="1C0904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DEA61C" w14:textId="77777777" w:rsidR="00751A4A" w:rsidRPr="006E5F27" w:rsidRDefault="008718ED" w:rsidP="0010095E">
            <w:pPr>
              <w:pStyle w:val="EPName"/>
            </w:pPr>
            <w:r w:rsidRPr="006E5F27">
              <w:t>Parlament Ewropew</w:t>
            </w:r>
          </w:p>
          <w:p w14:paraId="65975E48" w14:textId="77777777" w:rsidR="00751A4A" w:rsidRPr="006E5F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5F27">
              <w:t>2024</w:t>
            </w:r>
            <w:r w:rsidR="00817416" w:rsidRPr="006E5F27">
              <w:t>-202</w:t>
            </w:r>
            <w:r w:rsidRPr="006E5F27">
              <w:t>9</w:t>
            </w:r>
          </w:p>
        </w:tc>
        <w:tc>
          <w:tcPr>
            <w:tcW w:w="2268" w:type="dxa"/>
            <w:shd w:val="clear" w:color="auto" w:fill="auto"/>
          </w:tcPr>
          <w:p w14:paraId="7B08CF63" w14:textId="77777777" w:rsidR="00751A4A" w:rsidRPr="006E5F27" w:rsidRDefault="00187494" w:rsidP="0010095E">
            <w:pPr>
              <w:pStyle w:val="EPLogo"/>
            </w:pPr>
            <w:r w:rsidRPr="006E5F27">
              <w:rPr>
                <w:noProof/>
                <w:lang w:eastAsia="ja-JP"/>
              </w:rPr>
              <w:drawing>
                <wp:inline distT="0" distB="0" distL="0" distR="0" wp14:anchorId="5CF7FDAD" wp14:editId="30CBAC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EB315E" w14:textId="77777777" w:rsidR="00D058B8" w:rsidRPr="006E5F27" w:rsidRDefault="00D058B8" w:rsidP="004C5D52">
      <w:pPr>
        <w:pStyle w:val="LineTop"/>
      </w:pPr>
    </w:p>
    <w:p w14:paraId="79D1B3EB" w14:textId="77777777" w:rsidR="00680577" w:rsidRPr="006E5F27" w:rsidRDefault="008718ED" w:rsidP="00680577">
      <w:pPr>
        <w:pStyle w:val="EPBodyTA1"/>
      </w:pPr>
      <w:r w:rsidRPr="006E5F27">
        <w:t>TESTI ADOTTATI</w:t>
      </w:r>
    </w:p>
    <w:p w14:paraId="7CF0373A" w14:textId="77777777" w:rsidR="00D058B8" w:rsidRPr="006E5F27" w:rsidRDefault="00D058B8" w:rsidP="00D058B8">
      <w:pPr>
        <w:pStyle w:val="LineBottom"/>
      </w:pPr>
    </w:p>
    <w:p w14:paraId="2683ABD3" w14:textId="59F6B0A9" w:rsidR="008718ED" w:rsidRPr="006E5F27" w:rsidRDefault="008718ED" w:rsidP="008718ED">
      <w:pPr>
        <w:pStyle w:val="ATHeading1"/>
      </w:pPr>
      <w:bookmarkStart w:id="0" w:name="TANumber"/>
      <w:r w:rsidRPr="006E5F27">
        <w:t>P10_TA(2026)00</w:t>
      </w:r>
      <w:r w:rsidR="008C51B4">
        <w:t>34</w:t>
      </w:r>
      <w:bookmarkEnd w:id="0"/>
    </w:p>
    <w:p w14:paraId="24638BF4" w14:textId="6968B748" w:rsidR="008718ED" w:rsidRPr="006E5F27" w:rsidRDefault="008718ED" w:rsidP="008718ED">
      <w:pPr>
        <w:pStyle w:val="ATHeading2"/>
      </w:pPr>
      <w:bookmarkStart w:id="1" w:name="title"/>
      <w:r w:rsidRPr="006E5F27">
        <w:t>Bank Ċentrali Ewropew – rapport annwali 2025</w:t>
      </w:r>
      <w:bookmarkEnd w:id="1"/>
    </w:p>
    <w:p w14:paraId="19FCE25D" w14:textId="77777777" w:rsidR="008718ED" w:rsidRPr="006E5F27" w:rsidRDefault="008718ED" w:rsidP="008718ED">
      <w:pPr>
        <w:rPr>
          <w:i/>
          <w:vanish/>
        </w:rPr>
      </w:pPr>
      <w:r w:rsidRPr="006E5F27">
        <w:rPr>
          <w:i/>
        </w:rPr>
        <w:fldChar w:fldCharType="begin"/>
      </w:r>
      <w:r w:rsidRPr="006E5F27">
        <w:rPr>
          <w:i/>
        </w:rPr>
        <w:instrText xml:space="preserve"> TC"(</w:instrText>
      </w:r>
      <w:bookmarkStart w:id="2" w:name="DocNumber"/>
      <w:r w:rsidRPr="006E5F27">
        <w:rPr>
          <w:i/>
        </w:rPr>
        <w:instrText>A10-0002/2026</w:instrText>
      </w:r>
      <w:bookmarkEnd w:id="2"/>
      <w:r w:rsidRPr="006E5F27">
        <w:rPr>
          <w:i/>
        </w:rPr>
        <w:instrText xml:space="preserve"> - Rapporteur: Johan Van Overtveldt)"\l3 \n&gt; \* MERGEFORMAT </w:instrText>
      </w:r>
      <w:r w:rsidRPr="006E5F27">
        <w:rPr>
          <w:i/>
        </w:rPr>
        <w:fldChar w:fldCharType="end"/>
      </w:r>
    </w:p>
    <w:p w14:paraId="1584D1A5" w14:textId="77777777" w:rsidR="008718ED" w:rsidRPr="006E5F27" w:rsidRDefault="008718ED" w:rsidP="008718ED">
      <w:pPr>
        <w:rPr>
          <w:vanish/>
        </w:rPr>
      </w:pPr>
      <w:bookmarkStart w:id="3" w:name="Commission"/>
      <w:r w:rsidRPr="006E5F27">
        <w:rPr>
          <w:vanish/>
        </w:rPr>
        <w:t>Kumitat għall-Affarijiet Ekonomiċi u Monetarji</w:t>
      </w:r>
      <w:bookmarkEnd w:id="3"/>
    </w:p>
    <w:p w14:paraId="236B61D6" w14:textId="77777777" w:rsidR="008718ED" w:rsidRPr="006E5F27" w:rsidRDefault="008718ED" w:rsidP="008718ED">
      <w:pPr>
        <w:rPr>
          <w:vanish/>
        </w:rPr>
      </w:pPr>
      <w:bookmarkStart w:id="4" w:name="PE"/>
      <w:r w:rsidRPr="006E5F27">
        <w:rPr>
          <w:vanish/>
        </w:rPr>
        <w:t>PE778.306</w:t>
      </w:r>
      <w:bookmarkEnd w:id="4"/>
    </w:p>
    <w:p w14:paraId="784BFDB2" w14:textId="1161E1E5" w:rsidR="00F66E9D" w:rsidRPr="006E5F27" w:rsidRDefault="008718ED" w:rsidP="0025280A">
      <w:pPr>
        <w:pStyle w:val="ATHeading3"/>
      </w:pPr>
      <w:bookmarkStart w:id="5" w:name="Sujet"/>
      <w:r w:rsidRPr="006E5F27">
        <w:t xml:space="preserve">Riżoluzzjoni tal-Parlament Ewropew </w:t>
      </w:r>
      <w:r w:rsidR="0099448B">
        <w:t>tal-10 ta’ Frar</w:t>
      </w:r>
      <w:r w:rsidRPr="006E5F27">
        <w:t xml:space="preserve"> 2026 dwar il-Bank Ċentrali Ewropew – rapport annwali 2025</w:t>
      </w:r>
      <w:bookmarkEnd w:id="5"/>
      <w:r w:rsidRPr="006E5F27">
        <w:t xml:space="preserve"> </w:t>
      </w:r>
      <w:bookmarkStart w:id="6" w:name="References"/>
      <w:r w:rsidRPr="006E5F27">
        <w:t>(2025/2182(INI))</w:t>
      </w:r>
      <w:bookmarkEnd w:id="6"/>
    </w:p>
    <w:p w14:paraId="1650992B" w14:textId="77777777" w:rsidR="00F66E9D" w:rsidRPr="006E5F27" w:rsidRDefault="00F66E9D" w:rsidP="00F66E9D">
      <w:pPr>
        <w:pStyle w:val="Normal12"/>
      </w:pPr>
      <w:r w:rsidRPr="006E5F27">
        <w:rPr>
          <w:i/>
        </w:rPr>
        <w:t>Il-Parlament Ewropew</w:t>
      </w:r>
      <w:r w:rsidRPr="006E5F27">
        <w:t>,</w:t>
      </w:r>
    </w:p>
    <w:p w14:paraId="2D10B1B5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l-feedback tal-Bank Ċentrali Ewropew (BĊE) tat-28 ta’ April 2025 dwar il-kontribut provdut mill-Parlament bħala parti mir-riżoluzzjoni tiegħu dwar ir-Rapport Annwali tal-BĊE għall-2023,</w:t>
      </w:r>
    </w:p>
    <w:p w14:paraId="747E313C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l-Istatut tas-Sistema Ewropea ta’ Banek Ċentrali (SEBĊ) u tal-BĊE, b’mod partikolari l-Artikoli 2, 15 u 21 tiegħu,</w:t>
      </w:r>
    </w:p>
    <w:p w14:paraId="2833CBC0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l-Artikoli 119, 123(1), 125, 127(1) u (2), 130, 282(2) u 284(3) tat-Trattat dwar il-Funzjonament tal-Unjoni Ewropea (TFUE),</w:t>
      </w:r>
    </w:p>
    <w:p w14:paraId="661C4F74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l-Artikoli 3 u 13 tat-Trattat dwar l-Unjoni Ewropea (TUE),</w:t>
      </w:r>
    </w:p>
    <w:p w14:paraId="6720F2A6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d-djalogi monetarji mal-President tal-BĊE, Christine Lagarde, tal-20 ta’ Marzu 2025, tat-23 ta’ Ġunju 2025 u tas-6 ta’ Ottubru 2025,</w:t>
      </w:r>
    </w:p>
    <w:p w14:paraId="7609BE84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l-valutazzjoni tal-istrateġija tal-politika monetarja tal-2025 tal-BĊE,</w:t>
      </w:r>
    </w:p>
    <w:p w14:paraId="6EDEC397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r-rapport annwali tal-BĊE dwar ir-rwol internazzjonali tal-euro ta’ Ġunju 2025,</w:t>
      </w:r>
    </w:p>
    <w:p w14:paraId="73025896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l-pjan dwar il-klima u n-natura 2024-2025 tal-BĊE,</w:t>
      </w:r>
    </w:p>
    <w:p w14:paraId="3C0D5F83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l-istima tal-inflazzjoni tal-Eurostat tal-20 ta’ Awwissu 2025 u l-istimi rapidi tal-Eurostat tal-1 ta’ Ottubru 2025,</w:t>
      </w:r>
    </w:p>
    <w:p w14:paraId="68160984" w14:textId="3A597840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l-briefing tal-EGOV ta’ Ottubru 2025 intitolat “Turning point or continuity? The ECB’s 2025 strategy review” (Punt ta’ Bidla jew kontinwità? Ir-rieżami tal-istrateġija tal-BĊE għall-2025) ippubblikat mid-Direttorat Ġenerali tiegħu għall-Ekonomija, it-Trasformazzjoni u l-Industrija</w:t>
      </w:r>
      <w:r w:rsidR="00FA2DD8">
        <w:rPr>
          <w:rStyle w:val="FootnoteReference"/>
        </w:rPr>
        <w:footnoteReference w:id="1"/>
      </w:r>
      <w:r w:rsidRPr="006E5F27">
        <w:t>,</w:t>
      </w:r>
    </w:p>
    <w:p w14:paraId="3078007E" w14:textId="77777777" w:rsidR="00F66E9D" w:rsidRPr="006E5F27" w:rsidRDefault="00F66E9D" w:rsidP="00F66E9D">
      <w:pPr>
        <w:pStyle w:val="NormalHanging"/>
      </w:pPr>
      <w:r w:rsidRPr="006E5F27">
        <w:lastRenderedPageBreak/>
        <w:t>–</w:t>
      </w:r>
      <w:r w:rsidRPr="006E5F27">
        <w:tab/>
        <w:t>wara li kkunsidra l-analiżi tal-EGOV ta’ Ġunju 2025 intitolata “The silent hand of central banking: collateral framework” (L-id siekta tal-bank ċentrali: qafas kollaterali) ippubblikata mid-Direttorat-Ġenerali għall-Ekonomija, it-Trasformazzjoni u l-Industrija</w:t>
      </w:r>
      <w:r w:rsidRPr="006E5F27">
        <w:rPr>
          <w:rStyle w:val="FootnoteReference"/>
        </w:rPr>
        <w:footnoteReference w:customMarkFollows="1" w:id="2"/>
        <w:t>2</w:t>
      </w:r>
      <w:r w:rsidRPr="006E5F27">
        <w:t>,</w:t>
      </w:r>
    </w:p>
    <w:p w14:paraId="06B7BF10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l-Artikolu 55 tar-Regoli ta’ Proċedura tiegħu,</w:t>
      </w:r>
    </w:p>
    <w:p w14:paraId="522981C2" w14:textId="77777777" w:rsidR="00F66E9D" w:rsidRPr="006E5F27" w:rsidRDefault="00F66E9D" w:rsidP="00F66E9D">
      <w:pPr>
        <w:pStyle w:val="NormalHanging"/>
      </w:pPr>
      <w:r w:rsidRPr="006E5F27">
        <w:t>–</w:t>
      </w:r>
      <w:r w:rsidRPr="006E5F27">
        <w:tab/>
        <w:t>wara li kkunsidra r-rapport tal-Kumitat għall-Affarijiet Ekonomiċi u Monetarji (A10-0002/2026),</w:t>
      </w:r>
    </w:p>
    <w:p w14:paraId="1D63CB1E" w14:textId="77777777" w:rsidR="00F66E9D" w:rsidRPr="006E5F27" w:rsidRDefault="00F66E9D" w:rsidP="00F66E9D">
      <w:pPr>
        <w:pStyle w:val="NormalHanging"/>
      </w:pPr>
      <w:r w:rsidRPr="006E5F27">
        <w:t>A.</w:t>
      </w:r>
      <w:r w:rsidRPr="006E5F27">
        <w:tab/>
        <w:t>billi, skont l-Eurostat, f’Ottubru 2025 l-inflazzjoni annwali tal-UE kienet ta’ 2,5 % u l-inflazzjoni taż-żona tal-euro kienet ta’ 2,1 %, kif imkejla mill-indiċi armonizzat tal-prezzijiet għall-konsumatur;</w:t>
      </w:r>
    </w:p>
    <w:p w14:paraId="1873F6FF" w14:textId="77777777" w:rsidR="00F66E9D" w:rsidRPr="006E5F27" w:rsidRDefault="00F66E9D" w:rsidP="00F66E9D">
      <w:pPr>
        <w:pStyle w:val="NormalHanging"/>
      </w:pPr>
      <w:r w:rsidRPr="006E5F27">
        <w:t>B.</w:t>
      </w:r>
      <w:r w:rsidRPr="006E5F27">
        <w:tab/>
        <w:t>billi, skont l-Istħarriġ tal-BĊE dwar l-Aspettattivi tal-Konsumatur ta’ Ottubru tal-2025, l-aspettattivi medjani għall-inflazzjoni għadhom ’il fuq minn 2 %;</w:t>
      </w:r>
    </w:p>
    <w:p w14:paraId="33D757D9" w14:textId="77777777" w:rsidR="00F66E9D" w:rsidRPr="006E5F27" w:rsidRDefault="00F66E9D" w:rsidP="00F66E9D">
      <w:pPr>
        <w:pStyle w:val="NormalHanging"/>
      </w:pPr>
      <w:r w:rsidRPr="006E5F27">
        <w:t>C.</w:t>
      </w:r>
      <w:r w:rsidRPr="006E5F27">
        <w:tab/>
        <w:t>billi l-mira tal-inflazzjoni tal-BĊE nbidlet maż-żmien minn valur ta’ referenza ta’ “taħt it-2 %” għal objettiv ta’ “taħt, iżda qrib it-2%”, għal mira simetrika ta’ 2 % fuq terminu medju;</w:t>
      </w:r>
    </w:p>
    <w:p w14:paraId="6751F70C" w14:textId="77777777" w:rsidR="00F66E9D" w:rsidRPr="006E5F27" w:rsidRDefault="00F66E9D" w:rsidP="00F66E9D">
      <w:pPr>
        <w:pStyle w:val="NormalHanging"/>
      </w:pPr>
      <w:r w:rsidRPr="006E5F27">
        <w:t>D.</w:t>
      </w:r>
      <w:r w:rsidRPr="006E5F27">
        <w:tab/>
        <w:t>billi l-faċilità ta’ self marġinali u r-rata tal-faċilità ta’ depożitu ffurmaw kuritur strett madwar ir-rata tal-imgħax fuq l-operazzjonijiet ewlenin ta’ rifinanzjament;</w:t>
      </w:r>
    </w:p>
    <w:p w14:paraId="4E7F71AF" w14:textId="77777777" w:rsidR="00F66E9D" w:rsidRPr="006E5F27" w:rsidRDefault="00F66E9D" w:rsidP="00F66E9D">
      <w:pPr>
        <w:pStyle w:val="NormalHanging"/>
      </w:pPr>
      <w:r w:rsidRPr="006E5F27">
        <w:t>E.</w:t>
      </w:r>
      <w:r w:rsidRPr="006E5F27">
        <w:tab/>
        <w:t>billi l-limiti tal-BĊE li jixtri d-dejn tal-gvern bħala parti mis-sett ta’ għodod tiegħu qiegħda tikber b’mod stabbli, mill-Programm tas-Suq tat-Titoli sat-Tranżazzjonijiet Monetarji Definittivi, kif ukoll il-Programm ta’ Xiri tas-Settur Pubbliku, il-Programm ta’ Xiri ta’ Emerġenza fil-każ ta’ Pandemija u l-Istrument għall-Protezzjoni tat-Trażmissjoni</w:t>
      </w:r>
      <w:r w:rsidRPr="006E5F27">
        <w:rPr>
          <w:rStyle w:val="FootnoteReference"/>
        </w:rPr>
        <w:footnoteReference w:customMarkFollows="1" w:id="3"/>
        <w:t>3</w:t>
      </w:r>
      <w:r w:rsidRPr="006E5F27">
        <w:t>;</w:t>
      </w:r>
    </w:p>
    <w:p w14:paraId="0A3916C0" w14:textId="77777777" w:rsidR="00F66E9D" w:rsidRPr="006E5F27" w:rsidRDefault="00F66E9D" w:rsidP="00F66E9D">
      <w:pPr>
        <w:pStyle w:val="NormalHanging"/>
      </w:pPr>
      <w:r w:rsidRPr="006E5F27">
        <w:t>F.</w:t>
      </w:r>
      <w:r w:rsidRPr="006E5F27">
        <w:tab/>
        <w:t>billi l-investimenti mill-ġdid fl-ambitu tal-programm ta’ xiri ta’ assi twaqqfu minn Lulju 2023, u fil-każ tal-Programm ta’ Xiri ta’ Emerġenza fil-każ ta’ Pandemija minn Diċembru 2024, u b’hekk inbdiet it-triq għat-tnaqqis tal-karta tal-bilanċ tal-BĊE;</w:t>
      </w:r>
    </w:p>
    <w:p w14:paraId="4B2A84DD" w14:textId="77777777" w:rsidR="00F66E9D" w:rsidRPr="006E5F27" w:rsidRDefault="00F66E9D" w:rsidP="00F66E9D">
      <w:pPr>
        <w:pStyle w:val="NormalHanging"/>
      </w:pPr>
      <w:r w:rsidRPr="006E5F27">
        <w:t>G.</w:t>
      </w:r>
      <w:r w:rsidRPr="006E5F27">
        <w:tab/>
        <w:t>billi d-deflazzjoni tista’ tkun konsegwenza tajba tal-progress teknoloġiku;</w:t>
      </w:r>
    </w:p>
    <w:p w14:paraId="3937E635" w14:textId="77777777" w:rsidR="00F66E9D" w:rsidRPr="006E5F27" w:rsidRDefault="00F66E9D" w:rsidP="00F66E9D">
      <w:pPr>
        <w:pStyle w:val="NormalHanging"/>
      </w:pPr>
      <w:r w:rsidRPr="006E5F27">
        <w:t>H.</w:t>
      </w:r>
      <w:r w:rsidRPr="006E5F27">
        <w:tab/>
        <w:t>billi l-Artikolu 123 tat-TFUE u l-Artikolu 21 tal-Istatut tas-SEBĊ u tal-BĊE jipprojbixxu l-finanzjament monetarju dirett tal-gvernijiet;</w:t>
      </w:r>
    </w:p>
    <w:p w14:paraId="30874384" w14:textId="77777777" w:rsidR="00F66E9D" w:rsidRPr="006E5F27" w:rsidRDefault="00F66E9D" w:rsidP="00F66E9D">
      <w:pPr>
        <w:pStyle w:val="Normal12a"/>
      </w:pPr>
      <w:r w:rsidRPr="006E5F27">
        <w:rPr>
          <w:b/>
          <w:i/>
        </w:rPr>
        <w:t>Governanza</w:t>
      </w:r>
    </w:p>
    <w:p w14:paraId="5035E4A3" w14:textId="77777777" w:rsidR="00F66E9D" w:rsidRPr="006E5F27" w:rsidRDefault="00F66E9D" w:rsidP="00F66E9D">
      <w:pPr>
        <w:pStyle w:val="NormalHanging12a"/>
      </w:pPr>
      <w:r w:rsidRPr="006E5F27">
        <w:t>1.</w:t>
      </w:r>
      <w:r w:rsidRPr="006E5F27">
        <w:tab/>
        <w:t xml:space="preserve">Ifakkar li l-Artikolu 127 tat-TFUE jiddikjara li “l-objettiv primarju tas-Sistema Ewropea ta’ Banek Ċentrali (SEBĊ) għandu jkun li tinżamm l-istabbiltà tal-prezzijiet. Mingħajr preġudizzju għall-għan ta’ stabbiltà fil-prezzijiet, is-SEBĊ għandha tappoġġa l-linji ta’ politika ekonomika ġenerali fl-Unjoni bl-għan li tikkontribwixxi għall-ksib tal-oġġettivi </w:t>
      </w:r>
      <w:r w:rsidRPr="006E5F27">
        <w:lastRenderedPageBreak/>
        <w:t>ta’ l-Unjoni kif stipulati fl-Artikolu 3 tat-Trattat dwar l-Unjoni Ewropea. Is-SEBĊ għandha tagixxi skont il-prinċipju ta’ ekonomija tas-suq miftuħ b’kompetizzjoni libera, li jiffavorixxi l-allokazzjoni effiċjenti ta’ riżorsi, u konformement mal-prinċipji stipulati fl-Artikolu 119”;</w:t>
      </w:r>
    </w:p>
    <w:p w14:paraId="3E911835" w14:textId="77777777" w:rsidR="00F66E9D" w:rsidRPr="006E5F27" w:rsidRDefault="00F66E9D" w:rsidP="00F66E9D">
      <w:pPr>
        <w:pStyle w:val="NormalHanging12a"/>
      </w:pPr>
      <w:r w:rsidRPr="006E5F27">
        <w:t>2.</w:t>
      </w:r>
      <w:r w:rsidRPr="006E5F27">
        <w:tab/>
        <w:t>Jissottolinja li l-indipendenza statutorja tal-BĊE, kif stabbilita fit-Trattati, hija prerekwiżit għalih biex iwettaq il-mandat tiegħu li jżomm l-istabbiltà tal-prezzijiet;</w:t>
      </w:r>
    </w:p>
    <w:p w14:paraId="5F5A7EAC" w14:textId="77777777" w:rsidR="00F66E9D" w:rsidRPr="006E5F27" w:rsidRDefault="00F66E9D" w:rsidP="00F66E9D">
      <w:pPr>
        <w:pStyle w:val="NormalHanging12a"/>
      </w:pPr>
      <w:r w:rsidRPr="006E5F27">
        <w:t>3.</w:t>
      </w:r>
      <w:r w:rsidRPr="006E5F27">
        <w:tab/>
        <w:t>Jenfasizza li l-BĊE huwa responsabbli quddiem il-Parlament; jisħaq li l-BĊE jeħtieġlu jieħu deċiżjonijiet biex iwettaq il-mandat tiegħu mingħajr indħil politiku; jinnota li l-banek ċentrali għandhom ikunu indipendenti iżda mhux iżolati;</w:t>
      </w:r>
    </w:p>
    <w:p w14:paraId="2DBA6906" w14:textId="77777777" w:rsidR="00F66E9D" w:rsidRPr="006E5F27" w:rsidRDefault="00F66E9D" w:rsidP="00F66E9D">
      <w:pPr>
        <w:pStyle w:val="NormalHanging12a"/>
      </w:pPr>
      <w:r w:rsidRPr="006E5F27">
        <w:t>4.</w:t>
      </w:r>
      <w:r w:rsidRPr="006E5F27">
        <w:tab/>
        <w:t>Jinnota l-importanza tat-trasparenza għall-obbligu ta’ rendikont u li huma meħtieġa mekkaniżmi sodi ta’ disinn istituzzjonali u obbligu ta’ rendikont; jilqa’ f’dan ir-rigward l-arranġamenti fil-forma ta’ skambju ta’ ittri bejn il-Parlament Ewropew u l-BĊE dwar l-istrutturar tal-prattiki għall-interazzjoni fil-qasam tal-attivitajiet tal-banek ċentrali;</w:t>
      </w:r>
    </w:p>
    <w:p w14:paraId="635BCB2B" w14:textId="77777777" w:rsidR="00F66E9D" w:rsidRPr="006E5F27" w:rsidRDefault="00F66E9D" w:rsidP="00F66E9D">
      <w:pPr>
        <w:pStyle w:val="NormalHanging12a"/>
      </w:pPr>
      <w:r w:rsidRPr="006E5F27">
        <w:t>5.</w:t>
      </w:r>
      <w:r w:rsidRPr="006E5F27">
        <w:tab/>
        <w:t>Jistieden lill-BĊE jagħmel sforzi biex isaħħaħ l-istrumenti li jtejbu t-trasparenza, bħall-parametri referenzjarji, għarfien fis-suppożizzjonijiet tiegħu bbażati fuq mudelli u valutazzjonijiet tal-Kunsill Governattiv tal-iżviluppi fl-inflazzjoni;</w:t>
      </w:r>
    </w:p>
    <w:p w14:paraId="538E0F1B" w14:textId="77777777" w:rsidR="00F66E9D" w:rsidRDefault="00F66E9D" w:rsidP="00F66E9D">
      <w:pPr>
        <w:pStyle w:val="NormalHanging12a"/>
      </w:pPr>
      <w:r w:rsidRPr="006E5F27">
        <w:t>6.</w:t>
      </w:r>
      <w:r w:rsidRPr="006E5F27">
        <w:tab/>
        <w:t>Jilqa’ l-indipendenza politika tal-BĊE hija minquxa fl-Artikolu 130 tat-TFUE; jenfasizza li l-indipendenza tirrikjedi li l-azzjonijiet tal-BĊE jibqgħu apolitiċi;</w:t>
      </w:r>
    </w:p>
    <w:p w14:paraId="4BEB91F8" w14:textId="4FFDA592" w:rsidR="008C51B4" w:rsidRPr="006E5F27" w:rsidRDefault="00583BFF" w:rsidP="00F66E9D">
      <w:pPr>
        <w:pStyle w:val="NormalHanging12a"/>
      </w:pPr>
      <w:r>
        <w:t>7</w:t>
      </w:r>
      <w:r w:rsidR="008C51B4" w:rsidRPr="008C51B4">
        <w:t>.</w:t>
      </w:r>
      <w:r w:rsidR="008C51B4" w:rsidRPr="008C51B4">
        <w:tab/>
        <w:t>Itenni d-dikjarazzjoni ta’ solidarjetà tal-BĊE u tal-banek ċentrali mar-Riżerva Federali tal-Istati Uniti, li tenfasizza l-importanza li tiġi ppreservata l-indipendenza tal-bank ċentrali, b’rispett sħiħ għall-istat tad-dritt u r-responsabbiltà demokratika</w:t>
      </w:r>
      <w:r w:rsidR="006B4E64">
        <w:t>;</w:t>
      </w:r>
    </w:p>
    <w:p w14:paraId="0BE65A86" w14:textId="77777777" w:rsidR="00F66E9D" w:rsidRPr="006E5F27" w:rsidRDefault="00F66E9D" w:rsidP="00F66E9D">
      <w:pPr>
        <w:pStyle w:val="Normal12a"/>
      </w:pPr>
      <w:r w:rsidRPr="006E5F27">
        <w:rPr>
          <w:b/>
          <w:i/>
        </w:rPr>
        <w:t>Politika monetarja</w:t>
      </w:r>
    </w:p>
    <w:p w14:paraId="1F2B86BF" w14:textId="50C5BBE9" w:rsidR="00F66E9D" w:rsidRPr="006E5F27" w:rsidRDefault="00583BFF" w:rsidP="00F66E9D">
      <w:pPr>
        <w:pStyle w:val="NormalHanging12a"/>
      </w:pPr>
      <w:r>
        <w:t>8</w:t>
      </w:r>
      <w:r w:rsidR="00F66E9D" w:rsidRPr="006E5F27">
        <w:t>.</w:t>
      </w:r>
      <w:r w:rsidR="00F66E9D" w:rsidRPr="006E5F27">
        <w:tab/>
        <w:t>Jenfasizza l-objettiv primarju tal-BĊE li jżomm l-istabbiltà tal-prezzijiet, li hija waħda mill-kundizzjonijiet għat-tkabbir, il-kompetittività u l-istabbiltà ekonomika fl-Unjoni;</w:t>
      </w:r>
    </w:p>
    <w:p w14:paraId="63DD0C79" w14:textId="4CC6CCBC" w:rsidR="00F66E9D" w:rsidRPr="006E5F27" w:rsidRDefault="00583BFF" w:rsidP="00F66E9D">
      <w:pPr>
        <w:pStyle w:val="NormalHanging12a"/>
      </w:pPr>
      <w:r>
        <w:t>9</w:t>
      </w:r>
      <w:r w:rsidR="00F66E9D" w:rsidRPr="006E5F27">
        <w:t>.</w:t>
      </w:r>
      <w:r w:rsidR="00F66E9D" w:rsidRPr="006E5F27">
        <w:tab/>
        <w:t>Jesprimi tħassib dwar il-livelli għoljin ta’ inflazzjoni fis-snin ta’ wara l-pandemija tal-COVID-19, instigati minn xokkijiet fil-provvista; jinnota li ritorn f’waqtu għall-istabbiltà tal-prezzijiet f’dan il-perjodu kien ikun ġustifikat permezz ta’ deċiżjonijiet tal-BĊE; jistieden lill-BĊE jivvaluta bir-reqqa l-kawżi ta’ dawn il-livelli għoljin ta’ inflazzjoni fir-rapport annwali tiegħu, flimkien ma’ sett ta’ rakkomandazzjonijiet ta’ politika biex jinsiltu l-konklużjonijiet it-tajbin fil-każ ta’ kwalunkwe kriżi inflazzjonarja futura;</w:t>
      </w:r>
    </w:p>
    <w:p w14:paraId="32347BEA" w14:textId="01A92224" w:rsidR="00F66E9D" w:rsidRDefault="00583BFF" w:rsidP="00F66E9D">
      <w:pPr>
        <w:pStyle w:val="NormalHanging12a"/>
      </w:pPr>
      <w:r>
        <w:t>10</w:t>
      </w:r>
      <w:r w:rsidR="00F66E9D" w:rsidRPr="006E5F27">
        <w:t>.</w:t>
      </w:r>
      <w:r w:rsidR="00F66E9D" w:rsidRPr="006E5F27">
        <w:tab/>
        <w:t>Jilqa’ t-tnaqqis fl-inflazzjoni mir-rati tal-2022-2023 kif ukoll l-istabbilizzazzjoni reċenti tal-inflazzjoni; Jinnota li bejn Ġunju 2024 u Ġunju 2025 il-BĊE qata’ r-rata tad-depożitu b’200 punt bażi; jirrikonoxxi r-riskju kontinwu ta’ żieda mill-ġdid fl-inflazzjoni; jissottolinja li kwalunkwe pass ulterjuri lejn l-iffaċilitar tal-politika monetarja għandha tkun prudenti, xprunata mid-data u ggwidata minn stabbiltà tal-prezzijiet;</w:t>
      </w:r>
    </w:p>
    <w:p w14:paraId="428430C8" w14:textId="19BFA235" w:rsidR="008C51B4" w:rsidRPr="006E5F27" w:rsidRDefault="00583BFF" w:rsidP="00F66E9D">
      <w:pPr>
        <w:pStyle w:val="NormalHanging12a"/>
      </w:pPr>
      <w:r>
        <w:t>11</w:t>
      </w:r>
      <w:r w:rsidR="008C51B4" w:rsidRPr="008C51B4">
        <w:t>.</w:t>
      </w:r>
      <w:r w:rsidR="008C51B4" w:rsidRPr="008C51B4">
        <w:tab/>
        <w:t>Jesprimi tħassib dwar l-għoli tal-ħajja elevat, peress li l-prezzijiet tal-ikel u tal-enerġija żdiedu fl-Ewropa mill-pandemija tal-COVID-19 ’l hawn; jinnota li, bħala medja, il-</w:t>
      </w:r>
      <w:r w:rsidR="008C51B4" w:rsidRPr="008C51B4">
        <w:lastRenderedPageBreak/>
        <w:t>prezz ta’ ikla fiż-żona tal-euro fl-2025 kien terz ogħla mill-prezz ta’ qabel il-pandemija</w:t>
      </w:r>
      <w:r w:rsidR="008C51B4">
        <w:rPr>
          <w:rStyle w:val="FootnoteReference"/>
        </w:rPr>
        <w:footnoteReference w:id="4"/>
      </w:r>
      <w:r w:rsidR="008C51B4" w:rsidRPr="008C51B4">
        <w:t>, u li dan affettwa b’mod partikolari lill-unitajiet domestiċi b’introjtu baxx;</w:t>
      </w:r>
    </w:p>
    <w:p w14:paraId="22828073" w14:textId="54754498" w:rsidR="00F66E9D" w:rsidRPr="006E5F27" w:rsidRDefault="00F66E9D" w:rsidP="00F66E9D">
      <w:pPr>
        <w:pStyle w:val="NormalHanging12a"/>
      </w:pPr>
      <w:r w:rsidRPr="006E5F27">
        <w:t>1</w:t>
      </w:r>
      <w:r w:rsidR="00583BFF">
        <w:t>2</w:t>
      </w:r>
      <w:r w:rsidRPr="006E5F27">
        <w:t>.</w:t>
      </w:r>
      <w:r w:rsidRPr="006E5F27">
        <w:tab/>
        <w:t>Jenfasizza b’mod partikolari l-impatt potenzjalment distorsiv tal-inċertezza ġeopolitika, is-sigurtà tal-enerġija u t-tfixkil fil-kummerċ fuq l-iżviluppi fil-prezzijiet;</w:t>
      </w:r>
    </w:p>
    <w:p w14:paraId="03867759" w14:textId="31D561B9" w:rsidR="00F66E9D" w:rsidRPr="006E5F27" w:rsidRDefault="00F66E9D" w:rsidP="00F66E9D">
      <w:pPr>
        <w:pStyle w:val="NormalHanging12a"/>
      </w:pPr>
      <w:r w:rsidRPr="006E5F27">
        <w:t>1</w:t>
      </w:r>
      <w:r w:rsidR="00583BFF">
        <w:t>3</w:t>
      </w:r>
      <w:r w:rsidRPr="006E5F27">
        <w:t>.</w:t>
      </w:r>
      <w:r w:rsidRPr="006E5F27">
        <w:tab/>
        <w:t>Jistieden lill-BĊE jivvaluta perjodikament l-adegwatezza tal-mira simetrika tiegħu, filwaqt li jqis ukoll il-fatturi kwalitattivi; jinnota li r-reviżjoni tal-istrateġija tal-politika monetarja tal-2025 u jħeġġeġ lill-BĊE jwettaq perjodikament tali reviżjonijiet;</w:t>
      </w:r>
    </w:p>
    <w:p w14:paraId="589D5451" w14:textId="6212BC43" w:rsidR="00F66E9D" w:rsidRPr="006E5F27" w:rsidRDefault="00F66E9D" w:rsidP="00F66E9D">
      <w:pPr>
        <w:pStyle w:val="NormalHanging12a"/>
      </w:pPr>
      <w:r w:rsidRPr="006E5F27">
        <w:t>1</w:t>
      </w:r>
      <w:r w:rsidR="00EA57F8">
        <w:t>4</w:t>
      </w:r>
      <w:r w:rsidRPr="006E5F27">
        <w:t>.</w:t>
      </w:r>
      <w:r w:rsidRPr="006E5F27">
        <w:tab/>
        <w:t>Jisħaq li l-programmi ta’ xiri tal-BĊE huma politiki monetarji mhux konvenzjonali li jħallu effetti kollaterali; jinnota b’mod partikolari li l-programmi ta’ xiri ta’ assi jistgħu joħolqu distorsjoni fis-sinjali tal-prezzijiet; jinnota li l-BĊE beda jnaqqas il-karta tal-bilanċ tiegħu, iżda gradwalment ħafna biss; jappoġġja lill-BĊE biex ikompli jnaqqas ir-rwol dirett tiegħu fix-xiri tat-titoli; iħeġġeġ lill-BĊE jelimina gradwalment il-programmi tiegħu ta’ xiri ta’ bonds tal-gvern; jiddispjaċih dwar l-impatt tal-pożizzjoni fiskali fuq it-twettiq mill-BĊE tal-mandat primarju tiegħu;</w:t>
      </w:r>
    </w:p>
    <w:p w14:paraId="26B8901A" w14:textId="03CD502D" w:rsidR="00F66E9D" w:rsidRPr="006E5F27" w:rsidRDefault="00F66E9D" w:rsidP="00F66E9D">
      <w:pPr>
        <w:pStyle w:val="NormalHanging12a"/>
      </w:pPr>
      <w:r w:rsidRPr="006E5F27">
        <w:t>1</w:t>
      </w:r>
      <w:r w:rsidR="00EA57F8">
        <w:t>5</w:t>
      </w:r>
      <w:r w:rsidRPr="006E5F27">
        <w:t>.</w:t>
      </w:r>
      <w:r w:rsidRPr="006E5F27">
        <w:tab/>
        <w:t>Jiddispjaċih li l-iskemi ta’ self fuq terminu qasir tal-BĊE fil-biċċa l-kbira spostaw is-suq privat tal-finanzjament interbankarju mill-kriżi finanzjarja tal-2008; jistieden lill-BĊE jevita li jħallas rati ta’ depożitu tal-banek li huma ogħla mir-rati tas-suq, peress li dan imur kontra l-prinċipju ta’ ekonomija ta’ suq miftuħ b’kompetizzjoni ħielsa, u jneħħi kwalunkwe ostaklu li jxekkel l-irkupru ta’ swieq interbankarji mhux garantiti fuq terminu qasir;</w:t>
      </w:r>
    </w:p>
    <w:p w14:paraId="117D05C6" w14:textId="76898F28" w:rsidR="00F66E9D" w:rsidRPr="006E5F27" w:rsidRDefault="00F66E9D" w:rsidP="00F66E9D">
      <w:pPr>
        <w:pStyle w:val="NormalHanging12a"/>
      </w:pPr>
      <w:r w:rsidRPr="006E5F27">
        <w:t>1</w:t>
      </w:r>
      <w:r w:rsidR="00EA57F8">
        <w:t>6</w:t>
      </w:r>
      <w:r w:rsidRPr="006E5F27">
        <w:t>.</w:t>
      </w:r>
      <w:r w:rsidRPr="006E5F27">
        <w:tab/>
        <w:t>Jenfasizza l-importanza li jiġu żgurati standards għoljin dwar ir-rekwiżiti ta’ kwalità għall-kollateral fl-arranġamenti ta’ self mal-BĊE; jirrikonoxxi li l-istandards tal-kollateral jistgħu jintużaw bħala għodda għat-trażmissjoni tal-politika monetarja;</w:t>
      </w:r>
    </w:p>
    <w:p w14:paraId="0453259F" w14:textId="1645F64F" w:rsidR="00F66E9D" w:rsidRPr="006E5F27" w:rsidRDefault="00F66E9D" w:rsidP="00F66E9D">
      <w:pPr>
        <w:pStyle w:val="NormalHanging12a"/>
      </w:pPr>
      <w:r w:rsidRPr="006E5F27">
        <w:t>1</w:t>
      </w:r>
      <w:r w:rsidR="00EA57F8">
        <w:t>7</w:t>
      </w:r>
      <w:r w:rsidRPr="006E5F27">
        <w:t>.</w:t>
      </w:r>
      <w:r w:rsidRPr="006E5F27">
        <w:tab/>
        <w:t>Jappoġġja lill-BĊE fl-isforzi tiegħu biex jinkludi akkomodazzjoni okkupata mis-sidien fil-monitoraġġ tiegħu tal-indiċijiet tal-prezzijiet għal raġunijiet kemm ta’ rappreżentattività kif ukoll ta’ komparabbiltà madwar il-pajjiżi fiż-żona tal-euro, li huwa kontinġenti fuq approċċ armonizzat u metodoloġikament robust;</w:t>
      </w:r>
    </w:p>
    <w:p w14:paraId="04D6EA14" w14:textId="77777777" w:rsidR="00F66E9D" w:rsidRPr="006E5F27" w:rsidRDefault="00F66E9D" w:rsidP="00F66E9D">
      <w:pPr>
        <w:pStyle w:val="Normal12a"/>
      </w:pPr>
      <w:r w:rsidRPr="00E17581">
        <w:rPr>
          <w:b/>
          <w:bCs/>
          <w:i/>
        </w:rPr>
        <w:t>Objettiv sekondarju:</w:t>
      </w:r>
      <w:r w:rsidRPr="006E5F27">
        <w:rPr>
          <w:b/>
          <w:i/>
        </w:rPr>
        <w:t xml:space="preserve"> l-appoġġ tal-politiki ekonomiċi ġenerali fl-Unjoni</w:t>
      </w:r>
    </w:p>
    <w:p w14:paraId="43DEC646" w14:textId="1506E315" w:rsidR="00F66E9D" w:rsidRPr="006E5F27" w:rsidRDefault="00F66E9D" w:rsidP="00F66E9D">
      <w:pPr>
        <w:pStyle w:val="NormalHanging12a"/>
      </w:pPr>
      <w:r w:rsidRPr="006E5F27">
        <w:t>1</w:t>
      </w:r>
      <w:r w:rsidR="00EA57F8">
        <w:t>8</w:t>
      </w:r>
      <w:r w:rsidRPr="006E5F27">
        <w:t>.</w:t>
      </w:r>
      <w:r w:rsidRPr="006E5F27">
        <w:tab/>
        <w:t>Jinnota li, skont l-Artikolu 127(1) tat-TFUE, il-BĊE jeħtieġ jappoġġja l-politiki ekonomiċi ġenerali tal-Unjoni bl-għan li jikkontribwixxi għall-ilħuq tal-objettivi tal-Unjoni kif stipulat fl-Artikolu 3 tat-TUE, dment li l-impenn tiegħu tal-istabbiltà tal-prezzijiet jibqa’ mhux mimsus;</w:t>
      </w:r>
    </w:p>
    <w:p w14:paraId="5469506F" w14:textId="444260D0" w:rsidR="00F66E9D" w:rsidRPr="006E5F27" w:rsidRDefault="00F66E9D" w:rsidP="00F66E9D">
      <w:pPr>
        <w:pStyle w:val="NormalHanging12a"/>
      </w:pPr>
      <w:r w:rsidRPr="006E5F27">
        <w:t>1</w:t>
      </w:r>
      <w:r w:rsidR="00EA57F8">
        <w:t>9</w:t>
      </w:r>
      <w:r w:rsidRPr="006E5F27">
        <w:t>.</w:t>
      </w:r>
      <w:r w:rsidRPr="006E5F27">
        <w:tab/>
        <w:t>Ifakkar li s-sistema tal-Euro nbniet fuq il-prinċipju ta’ dominanza monetarja;</w:t>
      </w:r>
    </w:p>
    <w:p w14:paraId="673F8677" w14:textId="4188F0A4" w:rsidR="00F66E9D" w:rsidRPr="006E5F27" w:rsidRDefault="00EA57F8" w:rsidP="00F66E9D">
      <w:pPr>
        <w:pStyle w:val="NormalHanging12a"/>
      </w:pPr>
      <w:r>
        <w:t>20</w:t>
      </w:r>
      <w:r w:rsidR="00F66E9D" w:rsidRPr="006E5F27">
        <w:t>.</w:t>
      </w:r>
      <w:r w:rsidR="00F66E9D" w:rsidRPr="006E5F27">
        <w:tab/>
        <w:t>Jenfasizza, fil-kuntest tal-Unjoni Ekonomika u Monetarja u l-qafas ta’ governanza ekonomika tal-UE, l-importanza ta’ finanzi pubbliċi sodi u sostenibbli biex jifilħu ambjent b’rata tal-imgħax għolja, biex jikkomplementaw l-isforzi tal-BĊE biex iżomm l-inflazzjoni baxxa, biex iżomm ekonomija stabbli u biex jibqa’ reżiljenti għal xokkijiet ekonomiċi u finanzjarji futuri;</w:t>
      </w:r>
    </w:p>
    <w:p w14:paraId="0B1682C3" w14:textId="3D849EB1" w:rsidR="00F66E9D" w:rsidRPr="006E5F27" w:rsidRDefault="00EA57F8" w:rsidP="00F66E9D">
      <w:pPr>
        <w:pStyle w:val="NormalHanging12a"/>
      </w:pPr>
      <w:r>
        <w:lastRenderedPageBreak/>
        <w:t>2</w:t>
      </w:r>
      <w:r w:rsidR="00F66E9D" w:rsidRPr="006E5F27">
        <w:t>1.</w:t>
      </w:r>
      <w:r w:rsidR="00F66E9D" w:rsidRPr="006E5F27">
        <w:tab/>
        <w:t>Jieħu nota tal-bilanċi diverġenti tat-TARGET2 li jirriżultaw minn tranżazzjonijiet transfruntiera; jinnota r-riskji potenzjali li l-bilanċi tat-TARGET2 isiru strutturali u jissuġġerixxi li għandhom jiġu kkunsidrati aġġustamenti tal-politika mhux monetarja;</w:t>
      </w:r>
    </w:p>
    <w:p w14:paraId="79A32C28" w14:textId="20023A24" w:rsidR="00F66E9D" w:rsidRPr="006E5F27" w:rsidRDefault="00F66E9D" w:rsidP="00F66E9D">
      <w:pPr>
        <w:pStyle w:val="NormalHanging12a"/>
      </w:pPr>
      <w:r w:rsidRPr="006E5F27">
        <w:t>2</w:t>
      </w:r>
      <w:r w:rsidR="00EA57F8">
        <w:t>2</w:t>
      </w:r>
      <w:r w:rsidRPr="006E5F27">
        <w:t>.</w:t>
      </w:r>
      <w:r w:rsidRPr="006E5F27">
        <w:tab/>
        <w:t xml:space="preserve">Jissottolinja li l-BĊE għandu jikkunsidra </w:t>
      </w:r>
      <w:r w:rsidR="006B4E64">
        <w:t xml:space="preserve">biss </w:t>
      </w:r>
      <w:r w:rsidRPr="006E5F27">
        <w:t>l-effetti potenzjali tat-tibdil fil-klima biss minn perspettiva tal-istabbiltà tal-prezzijiet u fi ħdan il-mandat tiegħu;</w:t>
      </w:r>
    </w:p>
    <w:p w14:paraId="03E1F904" w14:textId="2D40B679" w:rsidR="00F66E9D" w:rsidRPr="006E5F27" w:rsidRDefault="00F66E9D" w:rsidP="00F66E9D">
      <w:pPr>
        <w:pStyle w:val="NormalHanging12a"/>
      </w:pPr>
      <w:r w:rsidRPr="006E5F27">
        <w:t>2</w:t>
      </w:r>
      <w:r w:rsidR="00EA57F8">
        <w:t>3</w:t>
      </w:r>
      <w:r w:rsidRPr="006E5F27">
        <w:t>.</w:t>
      </w:r>
      <w:r w:rsidRPr="006E5F27">
        <w:tab/>
        <w:t>Jinnota li l-kunċett tan-newtralità tas-suq huwa relatat mal-prinċipju ta’ “ekonomija ta’ suq miftuħ b’kompetizzjoni libera”; jistieden lill-BĊE, filwaqt li jirrispetta l-indipendenza tiegħu, jindirizza l-fallimenti tas-suq u jiżgura l-allokazzjoni effiċjenti tar-riżorsi fuq perjodu ta’ żmien twil, filwaqt li jibqa’ kemm jista’ jkun apolitiku, u jirrispetta l-prinċipju tan-newtralità</w:t>
      </w:r>
      <w:r w:rsidR="006B4E64">
        <w:t xml:space="preserve"> tas-suq</w:t>
      </w:r>
      <w:r w:rsidRPr="006E5F27">
        <w:t>; jenfasizza li tali deċiżjonijiet ma jridux isiru għad-detriment tal-ilħuq tal-mandat tal-BĊE;</w:t>
      </w:r>
    </w:p>
    <w:p w14:paraId="0F1AB2F2" w14:textId="26A51A53" w:rsidR="00F66E9D" w:rsidRDefault="00F66E9D" w:rsidP="00F66E9D">
      <w:pPr>
        <w:pStyle w:val="NormalHanging12a"/>
      </w:pPr>
      <w:r w:rsidRPr="006E5F27">
        <w:t>2</w:t>
      </w:r>
      <w:r w:rsidR="00EA57F8">
        <w:t>4</w:t>
      </w:r>
      <w:r w:rsidRPr="006E5F27">
        <w:t>.</w:t>
      </w:r>
      <w:r w:rsidRPr="006E5F27">
        <w:tab/>
        <w:t>Jinnota li l-politiki monetarji tal-BĊE mmirati lejn it-twettiq tal-mandat primarju tiegħu huma soġġetti għal valutazzjoni tal-proporzjonalità;</w:t>
      </w:r>
    </w:p>
    <w:p w14:paraId="0E4FB300" w14:textId="77777777" w:rsidR="00F66E9D" w:rsidRDefault="00F66E9D" w:rsidP="00F66E9D">
      <w:pPr>
        <w:pStyle w:val="Normal12a"/>
        <w:rPr>
          <w:b/>
          <w:i/>
        </w:rPr>
      </w:pPr>
      <w:r w:rsidRPr="006E5F27">
        <w:rPr>
          <w:b/>
          <w:i/>
        </w:rPr>
        <w:t>Aspetti oħra</w:t>
      </w:r>
    </w:p>
    <w:p w14:paraId="7C4171E8" w14:textId="36FD2747" w:rsidR="006B4E64" w:rsidRPr="006E5F27" w:rsidRDefault="006B4E64" w:rsidP="00FA2DD8">
      <w:pPr>
        <w:pStyle w:val="NormalHanging12a"/>
      </w:pPr>
      <w:r w:rsidRPr="008C51B4">
        <w:t>2</w:t>
      </w:r>
      <w:r>
        <w:t>5</w:t>
      </w:r>
      <w:r w:rsidRPr="008C51B4">
        <w:t>.</w:t>
      </w:r>
      <w:r w:rsidRPr="008C51B4">
        <w:tab/>
        <w:t>Ifakkar li l-aċċess ugwali għas-servizzi ta’ pagament huwa essenzjali għall-parteċipazzjoni fil-ħajja ekonomika; jissottolinja li d-diġitalizzazzjoni dejjem akbar tal-pagamenti, jekk titħalla esklużivament f’idejn atturi privati u mhux tal-UE, tirriskja li toħloq forom ġodda ta’ esklużjoni kemm għall-utenti kif ukoll għan-negozjanti; jisħaq li euro diġitali online u offline għandu jikkontribwixxi għas-salvagwardja tal-aċċess universali għall-pagamenti u l-aċċettazzjoni wiesgħa min-negozjanti madwar l-UE, filwaqt li jirrispetta bis-sħiħ l-istandards tal-privatezza u tal-protezzjoni tad-data;</w:t>
      </w:r>
    </w:p>
    <w:p w14:paraId="2292CC9C" w14:textId="2DF81963" w:rsidR="00F66E9D" w:rsidRPr="006E5F27" w:rsidRDefault="00F66E9D" w:rsidP="00F66E9D">
      <w:pPr>
        <w:pStyle w:val="NormalHanging12a"/>
      </w:pPr>
      <w:r w:rsidRPr="006E5F27">
        <w:t>2</w:t>
      </w:r>
      <w:r w:rsidR="00EA57F8">
        <w:t>6</w:t>
      </w:r>
      <w:r w:rsidRPr="006E5F27">
        <w:t>.</w:t>
      </w:r>
      <w:r w:rsidRPr="006E5F27">
        <w:tab/>
        <w:t>Ji</w:t>
      </w:r>
      <w:r w:rsidR="008C51B4">
        <w:t>lqa</w:t>
      </w:r>
      <w:r w:rsidR="006B4E64">
        <w:t>’</w:t>
      </w:r>
      <w:r w:rsidRPr="006E5F27">
        <w:t xml:space="preserve"> d-diskussjonijiet li </w:t>
      </w:r>
      <w:r w:rsidR="008C51B4">
        <w:t xml:space="preserve">jinsabu </w:t>
      </w:r>
      <w:r w:rsidRPr="006E5F27">
        <w:t>għaddejjin dwar l-euro diġitali;</w:t>
      </w:r>
      <w:r w:rsidR="008C51B4">
        <w:t xml:space="preserve"> </w:t>
      </w:r>
      <w:r w:rsidR="008C51B4" w:rsidRPr="008C51B4">
        <w:t>jissottolinja li, f’kuntest ta’ inċertezza ġeopolitika akbar u dipendenza eċċessiva fuq infrastrutturi ta’ pagament mhux tal-UE, l-introduzzjoni ta’ euro diġitali, imfassal biex jikkomplementa s-servizzi bankarji fi flus kontanti u privati, hija essenzjali biex tissaħħaħ is-sovranità monetarja tal-UE, titnaqqas il-frammentazzjoni fil-pagamenti bl-imnut u jiġu appoġġjati l-integrità u r-reżiljenza tas-suq uniku</w:t>
      </w:r>
      <w:r w:rsidR="008C51B4">
        <w:t>;</w:t>
      </w:r>
    </w:p>
    <w:p w14:paraId="74C04CB1" w14:textId="21F2BFB6" w:rsidR="00F66E9D" w:rsidRPr="006E5F27" w:rsidRDefault="00F66E9D" w:rsidP="00F66E9D">
      <w:pPr>
        <w:pStyle w:val="NormalHanging12a"/>
      </w:pPr>
      <w:r w:rsidRPr="006E5F27">
        <w:t>2</w:t>
      </w:r>
      <w:r w:rsidR="00EA57F8">
        <w:t>7</w:t>
      </w:r>
      <w:r w:rsidRPr="006E5F27">
        <w:t>.</w:t>
      </w:r>
      <w:r w:rsidRPr="006E5F27">
        <w:tab/>
        <w:t>Jilqa’ l-proġetti ta’ teknoloġija ta’ reġistru distribwit li għaddejjin bħalissa fuq medda qasira ta’ żmien (Pontes) u medda twila ta’ żmien (Appia) għas-saldu bl-ingrossa ta’ flus tal-bank ċentrali;</w:t>
      </w:r>
    </w:p>
    <w:p w14:paraId="104B2235" w14:textId="78B16D4C" w:rsidR="00F66E9D" w:rsidRPr="006E5F27" w:rsidRDefault="00F66E9D" w:rsidP="00F66E9D">
      <w:pPr>
        <w:pStyle w:val="NormalHanging12a"/>
      </w:pPr>
      <w:r w:rsidRPr="006E5F27">
        <w:t>2</w:t>
      </w:r>
      <w:r w:rsidR="00EA57F8">
        <w:t>8</w:t>
      </w:r>
      <w:r w:rsidRPr="006E5F27">
        <w:t>.</w:t>
      </w:r>
      <w:r w:rsidRPr="006E5F27">
        <w:tab/>
        <w:t>Jisħaq fuq l-importanza li jinżamm ir-rwol tal-flus kontanti; jieħu nota tad-diskussjonijiet li għaddejjin dwar il-proposta tal-valuta legali;</w:t>
      </w:r>
    </w:p>
    <w:p w14:paraId="2D6C0121" w14:textId="49BB080D" w:rsidR="00F66E9D" w:rsidRPr="006E5F27" w:rsidRDefault="00F66E9D" w:rsidP="00F66E9D">
      <w:pPr>
        <w:pStyle w:val="NormalHanging12a"/>
      </w:pPr>
      <w:r w:rsidRPr="006E5F27">
        <w:t>2</w:t>
      </w:r>
      <w:r w:rsidR="00EA57F8">
        <w:t>9</w:t>
      </w:r>
      <w:r w:rsidRPr="006E5F27">
        <w:t>.</w:t>
      </w:r>
      <w:r w:rsidRPr="006E5F27">
        <w:tab/>
        <w:t>Jistieden lill-BĊE jintensifika l-monitoraġġ tal-kriptoassi, bħall-istablecoins;</w:t>
      </w:r>
    </w:p>
    <w:p w14:paraId="23741978" w14:textId="2730B5EA" w:rsidR="00F66E9D" w:rsidRPr="006E5F27" w:rsidRDefault="00EA57F8" w:rsidP="00F66E9D">
      <w:pPr>
        <w:pStyle w:val="NormalHanging12a"/>
      </w:pPr>
      <w:r>
        <w:t>30</w:t>
      </w:r>
      <w:r w:rsidR="00F66E9D" w:rsidRPr="006E5F27">
        <w:t>.</w:t>
      </w:r>
      <w:r w:rsidR="00F66E9D" w:rsidRPr="006E5F27">
        <w:tab/>
        <w:t>Jappoġġja lill-BĊE fl-isforzi tiegħu biex jakkomoda r-rwol internazzjonali tal-euro, fost l-oħrajn, permezz ta’ skambju ta’ muniti u linji ta’ riakkwist suffiċjenti;</w:t>
      </w:r>
    </w:p>
    <w:p w14:paraId="3801D933" w14:textId="12BF87A9" w:rsidR="00F66E9D" w:rsidRPr="006E5F27" w:rsidRDefault="00EA57F8" w:rsidP="00F66E9D">
      <w:pPr>
        <w:pStyle w:val="NormalHanging12a"/>
      </w:pPr>
      <w:r>
        <w:t>31</w:t>
      </w:r>
      <w:r w:rsidR="00F66E9D" w:rsidRPr="006E5F27">
        <w:t>.</w:t>
      </w:r>
      <w:r w:rsidR="00F66E9D" w:rsidRPr="006E5F27">
        <w:tab/>
        <w:t>Jilqa’ lir-Repubblika tal-Bulgarija bħala l-21 membru taż-żona tal-euro, mill-1 ta’ Jannar 2026;</w:t>
      </w:r>
    </w:p>
    <w:p w14:paraId="39F653BE" w14:textId="58C413F8" w:rsidR="00F66E9D" w:rsidRPr="006E5F27" w:rsidRDefault="00EA57F8" w:rsidP="00F66E9D">
      <w:pPr>
        <w:pStyle w:val="NormalHanging12a"/>
      </w:pPr>
      <w:r>
        <w:t>3</w:t>
      </w:r>
      <w:r w:rsidR="00F66E9D" w:rsidRPr="006E5F27">
        <w:t>2.</w:t>
      </w:r>
      <w:r w:rsidR="00F66E9D" w:rsidRPr="006E5F27">
        <w:tab/>
        <w:t>Jesprimi tħassib dwar l-indisponibbiltà temporanja tas-sistema ta’ saldu gross f’ħin reali tal-BĊE T2 u T2S fi Frar 20205; jistieden lill-BĊE jimmonitorja mill-qrib u jiżgura l-funzjonament xieraq tas-sistemi ta’ saldu;</w:t>
      </w:r>
    </w:p>
    <w:p w14:paraId="39F76E2D" w14:textId="753EE60F" w:rsidR="00F66E9D" w:rsidRPr="006E5F27" w:rsidRDefault="00F66E9D" w:rsidP="00F66E9D">
      <w:pPr>
        <w:pStyle w:val="NormalHanging12a"/>
      </w:pPr>
      <w:r w:rsidRPr="006E5F27">
        <w:lastRenderedPageBreak/>
        <w:t>3</w:t>
      </w:r>
      <w:r w:rsidR="00EA57F8">
        <w:t>3</w:t>
      </w:r>
      <w:r w:rsidRPr="006E5F27">
        <w:t>.</w:t>
      </w:r>
      <w:r w:rsidRPr="006E5F27">
        <w:tab/>
        <w:t>Jesprimi t-tħassib tiegħu dwar it-telf konsekuttiv li għamel il-BĊE fl-2023 u l-2024 minħabba r-riskju taċ-ċaqliq fir-rata tal-imgħax; jinnota li dan it-telf ma kkompromettiex il-kapaċità operazzjonali tas-sistema tal-Euro biex timplimenta l-politika monetarja tagħha;</w:t>
      </w:r>
    </w:p>
    <w:p w14:paraId="644A7921" w14:textId="090CCCE8" w:rsidR="00F66E9D" w:rsidRPr="006E5F27" w:rsidRDefault="00F66E9D" w:rsidP="00F66E9D">
      <w:pPr>
        <w:pStyle w:val="NormalHanging12a"/>
      </w:pPr>
      <w:r w:rsidRPr="006E5F27">
        <w:t>3</w:t>
      </w:r>
      <w:r w:rsidR="00EA57F8">
        <w:t>4</w:t>
      </w:r>
      <w:r w:rsidRPr="006E5F27">
        <w:t>.</w:t>
      </w:r>
      <w:r w:rsidRPr="006E5F27">
        <w:tab/>
        <w:t>Jappoġġja r-rwol tal-BĊE fil-promozzjoni tal-istabbiltà finanzjarja fi ħdan il-mekkaniżmu superviżorju uniku u l-funzjoni tal-BĊE bħala sellief tal-aħħar istanza għal istituzzjonijiet solventi, kontra kollateral tajjeb u b’rati ta’ penali, biex jiġu ssalvagwardjati l-likwidità u l-fiduċja matul il-kriżijiet;</w:t>
      </w:r>
    </w:p>
    <w:p w14:paraId="1815DD74" w14:textId="4B1D92B5" w:rsidR="00F66E9D" w:rsidRPr="006E5F27" w:rsidRDefault="00F66E9D" w:rsidP="00F66E9D">
      <w:pPr>
        <w:pStyle w:val="NormalHanging12a"/>
      </w:pPr>
      <w:r w:rsidRPr="006E5F27">
        <w:t>3</w:t>
      </w:r>
      <w:r w:rsidR="00EA57F8">
        <w:t>5</w:t>
      </w:r>
      <w:r w:rsidRPr="006E5F27">
        <w:t>.</w:t>
      </w:r>
      <w:r w:rsidRPr="006E5F27">
        <w:tab/>
        <w:t>Jappoġġja lill-BĊE fl-isforzi tiegħu biex itejjeb il-litteriżmu finanzjarju fl-UE;</w:t>
      </w:r>
    </w:p>
    <w:p w14:paraId="19DD654A" w14:textId="48920CF5" w:rsidR="00F66E9D" w:rsidRPr="006E5F27" w:rsidRDefault="00F66E9D" w:rsidP="00F66E9D">
      <w:pPr>
        <w:pStyle w:val="NormalHanging12a"/>
      </w:pPr>
      <w:r w:rsidRPr="006E5F27">
        <w:t>3</w:t>
      </w:r>
      <w:r w:rsidR="00EA57F8">
        <w:t>6</w:t>
      </w:r>
      <w:r w:rsidRPr="006E5F27">
        <w:t>.</w:t>
      </w:r>
      <w:r w:rsidRPr="006E5F27">
        <w:tab/>
        <w:t>Jilqa’ l-impenn tal-BĊE għall-isforzi ta’ simplifikazzjoni, bħall-ħolqien tat-Task Force ta’ Livell Għoli tal-BĊE dwar is-Simplifikazzjoni; jindika l-ħtieġa ta’ livell għoli ta’ ambizzjoni fil-ħidma u s-segwitu tal-ħidma tat-Task Force u jilqa’ d-diskussjonijiet profondi tal-BĊE mal-Parlament;</w:t>
      </w:r>
    </w:p>
    <w:p w14:paraId="5D83798F" w14:textId="2607FFBA" w:rsidR="00F66E9D" w:rsidRPr="006E5F27" w:rsidRDefault="00F66E9D" w:rsidP="00F66E9D">
      <w:pPr>
        <w:pStyle w:val="NormalHanging12a"/>
      </w:pPr>
      <w:r w:rsidRPr="006E5F27">
        <w:t>3</w:t>
      </w:r>
      <w:r w:rsidR="00EA57F8">
        <w:t>7</w:t>
      </w:r>
      <w:r w:rsidRPr="006E5F27">
        <w:t>.</w:t>
      </w:r>
      <w:r w:rsidRPr="006E5F27">
        <w:tab/>
        <w:t>Jistieden lill-BĊE jrawwem djalogu intern miftuħ u kostruttiv; jitlob li jissaħħu aktar l-oqfsa ta’ rappreżentanza tal-persunal u l-qafas intern tal-BĊE dwar l-iżvelar ta’ informazzjoni protetta;</w:t>
      </w:r>
    </w:p>
    <w:p w14:paraId="17DB4D33" w14:textId="1BEA4B8E" w:rsidR="00F66E9D" w:rsidRPr="006E5F27" w:rsidRDefault="00F66E9D" w:rsidP="00F66E9D">
      <w:pPr>
        <w:pStyle w:val="NormalHanging12a"/>
      </w:pPr>
      <w:r w:rsidRPr="006E5F27">
        <w:t>3</w:t>
      </w:r>
      <w:r w:rsidR="00EA57F8">
        <w:t>8</w:t>
      </w:r>
      <w:r w:rsidRPr="006E5F27">
        <w:t>.</w:t>
      </w:r>
      <w:r w:rsidRPr="006E5F27">
        <w:tab/>
        <w:t>Itenni li n-nomini għall-Bord Eżekuttiv tal-BĊE għandhom ikunu bbilanċjati bejn il-ġeneri, ibbażati fuq il-mertu u fuq il-kapaċità, u l-listi ta’ kandidati ppreżentati lill-Parlament, u li n-nies ta’ kull ġeneru għandu jkollhom opportunitajiet indaqs biex iservu bħala gvernaturi tal-banek ċentrali nazzjonali rispettivi tagħhom;</w:t>
      </w:r>
    </w:p>
    <w:p w14:paraId="532D66BB" w14:textId="066136EB" w:rsidR="00F66E9D" w:rsidRPr="006E5F27" w:rsidRDefault="00F66E9D" w:rsidP="00F66E9D">
      <w:pPr>
        <w:pStyle w:val="NormalHanging12a"/>
      </w:pPr>
      <w:r w:rsidRPr="006E5F27">
        <w:t>3</w:t>
      </w:r>
      <w:r w:rsidR="00EA57F8">
        <w:t>9</w:t>
      </w:r>
      <w:r w:rsidRPr="006E5F27">
        <w:t>.</w:t>
      </w:r>
      <w:r w:rsidRPr="006E5F27">
        <w:tab/>
        <w:t>Jistieden lis-SEBĊ tkompli u ssaħħaħ id-djalogi tagħha mal-parlamenti nazzjonali, li jemmen li jsaħħu l-leġittimità u l-politiki tas-SEBĊ;</w:t>
      </w:r>
    </w:p>
    <w:p w14:paraId="0FCAFF89" w14:textId="77777777" w:rsidR="00F66E9D" w:rsidRPr="006E5F27" w:rsidRDefault="00F66E9D" w:rsidP="00F66E9D">
      <w:pPr>
        <w:pStyle w:val="NormalCenter12a"/>
      </w:pPr>
      <w:r w:rsidRPr="006E5F27">
        <w:t>°</w:t>
      </w:r>
    </w:p>
    <w:p w14:paraId="79B9D7F3" w14:textId="77777777" w:rsidR="00F66E9D" w:rsidRPr="006E5F27" w:rsidRDefault="00F66E9D" w:rsidP="00F66E9D">
      <w:pPr>
        <w:pStyle w:val="NormalCenter12a"/>
      </w:pPr>
      <w:r w:rsidRPr="006E5F27">
        <w:t>°</w:t>
      </w:r>
      <w:r w:rsidRPr="006E5F27">
        <w:tab/>
        <w:t>°</w:t>
      </w:r>
    </w:p>
    <w:p w14:paraId="699E736B" w14:textId="5A848EEA" w:rsidR="006E5F27" w:rsidRPr="006E5F27" w:rsidRDefault="00EA57F8" w:rsidP="006E5F27">
      <w:pPr>
        <w:pStyle w:val="NormalHanging12a"/>
      </w:pPr>
      <w:r>
        <w:t>40</w:t>
      </w:r>
      <w:r w:rsidR="00F66E9D" w:rsidRPr="006E5F27">
        <w:t>.</w:t>
      </w:r>
      <w:r w:rsidR="00F66E9D" w:rsidRPr="006E5F27">
        <w:tab/>
        <w:t>Jagħti istruzzjonijiet lill-President tiegħu biex tgħaddi din ir-riżoluzzjoni lill-Kunsill u lill-Kummissjoni.</w:t>
      </w:r>
    </w:p>
    <w:p w14:paraId="576D7695" w14:textId="5CE90C45" w:rsidR="00E365E1" w:rsidRPr="006E5F27" w:rsidRDefault="00E365E1" w:rsidP="008718ED"/>
    <w:sectPr w:rsidR="00E365E1" w:rsidRPr="006E5F27" w:rsidSect="006E5F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BA954" w14:textId="77777777" w:rsidR="008718ED" w:rsidRPr="006E5F27" w:rsidRDefault="008718ED">
      <w:r w:rsidRPr="006E5F27">
        <w:separator/>
      </w:r>
    </w:p>
  </w:endnote>
  <w:endnote w:type="continuationSeparator" w:id="0">
    <w:p w14:paraId="7DDF7769" w14:textId="77777777" w:rsidR="008718ED" w:rsidRPr="006E5F27" w:rsidRDefault="008718ED">
      <w:r w:rsidRPr="006E5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94425" w14:textId="77777777" w:rsidR="00064002" w:rsidRPr="006E5F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3DF64" w14:textId="77777777" w:rsidR="00064002" w:rsidRPr="006E5F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266B" w14:textId="77777777" w:rsidR="00064002" w:rsidRPr="006E5F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F6717" w14:textId="77777777" w:rsidR="008718ED" w:rsidRPr="006E5F27" w:rsidRDefault="008718ED">
      <w:r w:rsidRPr="006E5F27">
        <w:separator/>
      </w:r>
    </w:p>
  </w:footnote>
  <w:footnote w:type="continuationSeparator" w:id="0">
    <w:p w14:paraId="0767DA6A" w14:textId="77777777" w:rsidR="008718ED" w:rsidRPr="006E5F27" w:rsidRDefault="008718ED">
      <w:r w:rsidRPr="006E5F27">
        <w:continuationSeparator/>
      </w:r>
    </w:p>
  </w:footnote>
  <w:footnote w:id="1">
    <w:p w14:paraId="15671468" w14:textId="4D5A0445" w:rsidR="00FA2DD8" w:rsidRPr="00FA2DD8" w:rsidRDefault="00FA2DD8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6E5F27">
        <w:rPr>
          <w:sz w:val="24"/>
          <w:lang w:val="mt-MT"/>
        </w:rPr>
        <w:t>Briefing — “Punt ta’ bidla jew kontinwità? The ECB 2025 strategy review”, il-Parlament Ewropew, id-Direttorat Ġenerali għall-Ekonomija, it-Trasformazzjoni u l-Industrija, l-Unità tal-Iskrutinju tal-Governanza Ekonomika u tal-UEM (EGOV), Ottubru 2025.</w:t>
      </w:r>
    </w:p>
  </w:footnote>
  <w:footnote w:id="2">
    <w:p w14:paraId="48A44211" w14:textId="67F94036" w:rsidR="00F66E9D" w:rsidRPr="006E5F27" w:rsidRDefault="00F66E9D" w:rsidP="006E5F27">
      <w:pPr>
        <w:pStyle w:val="FootnoteText"/>
        <w:ind w:left="567" w:hanging="567"/>
        <w:rPr>
          <w:sz w:val="24"/>
          <w:lang w:val="mt-MT"/>
        </w:rPr>
      </w:pPr>
      <w:r w:rsidRPr="006E5F27">
        <w:rPr>
          <w:sz w:val="24"/>
          <w:vertAlign w:val="superscript"/>
          <w:lang w:val="mt-MT"/>
        </w:rPr>
        <w:t>2</w:t>
      </w:r>
      <w:r w:rsidR="006E5F27" w:rsidRPr="006E5F27">
        <w:rPr>
          <w:sz w:val="24"/>
          <w:vertAlign w:val="superscript"/>
          <w:lang w:val="mt-MT"/>
        </w:rPr>
        <w:t xml:space="preserve"> </w:t>
      </w:r>
      <w:r w:rsidR="006E5F27" w:rsidRPr="006E5F27">
        <w:rPr>
          <w:sz w:val="24"/>
          <w:vertAlign w:val="superscript"/>
          <w:lang w:val="mt-MT"/>
        </w:rPr>
        <w:tab/>
      </w:r>
      <w:r w:rsidRPr="006E5F27">
        <w:rPr>
          <w:sz w:val="24"/>
          <w:lang w:val="mt-MT"/>
        </w:rPr>
        <w:t>Analiżi fil-fond – “The silent hand of central banking: collateral framework”, il-Parlament Ewropew, id-Direttorat Ġenerali għall-Ekonomija, it-Trasformazzjoni u l-Industrija, EGOV, Ġunju 2025.</w:t>
      </w:r>
    </w:p>
  </w:footnote>
  <w:footnote w:id="3">
    <w:p w14:paraId="60876568" w14:textId="75FA1596" w:rsidR="00F66E9D" w:rsidRPr="006E5F27" w:rsidRDefault="00F66E9D" w:rsidP="006E5F27">
      <w:pPr>
        <w:pStyle w:val="FootnoteText"/>
        <w:ind w:left="567" w:hanging="567"/>
        <w:rPr>
          <w:sz w:val="24"/>
          <w:lang w:val="mt-MT"/>
        </w:rPr>
      </w:pPr>
      <w:r w:rsidRPr="006E5F27">
        <w:rPr>
          <w:sz w:val="24"/>
          <w:vertAlign w:val="superscript"/>
          <w:lang w:val="mt-MT"/>
        </w:rPr>
        <w:t>3</w:t>
      </w:r>
      <w:r w:rsidR="006E5F27" w:rsidRPr="006E5F27">
        <w:rPr>
          <w:sz w:val="24"/>
          <w:vertAlign w:val="superscript"/>
          <w:lang w:val="mt-MT"/>
        </w:rPr>
        <w:t xml:space="preserve"> </w:t>
      </w:r>
      <w:r w:rsidR="006E5F27" w:rsidRPr="006E5F27">
        <w:rPr>
          <w:sz w:val="24"/>
          <w:vertAlign w:val="superscript"/>
          <w:lang w:val="mt-MT"/>
        </w:rPr>
        <w:tab/>
      </w:r>
      <w:r w:rsidRPr="006E5F27">
        <w:rPr>
          <w:sz w:val="24"/>
          <w:lang w:val="mt-MT"/>
        </w:rPr>
        <w:t xml:space="preserve">Cochrane, J.H. </w:t>
      </w:r>
      <w:r w:rsidRPr="006E5F27">
        <w:rPr>
          <w:i/>
          <w:sz w:val="24"/>
          <w:lang w:val="mt-MT"/>
        </w:rPr>
        <w:t>et al.</w:t>
      </w:r>
      <w:r w:rsidRPr="006E5F27">
        <w:rPr>
          <w:sz w:val="24"/>
          <w:lang w:val="mt-MT"/>
        </w:rPr>
        <w:t>, “Crisis Cycle: Challenges, Evolution, and Future of the Euro” (Iċ-Ċiklu tal-Kriżijiet: l-isfidi, l-evoluzzjoni u l-futur tal-Euro), Princeton University Press, 2025.</w:t>
      </w:r>
    </w:p>
  </w:footnote>
  <w:footnote w:id="4">
    <w:p w14:paraId="1EA61368" w14:textId="56A0B276" w:rsidR="008C51B4" w:rsidRPr="00FA2DD8" w:rsidRDefault="008C51B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FA2DD8">
        <w:rPr>
          <w:lang w:val="en-GB"/>
        </w:rPr>
        <w:t xml:space="preserve"> </w:t>
      </w:r>
      <w:r>
        <w:rPr>
          <w:lang w:val="mt-MT"/>
        </w:rPr>
        <w:tab/>
      </w:r>
      <w:hyperlink r:id="rId1" w:history="1">
        <w:r w:rsidRPr="00FA2DD8">
          <w:rPr>
            <w:rStyle w:val="Hyperlink"/>
            <w:color w:val="auto"/>
            <w:u w:val="none"/>
            <w:lang w:val="en-GB"/>
          </w:rPr>
          <w:t>Blog tal-Bank Ċentrali Ewropew, “When groceries bite, the role of food prices for inflation in the euro area”, il-25 ta’ Settembru 2025</w:t>
        </w:r>
      </w:hyperlink>
      <w:r w:rsidRPr="00FA2DD8">
        <w:rPr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86BBE" w14:textId="77777777" w:rsidR="00064002" w:rsidRPr="006E5F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F3EF" w14:textId="77777777" w:rsidR="00064002" w:rsidRPr="006E5F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D3102" w14:textId="77777777" w:rsidR="00064002" w:rsidRPr="006E5F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5679884">
    <w:abstractNumId w:val="9"/>
  </w:num>
  <w:num w:numId="2" w16cid:durableId="81801881">
    <w:abstractNumId w:val="9"/>
  </w:num>
  <w:num w:numId="3" w16cid:durableId="1702854018">
    <w:abstractNumId w:val="7"/>
  </w:num>
  <w:num w:numId="4" w16cid:durableId="1929774956">
    <w:abstractNumId w:val="7"/>
  </w:num>
  <w:num w:numId="5" w16cid:durableId="1638728112">
    <w:abstractNumId w:val="6"/>
  </w:num>
  <w:num w:numId="6" w16cid:durableId="1290623187">
    <w:abstractNumId w:val="6"/>
  </w:num>
  <w:num w:numId="7" w16cid:durableId="1324703713">
    <w:abstractNumId w:val="5"/>
  </w:num>
  <w:num w:numId="8" w16cid:durableId="959266123">
    <w:abstractNumId w:val="5"/>
  </w:num>
  <w:num w:numId="9" w16cid:durableId="1846748614">
    <w:abstractNumId w:val="4"/>
  </w:num>
  <w:num w:numId="10" w16cid:durableId="234171733">
    <w:abstractNumId w:val="4"/>
  </w:num>
  <w:num w:numId="11" w16cid:durableId="76481378">
    <w:abstractNumId w:val="8"/>
  </w:num>
  <w:num w:numId="12" w16cid:durableId="1106385367">
    <w:abstractNumId w:val="8"/>
  </w:num>
  <w:num w:numId="13" w16cid:durableId="1716613112">
    <w:abstractNumId w:val="3"/>
  </w:num>
  <w:num w:numId="14" w16cid:durableId="375592707">
    <w:abstractNumId w:val="3"/>
  </w:num>
  <w:num w:numId="15" w16cid:durableId="1985813116">
    <w:abstractNumId w:val="2"/>
  </w:num>
  <w:num w:numId="16" w16cid:durableId="571163543">
    <w:abstractNumId w:val="2"/>
  </w:num>
  <w:num w:numId="17" w16cid:durableId="1619067840">
    <w:abstractNumId w:val="1"/>
  </w:num>
  <w:num w:numId="18" w16cid:durableId="1477605435">
    <w:abstractNumId w:val="1"/>
  </w:num>
  <w:num w:numId="19" w16cid:durableId="116145645">
    <w:abstractNumId w:val="0"/>
  </w:num>
  <w:num w:numId="20" w16cid:durableId="854422764">
    <w:abstractNumId w:val="0"/>
  </w:num>
  <w:num w:numId="21" w16cid:durableId="1460801998">
    <w:abstractNumId w:val="9"/>
  </w:num>
  <w:num w:numId="22" w16cid:durableId="1219829428">
    <w:abstractNumId w:val="7"/>
  </w:num>
  <w:num w:numId="23" w16cid:durableId="2044547832">
    <w:abstractNumId w:val="6"/>
  </w:num>
  <w:num w:numId="24" w16cid:durableId="911693633">
    <w:abstractNumId w:val="5"/>
  </w:num>
  <w:num w:numId="25" w16cid:durableId="1227953210">
    <w:abstractNumId w:val="4"/>
  </w:num>
  <w:num w:numId="26" w16cid:durableId="681199856">
    <w:abstractNumId w:val="8"/>
  </w:num>
  <w:num w:numId="27" w16cid:durableId="1465001389">
    <w:abstractNumId w:val="3"/>
  </w:num>
  <w:num w:numId="28" w16cid:durableId="855385086">
    <w:abstractNumId w:val="2"/>
  </w:num>
  <w:num w:numId="29" w16cid:durableId="1180121314">
    <w:abstractNumId w:val="1"/>
  </w:num>
  <w:num w:numId="30" w16cid:durableId="1546256650">
    <w:abstractNumId w:val="0"/>
  </w:num>
  <w:num w:numId="31" w16cid:durableId="98726160">
    <w:abstractNumId w:val="9"/>
  </w:num>
  <w:num w:numId="32" w16cid:durableId="1083600193">
    <w:abstractNumId w:val="7"/>
  </w:num>
  <w:num w:numId="33" w16cid:durableId="603223391">
    <w:abstractNumId w:val="6"/>
  </w:num>
  <w:num w:numId="34" w16cid:durableId="1102263217">
    <w:abstractNumId w:val="5"/>
  </w:num>
  <w:num w:numId="35" w16cid:durableId="1019232619">
    <w:abstractNumId w:val="4"/>
  </w:num>
  <w:num w:numId="36" w16cid:durableId="308638599">
    <w:abstractNumId w:val="8"/>
  </w:num>
  <w:num w:numId="37" w16cid:durableId="1436098621">
    <w:abstractNumId w:val="3"/>
  </w:num>
  <w:num w:numId="38" w16cid:durableId="1956406889">
    <w:abstractNumId w:val="2"/>
  </w:num>
  <w:num w:numId="39" w16cid:durableId="1813055566">
    <w:abstractNumId w:val="1"/>
  </w:num>
  <w:num w:numId="40" w16cid:durableId="2056418370">
    <w:abstractNumId w:val="0"/>
  </w:num>
  <w:num w:numId="41" w16cid:durableId="1968000213">
    <w:abstractNumId w:val="10"/>
  </w:num>
  <w:num w:numId="42" w16cid:durableId="1358462176">
    <w:abstractNumId w:val="10"/>
  </w:num>
  <w:num w:numId="43" w16cid:durableId="874543001">
    <w:abstractNumId w:val="10"/>
  </w:num>
  <w:num w:numId="44" w16cid:durableId="1740320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2/2026"/>
    <w:docVar w:name="dvlangue" w:val="MT"/>
    <w:docVar w:name="dvnumam" w:val="0"/>
    <w:docVar w:name="dvpe" w:val="778.306"/>
    <w:docVar w:name="dvrapporteur" w:val="Rapporteur: "/>
    <w:docVar w:name="dvtitre" w:val="Riżoluzzjoni tal-Parlament Ewropew xx xx xxxx 2026 dwar il-Bank Ċentrali Ewropew – rapport annwali 2025(2025/2182(INI))"/>
  </w:docVars>
  <w:rsids>
    <w:rsidRoot w:val="008718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80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BFF"/>
    <w:rsid w:val="005C2568"/>
    <w:rsid w:val="005F1B17"/>
    <w:rsid w:val="006037C0"/>
    <w:rsid w:val="006631B6"/>
    <w:rsid w:val="00680577"/>
    <w:rsid w:val="006B4E64"/>
    <w:rsid w:val="006D61DA"/>
    <w:rsid w:val="006E5F2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8EB"/>
    <w:rsid w:val="008718ED"/>
    <w:rsid w:val="00881A7B"/>
    <w:rsid w:val="008840E5"/>
    <w:rsid w:val="00887B3E"/>
    <w:rsid w:val="008948CE"/>
    <w:rsid w:val="008C2AC6"/>
    <w:rsid w:val="008C51B4"/>
    <w:rsid w:val="00930C23"/>
    <w:rsid w:val="0093193B"/>
    <w:rsid w:val="009509D8"/>
    <w:rsid w:val="00950B64"/>
    <w:rsid w:val="00981893"/>
    <w:rsid w:val="0099448B"/>
    <w:rsid w:val="009A1113"/>
    <w:rsid w:val="00A0083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DA2"/>
    <w:rsid w:val="00CF071A"/>
    <w:rsid w:val="00D058B8"/>
    <w:rsid w:val="00D56C11"/>
    <w:rsid w:val="00D834A0"/>
    <w:rsid w:val="00D87287"/>
    <w:rsid w:val="00D872DF"/>
    <w:rsid w:val="00D91E21"/>
    <w:rsid w:val="00DA7FCD"/>
    <w:rsid w:val="00E17581"/>
    <w:rsid w:val="00E365E1"/>
    <w:rsid w:val="00E820A4"/>
    <w:rsid w:val="00EA57F8"/>
    <w:rsid w:val="00EB006A"/>
    <w:rsid w:val="00EB4772"/>
    <w:rsid w:val="00ED169E"/>
    <w:rsid w:val="00ED4235"/>
    <w:rsid w:val="00F04346"/>
    <w:rsid w:val="00F075DC"/>
    <w:rsid w:val="00F149E9"/>
    <w:rsid w:val="00F5134D"/>
    <w:rsid w:val="00F66E9D"/>
    <w:rsid w:val="00F74202"/>
    <w:rsid w:val="00F87713"/>
    <w:rsid w:val="00FA2DD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C83F4"/>
  <w15:chartTrackingRefBased/>
  <w15:docId w15:val="{B4DEE447-05B4-42BC-BB2A-E0276BD5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66E9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66E9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66E9D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66E9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Bold12a">
    <w:name w:val="NormalBold12a"/>
    <w:basedOn w:val="Normal"/>
    <w:rsid w:val="00F66E9D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F66E9D"/>
    <w:pPr>
      <w:widowControl/>
      <w:spacing w:after="240"/>
      <w:jc w:val="center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D87287"/>
    <w:rPr>
      <w:sz w:val="24"/>
      <w:lang w:val="mt-MT"/>
    </w:rPr>
  </w:style>
  <w:style w:type="character" w:styleId="Hyperlink">
    <w:name w:val="Hyperlink"/>
    <w:basedOn w:val="DefaultParagraphFont"/>
    <w:rsid w:val="008C51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cb.europa.eu/press/blog/date/2025/html/ecb.blog20250925~7fd65a388a.m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1827</Words>
  <Characters>13406</Characters>
  <Application>Microsoft Office Word</Application>
  <DocSecurity>0</DocSecurity>
  <Lines>111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2026-02-10T14:42:00Z</dcterms:created>
  <dcterms:modified xsi:type="dcterms:W3CDTF">2026-02-10T14:42:00Z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A10-0002/2026</vt:lpwstr>
  </property>
  <property fmtid="{D5CDD505-2E9C-101B-9397-08002B2CF9AE}" pid="4" name="&lt;Type&gt;">
    <vt:lpwstr>RR</vt:lpwstr>
  </property>
</Properties>
</file>