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5504" w14:paraId="6375B2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6F84ED" w14:textId="77777777" w:rsidR="00751A4A" w:rsidRPr="00665504" w:rsidRDefault="006C6461" w:rsidP="0010095E">
            <w:pPr>
              <w:pStyle w:val="EPName"/>
            </w:pPr>
            <w:r w:rsidRPr="00665504">
              <w:t>Parlament Europejski</w:t>
            </w:r>
          </w:p>
          <w:p w14:paraId="394B3E4E" w14:textId="77777777" w:rsidR="00751A4A" w:rsidRPr="006655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5504">
              <w:t>2024</w:t>
            </w:r>
            <w:r w:rsidR="00817416" w:rsidRPr="00665504">
              <w:t>-202</w:t>
            </w:r>
            <w:r w:rsidRPr="00665504">
              <w:t>9</w:t>
            </w:r>
          </w:p>
        </w:tc>
        <w:tc>
          <w:tcPr>
            <w:tcW w:w="2268" w:type="dxa"/>
            <w:shd w:val="clear" w:color="auto" w:fill="auto"/>
          </w:tcPr>
          <w:p w14:paraId="16A217BF" w14:textId="77777777" w:rsidR="00751A4A" w:rsidRPr="00665504" w:rsidRDefault="00187494" w:rsidP="0010095E">
            <w:pPr>
              <w:pStyle w:val="EPLogo"/>
            </w:pPr>
            <w:r w:rsidRPr="00665504">
              <w:rPr>
                <w:noProof/>
                <w:lang w:eastAsia="ja-JP"/>
              </w:rPr>
              <w:drawing>
                <wp:inline distT="0" distB="0" distL="0" distR="0" wp14:anchorId="47CF5F1A" wp14:editId="798050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5F402A" w14:textId="77777777" w:rsidR="00D058B8" w:rsidRPr="00665504" w:rsidRDefault="00D058B8" w:rsidP="004C5D52">
      <w:pPr>
        <w:pStyle w:val="LineTop"/>
      </w:pPr>
    </w:p>
    <w:p w14:paraId="222D58F6" w14:textId="77777777" w:rsidR="00680577" w:rsidRPr="00665504" w:rsidRDefault="006C6461" w:rsidP="00680577">
      <w:pPr>
        <w:pStyle w:val="EPBodyTA1"/>
      </w:pPr>
      <w:r w:rsidRPr="00665504">
        <w:t>TEKSTY PRZYJĘTE</w:t>
      </w:r>
    </w:p>
    <w:p w14:paraId="40BA96B4" w14:textId="77777777" w:rsidR="00D058B8" w:rsidRPr="00665504" w:rsidRDefault="00D058B8" w:rsidP="00D058B8">
      <w:pPr>
        <w:pStyle w:val="LineBottom"/>
      </w:pPr>
    </w:p>
    <w:p w14:paraId="51346037" w14:textId="5F07D20D" w:rsidR="006C6461" w:rsidRPr="00665504" w:rsidRDefault="006C6461" w:rsidP="006C6461">
      <w:pPr>
        <w:pStyle w:val="ATHeading1"/>
      </w:pPr>
      <w:bookmarkStart w:id="0" w:name="TANumber"/>
      <w:r w:rsidRPr="00665504">
        <w:t>P10_TA(2026)00</w:t>
      </w:r>
      <w:bookmarkEnd w:id="0"/>
      <w:r w:rsidR="00B31327">
        <w:t>34</w:t>
      </w:r>
    </w:p>
    <w:p w14:paraId="615BFC3D" w14:textId="77777777" w:rsidR="006C6461" w:rsidRPr="00665504" w:rsidRDefault="006C6461" w:rsidP="006C6461">
      <w:pPr>
        <w:pStyle w:val="ATHeading2"/>
      </w:pPr>
      <w:bookmarkStart w:id="1" w:name="title"/>
      <w:r w:rsidRPr="00665504">
        <w:t>Europejski Bank Centralny – raport za rok 2025</w:t>
      </w:r>
      <w:bookmarkEnd w:id="1"/>
    </w:p>
    <w:p w14:paraId="20E89D55" w14:textId="77777777" w:rsidR="006C6461" w:rsidRPr="00665504" w:rsidRDefault="006C6461" w:rsidP="006C6461">
      <w:pPr>
        <w:rPr>
          <w:i/>
          <w:vanish/>
        </w:rPr>
      </w:pPr>
      <w:r w:rsidRPr="00665504">
        <w:rPr>
          <w:i/>
        </w:rPr>
        <w:fldChar w:fldCharType="begin"/>
      </w:r>
      <w:r w:rsidRPr="00665504">
        <w:rPr>
          <w:i/>
        </w:rPr>
        <w:instrText xml:space="preserve"> TC"(</w:instrText>
      </w:r>
      <w:bookmarkStart w:id="2" w:name="DocNumber"/>
      <w:r w:rsidRPr="00665504">
        <w:rPr>
          <w:i/>
        </w:rPr>
        <w:instrText>A10-0002/2026</w:instrText>
      </w:r>
      <w:bookmarkEnd w:id="2"/>
      <w:r w:rsidRPr="00665504">
        <w:rPr>
          <w:i/>
        </w:rPr>
        <w:instrText xml:space="preserve"> - Sprawozdawca: </w:instrText>
      </w:r>
      <w:proofErr w:type="spellStart"/>
      <w:r w:rsidRPr="00665504">
        <w:rPr>
          <w:i/>
        </w:rPr>
        <w:instrText>Johan</w:instrText>
      </w:r>
      <w:proofErr w:type="spellEnd"/>
      <w:r w:rsidRPr="00665504">
        <w:rPr>
          <w:i/>
        </w:rPr>
        <w:instrText xml:space="preserve"> Van </w:instrText>
      </w:r>
      <w:proofErr w:type="spellStart"/>
      <w:r w:rsidRPr="00665504">
        <w:rPr>
          <w:i/>
        </w:rPr>
        <w:instrText>Overtveldt</w:instrText>
      </w:r>
      <w:proofErr w:type="spellEnd"/>
      <w:r w:rsidRPr="00665504">
        <w:rPr>
          <w:i/>
        </w:rPr>
        <w:instrText xml:space="preserve">)"\l3 \n&gt; \* MERGEFORMAT </w:instrText>
      </w:r>
      <w:r w:rsidRPr="00665504">
        <w:rPr>
          <w:i/>
        </w:rPr>
        <w:fldChar w:fldCharType="end"/>
      </w:r>
    </w:p>
    <w:p w14:paraId="16E8924F" w14:textId="77777777" w:rsidR="006C6461" w:rsidRPr="00665504" w:rsidRDefault="006C6461" w:rsidP="006C6461">
      <w:pPr>
        <w:rPr>
          <w:vanish/>
        </w:rPr>
      </w:pPr>
      <w:bookmarkStart w:id="3" w:name="Commission"/>
      <w:r w:rsidRPr="00665504">
        <w:rPr>
          <w:vanish/>
        </w:rPr>
        <w:t>Komisja Gospodarcza i Monetarna</w:t>
      </w:r>
      <w:bookmarkEnd w:id="3"/>
    </w:p>
    <w:p w14:paraId="73419EAA" w14:textId="77777777" w:rsidR="006C6461" w:rsidRPr="00665504" w:rsidRDefault="006C6461" w:rsidP="006C6461">
      <w:pPr>
        <w:rPr>
          <w:vanish/>
        </w:rPr>
      </w:pPr>
      <w:bookmarkStart w:id="4" w:name="PE"/>
      <w:r w:rsidRPr="00665504">
        <w:rPr>
          <w:vanish/>
        </w:rPr>
        <w:t>PE778.306</w:t>
      </w:r>
      <w:bookmarkEnd w:id="4"/>
    </w:p>
    <w:p w14:paraId="3770C1EA" w14:textId="779AF24E" w:rsidR="006C6461" w:rsidRPr="00665504" w:rsidRDefault="006C6461" w:rsidP="006C6461">
      <w:pPr>
        <w:pStyle w:val="ATHeading3"/>
      </w:pPr>
      <w:bookmarkStart w:id="5" w:name="Sujet"/>
      <w:r w:rsidRPr="00665504">
        <w:t xml:space="preserve">Rezolucja Parlamentu Europejskiego z dnia </w:t>
      </w:r>
      <w:r w:rsidR="00A748C9">
        <w:t>10 lutego</w:t>
      </w:r>
      <w:r w:rsidRPr="00665504">
        <w:t xml:space="preserve"> 2026 r. w sprawie Europejskiego Banku Centralnego – raport roczny za rok 2025</w:t>
      </w:r>
      <w:bookmarkEnd w:id="5"/>
      <w:r w:rsidRPr="00665504">
        <w:t xml:space="preserve"> </w:t>
      </w:r>
      <w:bookmarkStart w:id="6" w:name="References"/>
      <w:r w:rsidRPr="00665504">
        <w:t>(2025/2182(INI))</w:t>
      </w:r>
      <w:bookmarkEnd w:id="6"/>
    </w:p>
    <w:p w14:paraId="5046A958" w14:textId="77777777" w:rsidR="00CD70B2" w:rsidRPr="00665504" w:rsidRDefault="00CD70B2" w:rsidP="00CD70B2">
      <w:pPr>
        <w:pStyle w:val="Normal12"/>
      </w:pPr>
      <w:r w:rsidRPr="00665504">
        <w:rPr>
          <w:i/>
        </w:rPr>
        <w:t>Parlament Europejski</w:t>
      </w:r>
      <w:r w:rsidRPr="00665504">
        <w:t>,</w:t>
      </w:r>
    </w:p>
    <w:p w14:paraId="41DB68BD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informacje zwrotne, które Europejski Bank Centralny (EBC) przekazał 28 kwietnia 2025 r. w odpowiedzi na uwagi Parlamentu zawarte w rezolucji w sprawie raportu rocznego EBC za rok 2023,</w:t>
      </w:r>
    </w:p>
    <w:p w14:paraId="194DF759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Statut Europejskiego Systemu Banków Centralnych (ESBC) i EBC, w szczególności jego art. 2, 15 i 21,</w:t>
      </w:r>
    </w:p>
    <w:p w14:paraId="5F16DF42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art. 119, art. 123 ust. 1, art. 125, art. 127 ust. 1 i 2, art. 130, art. 282 ust. 2 i art. 284 ust. 3 Traktatu o funkcjonowaniu Unii Europejskiej (TFUE),</w:t>
      </w:r>
    </w:p>
    <w:p w14:paraId="0B7FBD39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art. 3 i 13 Traktatu o Unii Europejskiej (TUE),</w:t>
      </w:r>
    </w:p>
    <w:p w14:paraId="3E8AE9CE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 xml:space="preserve">uwzględniając dialogi monetarne z prezeską EBC Christine </w:t>
      </w:r>
      <w:proofErr w:type="spellStart"/>
      <w:r w:rsidRPr="00665504">
        <w:t>Lagarde</w:t>
      </w:r>
      <w:proofErr w:type="spellEnd"/>
      <w:r w:rsidRPr="00665504">
        <w:t xml:space="preserve"> z 20 marca 2025 r., 23 czerwca 2025 r. i 6 października 2025 r.,</w:t>
      </w:r>
    </w:p>
    <w:p w14:paraId="72386338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ocenę strategii polityki pieniężnej EBC w 2025 r.,</w:t>
      </w:r>
    </w:p>
    <w:p w14:paraId="78433DF2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sprawozdanie EBC w sprawie międzynarodowej roli euro z 2025 r.,</w:t>
      </w:r>
    </w:p>
    <w:p w14:paraId="46AC6E9D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plan EBC na rzecz klimatu i przyrody na lata 2024–2025,</w:t>
      </w:r>
    </w:p>
    <w:p w14:paraId="601C670F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szacunki Eurostatu dotyczące inflacji z 20 sierpnia 2025 r. oraz szybkie szacunki Eurostatu z 1 października 2025 r.,</w:t>
      </w:r>
    </w:p>
    <w:p w14:paraId="3CAA851D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 xml:space="preserve">uwzględniając briefing EGOV z października 2025 r. pt. </w:t>
      </w:r>
      <w:r w:rsidRPr="00A748C9">
        <w:rPr>
          <w:lang w:val="en-GB"/>
        </w:rPr>
        <w:t>„Turning Point or continuity? The ECB’s 2025 strategy review” [</w:t>
      </w:r>
      <w:proofErr w:type="spellStart"/>
      <w:r w:rsidRPr="00A748C9">
        <w:rPr>
          <w:lang w:val="en-GB"/>
        </w:rPr>
        <w:t>Punkt</w:t>
      </w:r>
      <w:proofErr w:type="spellEnd"/>
      <w:r w:rsidRPr="00A748C9">
        <w:rPr>
          <w:lang w:val="en-GB"/>
        </w:rPr>
        <w:t xml:space="preserve"> </w:t>
      </w:r>
      <w:proofErr w:type="spellStart"/>
      <w:r w:rsidRPr="00A748C9">
        <w:rPr>
          <w:lang w:val="en-GB"/>
        </w:rPr>
        <w:t>zwrotny</w:t>
      </w:r>
      <w:proofErr w:type="spellEnd"/>
      <w:r w:rsidRPr="00A748C9">
        <w:rPr>
          <w:lang w:val="en-GB"/>
        </w:rPr>
        <w:t xml:space="preserve"> </w:t>
      </w:r>
      <w:proofErr w:type="spellStart"/>
      <w:r w:rsidRPr="00A748C9">
        <w:rPr>
          <w:lang w:val="en-GB"/>
        </w:rPr>
        <w:t>czy</w:t>
      </w:r>
      <w:proofErr w:type="spellEnd"/>
      <w:r w:rsidRPr="00A748C9">
        <w:rPr>
          <w:lang w:val="en-GB"/>
        </w:rPr>
        <w:t xml:space="preserve"> </w:t>
      </w:r>
      <w:proofErr w:type="spellStart"/>
      <w:r w:rsidRPr="00A748C9">
        <w:rPr>
          <w:lang w:val="en-GB"/>
        </w:rPr>
        <w:t>kontynuacja</w:t>
      </w:r>
      <w:proofErr w:type="spellEnd"/>
      <w:r w:rsidRPr="00A748C9">
        <w:rPr>
          <w:lang w:val="en-GB"/>
        </w:rPr>
        <w:t xml:space="preserve">? </w:t>
      </w:r>
      <w:r w:rsidRPr="00665504">
        <w:t xml:space="preserve">Przegląd strategii </w:t>
      </w:r>
      <w:r w:rsidRPr="00665504">
        <w:lastRenderedPageBreak/>
        <w:t>EBC na rok 2025], opublikowany przez parlamentarną Dyrekcję Generalną ds. Gospodarki, Transformacji i Przemysłu</w:t>
      </w:r>
      <w:r w:rsidRPr="00665504">
        <w:rPr>
          <w:rStyle w:val="FootnoteReference"/>
        </w:rPr>
        <w:footnoteReference w:customMarkFollows="1" w:id="1"/>
        <w:t>1</w:t>
      </w:r>
      <w:r w:rsidRPr="00665504">
        <w:t>,</w:t>
      </w:r>
    </w:p>
    <w:p w14:paraId="74C17B21" w14:textId="16AB250B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 xml:space="preserve">uwzględniając analizę EGOV z czerwca 2025 r. zatytułowaną „The </w:t>
      </w:r>
      <w:proofErr w:type="spellStart"/>
      <w:r w:rsidRPr="00665504">
        <w:t>silent</w:t>
      </w:r>
      <w:proofErr w:type="spellEnd"/>
      <w:r w:rsidRPr="00665504">
        <w:t xml:space="preserve"> </w:t>
      </w:r>
      <w:proofErr w:type="spellStart"/>
      <w:r w:rsidRPr="00665504">
        <w:t>hand</w:t>
      </w:r>
      <w:proofErr w:type="spellEnd"/>
      <w:r w:rsidRPr="00665504">
        <w:t xml:space="preserve"> of central banking: </w:t>
      </w:r>
      <w:proofErr w:type="spellStart"/>
      <w:r w:rsidRPr="00665504">
        <w:t>collateral</w:t>
      </w:r>
      <w:proofErr w:type="spellEnd"/>
      <w:r w:rsidRPr="00665504">
        <w:t xml:space="preserve"> </w:t>
      </w:r>
      <w:proofErr w:type="spellStart"/>
      <w:r w:rsidRPr="00665504">
        <w:t>framework</w:t>
      </w:r>
      <w:proofErr w:type="spellEnd"/>
      <w:r w:rsidRPr="00665504">
        <w:t>” [Cicha ręka bankowości centralnej:</w:t>
      </w:r>
      <w:r w:rsidR="0085389C">
        <w:t xml:space="preserve"> </w:t>
      </w:r>
      <w:r w:rsidRPr="00665504">
        <w:t>ramy zabezpieczeń] opublikowane przez Dyrekcję Generalną ds. Gospodarki, Transformacji i Przemysłu</w:t>
      </w:r>
      <w:r w:rsidRPr="00665504">
        <w:rPr>
          <w:rStyle w:val="FootnoteReference"/>
        </w:rPr>
        <w:footnoteReference w:customMarkFollows="1" w:id="2"/>
        <w:t>2</w:t>
      </w:r>
      <w:r w:rsidRPr="00665504">
        <w:t>,</w:t>
      </w:r>
    </w:p>
    <w:p w14:paraId="3D9D99C6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art. 55 Regulaminu,</w:t>
      </w:r>
    </w:p>
    <w:p w14:paraId="62211346" w14:textId="77777777" w:rsidR="00CD70B2" w:rsidRPr="00665504" w:rsidRDefault="00CD70B2" w:rsidP="00CD70B2">
      <w:pPr>
        <w:pStyle w:val="NormalHanging"/>
      </w:pPr>
      <w:r w:rsidRPr="00665504">
        <w:t>–</w:t>
      </w:r>
      <w:r w:rsidRPr="00665504">
        <w:tab/>
        <w:t>uwzględniając sprawozdanie Komisji Gospodarczej i Monetarnej (A10-0002/2026),</w:t>
      </w:r>
    </w:p>
    <w:p w14:paraId="29ED562C" w14:textId="77777777" w:rsidR="00CD70B2" w:rsidRPr="00665504" w:rsidRDefault="00CD70B2" w:rsidP="00CD70B2">
      <w:pPr>
        <w:pStyle w:val="NormalHanging"/>
      </w:pPr>
      <w:r w:rsidRPr="00665504">
        <w:t>A.</w:t>
      </w:r>
      <w:r w:rsidRPr="00665504">
        <w:tab/>
        <w:t>mając na uwadze, że według Eurostatu roczna inflacja w UE w październiku 2025 r. wyniosła 2,5%, a inflacja w strefie euro w październiku 2025 r. wyniosła 2,1%, jak zmierzono zharmonizowanym indeksem cen konsumpcyjnych;</w:t>
      </w:r>
    </w:p>
    <w:p w14:paraId="110FA57D" w14:textId="77777777" w:rsidR="00CD70B2" w:rsidRPr="00665504" w:rsidRDefault="00CD70B2" w:rsidP="00CD70B2">
      <w:pPr>
        <w:pStyle w:val="NormalHanging"/>
      </w:pPr>
      <w:r w:rsidRPr="00665504">
        <w:t>B.</w:t>
      </w:r>
      <w:r w:rsidRPr="00665504">
        <w:tab/>
        <w:t>mając na uwadze, że według badania oczekiwań konsumentów przeprowadzonego przez EBC w październiku 2025 r. mediana oczekiwań dotyczących inflacji nadal przekracza 2%;</w:t>
      </w:r>
    </w:p>
    <w:p w14:paraId="204C552C" w14:textId="77777777" w:rsidR="00CD70B2" w:rsidRPr="00665504" w:rsidRDefault="00CD70B2" w:rsidP="00CD70B2">
      <w:pPr>
        <w:pStyle w:val="NormalHanging"/>
      </w:pPr>
      <w:r w:rsidRPr="00665504">
        <w:t>C.</w:t>
      </w:r>
      <w:r w:rsidRPr="00665504">
        <w:tab/>
        <w:t>mając na uwadze, że cel inflacyjny EBC z czasem przesunął się z wartości referencyjnej „poniżej 2%” na cel „poniżej, ale blisko 2%”, a następnie na cel symetryczny wynoszący „2%” w perspektywie średnioterminowej;</w:t>
      </w:r>
    </w:p>
    <w:p w14:paraId="2B6C4BA2" w14:textId="77777777" w:rsidR="00CD70B2" w:rsidRPr="00665504" w:rsidRDefault="00CD70B2" w:rsidP="00CD70B2">
      <w:pPr>
        <w:pStyle w:val="NormalHanging"/>
      </w:pPr>
      <w:r w:rsidRPr="00665504">
        <w:t>D.</w:t>
      </w:r>
      <w:r w:rsidRPr="00665504">
        <w:tab/>
        <w:t>mając na uwadze, że kredyt lombardowy i stopa depozytu w banku centralnym tworzą wąski przedział wokół stopy procentowej podstawowych operacji refinansujących;</w:t>
      </w:r>
    </w:p>
    <w:p w14:paraId="749E46BD" w14:textId="77777777" w:rsidR="00CD70B2" w:rsidRPr="00665504" w:rsidRDefault="00CD70B2" w:rsidP="00CD70B2">
      <w:pPr>
        <w:pStyle w:val="NormalHanging"/>
      </w:pPr>
      <w:r w:rsidRPr="00665504">
        <w:t>E.</w:t>
      </w:r>
      <w:r w:rsidRPr="00665504">
        <w:tab/>
        <w:t>mając na uwadze, że granice EBC w zakresie skupu długu publicznego stale się rozszerzają, począwszy od programu dotyczącego rynków papierów wartościowych po bezwarunkowe transakcje monetarne, a także program zakupu aktywów sektora publicznego, nadzwyczajny program zakupów w czasie pandemii (PEPP) i instrument ochrony transmisji</w:t>
      </w:r>
      <w:r w:rsidRPr="00665504">
        <w:rPr>
          <w:rStyle w:val="FootnoteReference"/>
        </w:rPr>
        <w:footnoteReference w:customMarkFollows="1" w:id="3"/>
        <w:t>3</w:t>
      </w:r>
      <w:r w:rsidRPr="00665504">
        <w:t>;</w:t>
      </w:r>
    </w:p>
    <w:p w14:paraId="770CA609" w14:textId="77777777" w:rsidR="00CD70B2" w:rsidRPr="00665504" w:rsidRDefault="00CD70B2" w:rsidP="00CD70B2">
      <w:pPr>
        <w:pStyle w:val="NormalHanging"/>
      </w:pPr>
      <w:r w:rsidRPr="00665504">
        <w:t>F.</w:t>
      </w:r>
      <w:r w:rsidRPr="00665504">
        <w:tab/>
        <w:t>mając na uwadze, że reinwestycje w ramach programu zakupu aktywów zostały wstrzymane od lipca 2023 r., a w przypadku PEPP – od grudnia 2024 r., wyznaczając w ten sposób ścieżkę do zmniejszenia wielkości bilansu EBC;</w:t>
      </w:r>
    </w:p>
    <w:p w14:paraId="3B4A9E55" w14:textId="77777777" w:rsidR="00CD70B2" w:rsidRPr="00665504" w:rsidRDefault="00CD70B2" w:rsidP="00CD70B2">
      <w:pPr>
        <w:pStyle w:val="NormalHanging"/>
      </w:pPr>
      <w:r w:rsidRPr="00665504">
        <w:t>G.</w:t>
      </w:r>
      <w:r w:rsidRPr="00665504">
        <w:tab/>
        <w:t>mając na uwadze, że deflacja może być korzystnym skutkiem postępu technologicznego;</w:t>
      </w:r>
    </w:p>
    <w:p w14:paraId="38A8EE7B" w14:textId="77777777" w:rsidR="00CD70B2" w:rsidRPr="00665504" w:rsidRDefault="00CD70B2" w:rsidP="00CD70B2">
      <w:pPr>
        <w:pStyle w:val="NormalHanging"/>
      </w:pPr>
      <w:r w:rsidRPr="00665504">
        <w:lastRenderedPageBreak/>
        <w:t>H.</w:t>
      </w:r>
      <w:r w:rsidRPr="00665504">
        <w:tab/>
        <w:t>mając na uwadze, że w art. 123 TFUE i w art. 21 statutu ESBC i EBC zakazuje się bezpośredniego finansowania rządów ze środków banku centralnego;</w:t>
      </w:r>
    </w:p>
    <w:p w14:paraId="43D1C916" w14:textId="77777777" w:rsidR="00CD70B2" w:rsidRPr="00665504" w:rsidRDefault="00CD70B2" w:rsidP="00CD70B2">
      <w:pPr>
        <w:pStyle w:val="Normal12a"/>
      </w:pPr>
      <w:r w:rsidRPr="00665504">
        <w:rPr>
          <w:b/>
          <w:i/>
        </w:rPr>
        <w:t>Zarządzanie</w:t>
      </w:r>
    </w:p>
    <w:p w14:paraId="621C3A1D" w14:textId="77777777" w:rsidR="00CD70B2" w:rsidRPr="00665504" w:rsidRDefault="00CD70B2" w:rsidP="00CD70B2">
      <w:pPr>
        <w:pStyle w:val="NormalHanging12a"/>
      </w:pPr>
      <w:r w:rsidRPr="00665504">
        <w:t>1.</w:t>
      </w:r>
      <w:r w:rsidRPr="00665504">
        <w:tab/>
        <w:t>przypomina, że art. 127 TFUE stanowi, iż „głównym celem Europejskiego Systemu Banków Centralnych, zwanego dalej »ESBC«, jest utrzymanie stabilności cen. Bez uszczerbku dla celu stabilności cen, ESBC wspiera ogólne polityki gospodarcze w Unii, mając na względzie przyczynianie się do osiągnięcia celów Unii ustanowionych w artykule 3 Traktatu o Unii Europejskiej. ESBC działa w poszanowaniu zasady otwartej gospodarki rynkowej z wolną konkurencją, sprzyjając efektywnej alokacji zasobów oraz zgodnie z zasadami określonymi w artykule 119.”;</w:t>
      </w:r>
    </w:p>
    <w:p w14:paraId="6FEE64AA" w14:textId="77777777" w:rsidR="00CD70B2" w:rsidRPr="00665504" w:rsidRDefault="00CD70B2" w:rsidP="00CD70B2">
      <w:pPr>
        <w:pStyle w:val="NormalHanging12a"/>
      </w:pPr>
      <w:r w:rsidRPr="00665504">
        <w:t>2.</w:t>
      </w:r>
      <w:r w:rsidRPr="00665504">
        <w:tab/>
        <w:t>podkreśla, że ustawowa niezależność EBC ustanowiona w traktatach jest niezbędnym warunkiem wywiązywania się przez niego z jego zadania polegającego na utrzymywaniu stabilności cen;</w:t>
      </w:r>
    </w:p>
    <w:p w14:paraId="2798D0CF" w14:textId="77777777" w:rsidR="00CD70B2" w:rsidRPr="00665504" w:rsidRDefault="00CD70B2" w:rsidP="00CD70B2">
      <w:pPr>
        <w:pStyle w:val="NormalHanging12a"/>
      </w:pPr>
      <w:r w:rsidRPr="00665504">
        <w:t>3.</w:t>
      </w:r>
      <w:r w:rsidRPr="00665504">
        <w:tab/>
        <w:t>podkreśla, że EBC odpowiada przed Parlamentem; podkreśla, że EBC musi podejmować decyzje, aby wykonywać swój mandat bez ingerencji politycznej; zwraca uwagę, że banki centralne powinny być niezależne, ale nie odizolowane;</w:t>
      </w:r>
    </w:p>
    <w:p w14:paraId="2C8F6333" w14:textId="77777777" w:rsidR="00CD70B2" w:rsidRPr="00665504" w:rsidRDefault="00CD70B2" w:rsidP="00CD70B2">
      <w:pPr>
        <w:pStyle w:val="NormalHanging12a"/>
      </w:pPr>
      <w:r w:rsidRPr="00665504">
        <w:t>4.</w:t>
      </w:r>
      <w:r w:rsidRPr="00665504">
        <w:tab/>
        <w:t>zwraca uwagę na znaczenie, jakie dla rozliczalności ma przejrzystość, oraz że niezbędne są solidne ramy instytucjonalne i mechanizmy odpowiedzialności; z zadowoleniem przyjmuje w tym kontekście uzgodnienia w formie wymiany listów między Parlamentem Europejskim a EBC dotyczące ustrukturyzowania praktyk wzajemnych kontaktów w obszarze bankowości centralnej;</w:t>
      </w:r>
    </w:p>
    <w:p w14:paraId="13DD78BE" w14:textId="77777777" w:rsidR="00CD70B2" w:rsidRPr="00665504" w:rsidRDefault="00CD70B2" w:rsidP="00CD70B2">
      <w:pPr>
        <w:pStyle w:val="NormalHanging12a"/>
      </w:pPr>
      <w:r w:rsidRPr="00665504">
        <w:t>5.</w:t>
      </w:r>
      <w:r w:rsidRPr="00665504">
        <w:tab/>
        <w:t>zachęca EBC do podjęcia starań na rzecz wzmocnienia instrumentów zwiększających przejrzystość, takich jak wskaźniki referencyjne, wgląd w założenia oparte na modelach oraz oceny Rady Prezesów dotyczące zmian inflacji;</w:t>
      </w:r>
    </w:p>
    <w:p w14:paraId="326DC300" w14:textId="77777777" w:rsidR="00CD70B2" w:rsidRDefault="00CD70B2" w:rsidP="00CD70B2">
      <w:pPr>
        <w:pStyle w:val="NormalHanging12a"/>
      </w:pPr>
      <w:r w:rsidRPr="00665504">
        <w:t>6.</w:t>
      </w:r>
      <w:r w:rsidRPr="00665504">
        <w:tab/>
        <w:t>z zadowoleniem przyjmuje niezależność polityczną EBC, zapisaną w art. 130 TFUE; podkreśla, że niezależność ta wymaga, aby działania EBC pozostały apolityczne;</w:t>
      </w:r>
    </w:p>
    <w:p w14:paraId="0649C8C2" w14:textId="072DB336" w:rsidR="00B31327" w:rsidRPr="00B31327" w:rsidRDefault="00B31327" w:rsidP="00CD70B2">
      <w:pPr>
        <w:pStyle w:val="NormalHanging12a"/>
        <w:rPr>
          <w:bCs/>
          <w:iCs/>
        </w:rPr>
      </w:pPr>
      <w:r>
        <w:rPr>
          <w:bCs/>
          <w:iCs/>
        </w:rPr>
        <w:t>7</w:t>
      </w:r>
      <w:r w:rsidRPr="00B31327">
        <w:rPr>
          <w:bCs/>
          <w:iCs/>
        </w:rPr>
        <w:t>.</w:t>
      </w:r>
      <w:r w:rsidRPr="00B31327">
        <w:rPr>
          <w:bCs/>
          <w:iCs/>
        </w:rPr>
        <w:tab/>
        <w:t>przyłącza się do oświadczenia solidarności z Rezerwą Federalną Stanów Zjednoczonych wydanego przez EBC i banki centralne na całym świecie, w którym podkreślono znaczenie zachowania niezależności banków centralnych przy pełnym poszanowaniu praworządności i demokratycznej odpowiedzialności;</w:t>
      </w:r>
    </w:p>
    <w:p w14:paraId="37DEB6C2" w14:textId="77777777" w:rsidR="00CD70B2" w:rsidRPr="00665504" w:rsidRDefault="00CD70B2" w:rsidP="00CD70B2">
      <w:pPr>
        <w:pStyle w:val="Normal12a"/>
      </w:pPr>
      <w:r w:rsidRPr="00665504">
        <w:rPr>
          <w:b/>
          <w:i/>
        </w:rPr>
        <w:t>Polityka monetarna</w:t>
      </w:r>
    </w:p>
    <w:p w14:paraId="76160F8F" w14:textId="0F5AFF3E" w:rsidR="00CD70B2" w:rsidRPr="00665504" w:rsidRDefault="00B31327" w:rsidP="00CD70B2">
      <w:pPr>
        <w:pStyle w:val="NormalHanging12a"/>
      </w:pPr>
      <w:r>
        <w:t>8</w:t>
      </w:r>
      <w:r w:rsidR="00CD70B2" w:rsidRPr="00665504">
        <w:t>.</w:t>
      </w:r>
      <w:r w:rsidR="00CD70B2" w:rsidRPr="00665504">
        <w:tab/>
        <w:t>podkreśla główny cel EBC, jakim jest utrzymanie stabilności cen, co jest jednym z niezbędnych warunków wzrostu gospodarczego, konkurencyjności i stabilności gospodarczej w Unii;</w:t>
      </w:r>
    </w:p>
    <w:p w14:paraId="475FCE0B" w14:textId="30FE9C48" w:rsidR="00CD70B2" w:rsidRPr="00665504" w:rsidRDefault="00B31327" w:rsidP="00CD70B2">
      <w:pPr>
        <w:pStyle w:val="NormalHanging12a"/>
      </w:pPr>
      <w:r>
        <w:t>9</w:t>
      </w:r>
      <w:r w:rsidR="00CD70B2" w:rsidRPr="00665504">
        <w:t>.</w:t>
      </w:r>
      <w:r w:rsidR="00CD70B2" w:rsidRPr="00665504">
        <w:tab/>
        <w:t>wyraża zaniepokojenie wysokim poziomem inflacji w latach po pandemii COVID-19, spowodowanym szokami podażowymi; zauważa, że decyzje EBC mogły zapewnić szybki powrót do stabilności cen w tym okresie; zwraca się do EBC o dogłębną ocenę przyczyn tego wysokiego poziomu inflacji w swoim raporcie rocznym, wraz z zestawem zaleceń dotyczących polityki, aby wyciągnąć właściwe wnioski z ewentualnych przyszłych kryzysów inflacyjnych;</w:t>
      </w:r>
    </w:p>
    <w:p w14:paraId="417067D1" w14:textId="32BE36D2" w:rsidR="00CD70B2" w:rsidRDefault="00B31327" w:rsidP="00CD70B2">
      <w:pPr>
        <w:pStyle w:val="NormalHanging12a"/>
      </w:pPr>
      <w:r>
        <w:lastRenderedPageBreak/>
        <w:t>10</w:t>
      </w:r>
      <w:r w:rsidR="00CD70B2" w:rsidRPr="00665504">
        <w:t>.</w:t>
      </w:r>
      <w:r w:rsidR="00CD70B2" w:rsidRPr="00665504">
        <w:tab/>
        <w:t>z zadowoleniem przyjmuje spadek inflacji w porównaniu ze stopami z lat 2022–2023, a także niedawną stabilizację inflacji; zauważa, że EBC obniżył stopę depozytową o 200 punktów bazowych w okresie od czerwca 2024 r. do czerwca 2025 r.; dostrzega utrzymujące się ryzyko ponownego wzrostu inflacji; podkreśla, że wszelkie dalsze kroki w kierunku łagodzenia polityki pieniężnej powinny być ostrożne, wynikać z danych i być podporządkowane stabilności cen;</w:t>
      </w:r>
    </w:p>
    <w:p w14:paraId="543DAE08" w14:textId="7FE2873D" w:rsidR="00B31327" w:rsidRPr="00665504" w:rsidRDefault="00B31327" w:rsidP="00CD70B2">
      <w:pPr>
        <w:pStyle w:val="NormalHanging12a"/>
      </w:pPr>
      <w:r>
        <w:t>11</w:t>
      </w:r>
      <w:r w:rsidRPr="00B31327">
        <w:t>.</w:t>
      </w:r>
      <w:r w:rsidRPr="00B31327">
        <w:tab/>
        <w:t>wyraża zaniepokojenie wysokimi kosztami utrzymania, ponieważ ceny żywności i energii w Europie wzrosły od czasu pandemii COVID-19; zauważa, że średnia cena posiłku w strefie euro w 2025 r. była o jedną trzecią wyższa niż przed pandemią</w:t>
      </w:r>
      <w:r>
        <w:rPr>
          <w:rStyle w:val="FootnoteReference"/>
        </w:rPr>
        <w:footnoteReference w:id="4"/>
      </w:r>
      <w:r w:rsidRPr="00B31327">
        <w:t>, co dotknęło w szczególności gospodarstwa domowe o niskich dochodach</w:t>
      </w:r>
      <w:r>
        <w:t>;</w:t>
      </w:r>
    </w:p>
    <w:p w14:paraId="104BA561" w14:textId="04F2B26C" w:rsidR="00CD70B2" w:rsidRPr="00665504" w:rsidRDefault="00B31327" w:rsidP="00CD70B2">
      <w:pPr>
        <w:pStyle w:val="NormalHanging12a"/>
      </w:pPr>
      <w:r>
        <w:t>12</w:t>
      </w:r>
      <w:r w:rsidR="00CD70B2" w:rsidRPr="00665504">
        <w:t>.</w:t>
      </w:r>
      <w:r w:rsidR="00CD70B2" w:rsidRPr="00665504">
        <w:tab/>
        <w:t>podkreśla w szczególności potencjalnie zakłócający wpływ, jaki niepewność geopolityczna, ryzyko związane z bezpieczeństwem energetycznym i zakłócenia w handlu mogą mieć na zmiany cen;</w:t>
      </w:r>
    </w:p>
    <w:p w14:paraId="411435A8" w14:textId="6DB3971F" w:rsidR="00CD70B2" w:rsidRPr="00665504" w:rsidRDefault="00B31327" w:rsidP="00CD70B2">
      <w:pPr>
        <w:pStyle w:val="NormalHanging12a"/>
      </w:pPr>
      <w:r>
        <w:t>13</w:t>
      </w:r>
      <w:r w:rsidR="00CD70B2" w:rsidRPr="00665504">
        <w:t>.</w:t>
      </w:r>
      <w:r w:rsidR="00CD70B2" w:rsidRPr="00665504">
        <w:tab/>
        <w:t>zwraca się do EBC o ocenę adekwatności jego symetrycznego celu, biorąc pod uwagę również czynniki jakościowe; przyjmuje do wiadomości ocenę strategii polityki pieniężnej na rok 2025 i zachęca EBC do okresowego przeprowadzania takich ocen;</w:t>
      </w:r>
    </w:p>
    <w:p w14:paraId="3F5B4972" w14:textId="1DB981D1" w:rsidR="00CD70B2" w:rsidRPr="00665504" w:rsidRDefault="00B31327" w:rsidP="00CD70B2">
      <w:pPr>
        <w:pStyle w:val="NormalHanging12a"/>
      </w:pPr>
      <w:r>
        <w:t>14</w:t>
      </w:r>
      <w:r w:rsidR="00CD70B2" w:rsidRPr="00665504">
        <w:t>.</w:t>
      </w:r>
      <w:r w:rsidR="00CD70B2" w:rsidRPr="00665504">
        <w:tab/>
        <w:t>podkreśla, że programy zakupu aktywów prowadzone przez EBC są niekonwencjonalnymi narzędziami polityki pieniężnej, które mają skutki uboczne; zwraca szczególną uwagę na to, że programy zakupu aktywów mogą zakłócać sygnały cenowe; zauważa, że EBC zaczął zmniejszać swój bilans bardzo stopniowo; wspiera EBC w dalszym zmniejszaniu jego bezpośredniej roli w nabywaniu papierów wartościowych; zachęca EBC do stopniowego wycofywania programów zakupu obligacji skarbowych; wyraża ubolewanie z powodu wpływu sytuacji budżetowej na wypełnianie przez EBC jego podstawowego mandatu;</w:t>
      </w:r>
    </w:p>
    <w:p w14:paraId="2C1D64F8" w14:textId="70B5E4A6" w:rsidR="00CD70B2" w:rsidRPr="00665504" w:rsidRDefault="00B31327" w:rsidP="00CD70B2">
      <w:pPr>
        <w:pStyle w:val="NormalHanging12a"/>
      </w:pPr>
      <w:r>
        <w:t>15</w:t>
      </w:r>
      <w:r w:rsidR="00CD70B2" w:rsidRPr="00665504">
        <w:t>.</w:t>
      </w:r>
      <w:r w:rsidR="00CD70B2" w:rsidRPr="00665504">
        <w:tab/>
        <w:t>ubolewa, że krótkoterminowe programy pożyczkowe EBC w dużej mierze wyparły prywatny rynek finansowania międzybankowego od czasu kryzysu finansowego w 2008 r.; wzywa EBC do unikania wypłacania bankom oprocentowania depozytów powyżej stóp rynkowych, ponieważ jest to sprzeczne z zasadą otwartej gospodarki rynkowej opartej na wolnej konkurencji, oraz do usunięcia wszelkich przeszkód utrudniających ożywienie krótkoterminowych niezabezpieczonych rynków międzybankowych;</w:t>
      </w:r>
    </w:p>
    <w:p w14:paraId="7EB74DAA" w14:textId="0D119737" w:rsidR="00CD70B2" w:rsidRPr="00665504" w:rsidRDefault="00B31327" w:rsidP="00CD70B2">
      <w:pPr>
        <w:pStyle w:val="NormalHanging12a"/>
      </w:pPr>
      <w:r>
        <w:t>16</w:t>
      </w:r>
      <w:r w:rsidR="00CD70B2" w:rsidRPr="00665504">
        <w:t>.</w:t>
      </w:r>
      <w:r w:rsidR="00CD70B2" w:rsidRPr="00665504">
        <w:tab/>
        <w:t>podkreśla znaczenie zapewnienia wysokich standardów jakościowych w odniesieniu do zabezpieczeń w uzgodnieniach kredytowych z EBC; uznaje, że standardy dotyczące zabezpieczeń mogą być wykorzystywane jako narzędzie transmisji polityki pieniężnej;</w:t>
      </w:r>
    </w:p>
    <w:p w14:paraId="592B6F36" w14:textId="76E2C376" w:rsidR="00CD70B2" w:rsidRPr="00665504" w:rsidRDefault="00B31327" w:rsidP="00CD70B2">
      <w:pPr>
        <w:pStyle w:val="NormalHanging12a"/>
      </w:pPr>
      <w:r>
        <w:t>17</w:t>
      </w:r>
      <w:r w:rsidR="00CD70B2" w:rsidRPr="00665504">
        <w:t>.</w:t>
      </w:r>
      <w:r w:rsidR="00CD70B2" w:rsidRPr="00665504">
        <w:tab/>
        <w:t>popiera starania EBC o włączenie nieruchomości mieszkalnych zamieszkiwanych przez właściciela do monitorowania indeksów cen, jakie prowadzi bank, ze względu na reprezentatywność i porównywalność między krajami strefy euro, pod warunkiem zastosowania ujednoliconego i metodologicznie solidnego podejścia;</w:t>
      </w:r>
    </w:p>
    <w:p w14:paraId="72565F94" w14:textId="77777777" w:rsidR="00CD70B2" w:rsidRPr="00665504" w:rsidRDefault="00CD70B2" w:rsidP="00CD70B2">
      <w:pPr>
        <w:pStyle w:val="Normal12a"/>
      </w:pPr>
      <w:r w:rsidRPr="00665504">
        <w:rPr>
          <w:i/>
        </w:rPr>
        <w:t>Drugorzędny cel pomocy:</w:t>
      </w:r>
      <w:r w:rsidRPr="00665504">
        <w:rPr>
          <w:b/>
          <w:i/>
        </w:rPr>
        <w:t xml:space="preserve"> wspieranie ogólnej polityki gospodarczej w Unii</w:t>
      </w:r>
    </w:p>
    <w:p w14:paraId="769D9F5B" w14:textId="747185B1" w:rsidR="00CD70B2" w:rsidRPr="00665504" w:rsidRDefault="00B31327" w:rsidP="00CD70B2">
      <w:pPr>
        <w:pStyle w:val="NormalHanging12a"/>
      </w:pPr>
      <w:r>
        <w:lastRenderedPageBreak/>
        <w:t>18</w:t>
      </w:r>
      <w:r w:rsidR="00CD70B2" w:rsidRPr="00665504">
        <w:t>.</w:t>
      </w:r>
      <w:r w:rsidR="00CD70B2" w:rsidRPr="00665504">
        <w:tab/>
        <w:t>zauważa, że zgodnie z art. 127 ust. 1 TFUE, EBC musi wspierać ogólną politykę gospodarczą Unii, aby przyczyniać się do osiągnięcia celów Unii ustanowionych w art. 3 TUE, o ile nie ma to wpływu na jego zobowiązanie do utrzymania stabilności cen;</w:t>
      </w:r>
    </w:p>
    <w:p w14:paraId="17F76A29" w14:textId="4222D302" w:rsidR="00CD70B2" w:rsidRPr="00665504" w:rsidRDefault="00B31327" w:rsidP="00CD70B2">
      <w:pPr>
        <w:pStyle w:val="NormalHanging12a"/>
      </w:pPr>
      <w:r>
        <w:t>19</w:t>
      </w:r>
      <w:r w:rsidR="00CD70B2" w:rsidRPr="00665504">
        <w:t>.</w:t>
      </w:r>
      <w:r w:rsidR="00CD70B2" w:rsidRPr="00665504">
        <w:tab/>
        <w:t>przypomina, że Eurosystem został zbudowany na zasadzie dominacji walutowej;</w:t>
      </w:r>
    </w:p>
    <w:p w14:paraId="09B0635E" w14:textId="4D05C95E" w:rsidR="00CD70B2" w:rsidRPr="00665504" w:rsidRDefault="00B31327" w:rsidP="00CD70B2">
      <w:pPr>
        <w:pStyle w:val="NormalHanging12a"/>
      </w:pPr>
      <w:r>
        <w:t>20</w:t>
      </w:r>
      <w:r w:rsidR="00CD70B2" w:rsidRPr="00665504">
        <w:t>.</w:t>
      </w:r>
      <w:r w:rsidR="00CD70B2" w:rsidRPr="00665504">
        <w:tab/>
        <w:t>podkreśla – w kontekście unii gospodarczej i walutowej oraz unijnych ram zarządzania gospodarczego – znaczenie zdrowych i zrównoważonych finansów publicznych dla przeciwdziałania środowisku wysokich stóp procentowych, uzupełniania wysiłków EBC na rzecz utrzymania niskiej inflacji, utrzymania stabilnej gospodarki oraz zachowania odporności na przyszłe wstrząsy gospodarcze i finansowe;</w:t>
      </w:r>
    </w:p>
    <w:p w14:paraId="4EE0B0AA" w14:textId="720B0C96" w:rsidR="00CD70B2" w:rsidRPr="00665504" w:rsidRDefault="00B31327" w:rsidP="00CD70B2">
      <w:pPr>
        <w:pStyle w:val="NormalHanging12a"/>
      </w:pPr>
      <w:r>
        <w:t>21</w:t>
      </w:r>
      <w:r w:rsidR="00CD70B2" w:rsidRPr="00665504">
        <w:t>.</w:t>
      </w:r>
      <w:r w:rsidR="00CD70B2" w:rsidRPr="00665504">
        <w:tab/>
        <w:t>zauważa rozbieżne salda w systemie TARGET2, wynikające z transakcji transgranicznych; zwraca uwagę na potencjalne ryzyko związane z tym, że salda w systemie TARGET2 mogłyby stać się strukturalne, i sugeruje, że należy rozważyć dostosowania niebędące częścią polityki pieniężnej;</w:t>
      </w:r>
    </w:p>
    <w:p w14:paraId="1CE64759" w14:textId="2CEED6D9" w:rsidR="00CD70B2" w:rsidRPr="00665504" w:rsidRDefault="00B31327" w:rsidP="00CD70B2">
      <w:pPr>
        <w:pStyle w:val="NormalHanging12a"/>
      </w:pPr>
      <w:r>
        <w:t>22</w:t>
      </w:r>
      <w:r w:rsidR="00CD70B2" w:rsidRPr="00665504">
        <w:t>.</w:t>
      </w:r>
      <w:r w:rsidR="00CD70B2" w:rsidRPr="00665504">
        <w:tab/>
        <w:t>podkreśla, że EBC powinien uwzględniać</w:t>
      </w:r>
      <w:r>
        <w:t xml:space="preserve"> </w:t>
      </w:r>
      <w:proofErr w:type="gramStart"/>
      <w:r w:rsidRPr="00B31327">
        <w:t xml:space="preserve">wyłącznie </w:t>
      </w:r>
      <w:r w:rsidR="00CD70B2" w:rsidRPr="00665504">
        <w:t xml:space="preserve"> potencjalne</w:t>
      </w:r>
      <w:proofErr w:type="gramEnd"/>
      <w:r w:rsidR="00CD70B2" w:rsidRPr="00665504">
        <w:t xml:space="preserve"> skutki zmiany klimatu z perspektywy stabilności cen oraz w ramach swojego mandatu;</w:t>
      </w:r>
    </w:p>
    <w:p w14:paraId="494BCFCA" w14:textId="773A3C48" w:rsidR="00CD70B2" w:rsidRPr="00665504" w:rsidRDefault="00B31327" w:rsidP="00CD70B2">
      <w:pPr>
        <w:pStyle w:val="NormalHanging12a"/>
      </w:pPr>
      <w:r>
        <w:t>23</w:t>
      </w:r>
      <w:r w:rsidR="00CD70B2" w:rsidRPr="00665504">
        <w:t>.</w:t>
      </w:r>
      <w:r w:rsidR="00CD70B2" w:rsidRPr="00665504">
        <w:tab/>
        <w:t>zauważa, że z zasadą „otwartej gospodarki rynkowej z wolną konkurencją” wiąże się idea neutralności rynkowej; zwraca się do EBC, z poszanowaniem jego niezależności, by zajął się nieprawidłowościami w funkcjonowaniu rynku i zapewnił efektywną alokację zasobów w perspektywie długoterminowej, zachowując przy tym jak najbardziej apolityczny charakter i przestrzegając neutralności rynkowej; podkreśla, że takie decyzje nie mogą być podejmowane kosztem realizacji mandatu EBC;</w:t>
      </w:r>
    </w:p>
    <w:p w14:paraId="7C6F4388" w14:textId="10278760" w:rsidR="00CD70B2" w:rsidRPr="00665504" w:rsidRDefault="00B31327" w:rsidP="00CD70B2">
      <w:pPr>
        <w:pStyle w:val="NormalHanging12a"/>
      </w:pPr>
      <w:r>
        <w:t>24</w:t>
      </w:r>
      <w:r w:rsidR="00CD70B2" w:rsidRPr="00665504">
        <w:t>.</w:t>
      </w:r>
      <w:r w:rsidR="00CD70B2" w:rsidRPr="00665504">
        <w:tab/>
        <w:t>zauważa, że polityka monetarna EBC, która jest jego głównym mandatem, podlega ocenie proporcjonalności;</w:t>
      </w:r>
    </w:p>
    <w:p w14:paraId="537EBFBA" w14:textId="77777777" w:rsidR="00CD70B2" w:rsidRPr="00665504" w:rsidRDefault="00CD70B2" w:rsidP="00CD70B2">
      <w:pPr>
        <w:pStyle w:val="Normal12a"/>
      </w:pPr>
      <w:r w:rsidRPr="00665504">
        <w:rPr>
          <w:b/>
          <w:i/>
        </w:rPr>
        <w:t>Inne aspekty</w:t>
      </w:r>
    </w:p>
    <w:p w14:paraId="7EC038DA" w14:textId="02755E60" w:rsidR="00B31327" w:rsidRDefault="00B31327" w:rsidP="00CD70B2">
      <w:pPr>
        <w:pStyle w:val="NormalHanging12a"/>
      </w:pPr>
      <w:r>
        <w:t>25</w:t>
      </w:r>
      <w:r w:rsidRPr="00B31327">
        <w:t>.</w:t>
      </w:r>
      <w:r w:rsidRPr="00B31327">
        <w:tab/>
        <w:t>przypomina, że równy dostęp do usług płatniczych ma zasadnicze znaczenie dla uczestnictwa w życiu gospodarczym; podkreśla, że postępująca cyfryzacja płatności, o ile będzie pozostawiona wyłącznie podmiotom prywatnym i spoza UE, stwarza ryzyko powstania nowych form wykluczenia zarówno użytkowników, jak i akceptantów; podkreśla, że cyfrowe euro w trybie online i offline powinno przyczyniać się do zapewnienia powszechnego dostępu do płatności i szerokiej aprobaty przez akceptantów w całej UE, przy pełnym poszanowaniu standardów prywatności i ochrony danych;</w:t>
      </w:r>
    </w:p>
    <w:p w14:paraId="408E1E35" w14:textId="128FACD9" w:rsidR="00CD70B2" w:rsidRPr="00665504" w:rsidRDefault="00B31327" w:rsidP="00CD70B2">
      <w:pPr>
        <w:pStyle w:val="NormalHanging12a"/>
      </w:pPr>
      <w:r>
        <w:t>26</w:t>
      </w:r>
      <w:r w:rsidR="00CD70B2" w:rsidRPr="00665504">
        <w:t>.</w:t>
      </w:r>
      <w:r w:rsidR="00CD70B2" w:rsidRPr="00665504">
        <w:tab/>
      </w:r>
      <w:r w:rsidRPr="00B31327">
        <w:t>przyjmuje z zadowoleniem toczące się dyskusje na temat cyfrowego euro; podkreśla, że w kontekście zwiększonej niepewności geopolitycznej i nadmiernej zależności od infrastruktur płatniczych spoza UE wprowadzenie cyfrowego euro, mającego uzupełniać usługi gotówkowe i prywatne usługi bankowe, ma zasadnicze znaczenie dla wzmocnienia suwerenności monetarnej UE, zmniejszenia fragmentacji płatności detalicznych oraz wsparcia integralności i odporności jednolitego rynku;</w:t>
      </w:r>
    </w:p>
    <w:p w14:paraId="2729B6B7" w14:textId="2CE6CCBC" w:rsidR="00CD70B2" w:rsidRPr="00665504" w:rsidRDefault="00B31327" w:rsidP="00CD70B2">
      <w:pPr>
        <w:pStyle w:val="NormalHanging12a"/>
      </w:pPr>
      <w:r>
        <w:t>27</w:t>
      </w:r>
      <w:r w:rsidR="00CD70B2" w:rsidRPr="00665504">
        <w:t>.</w:t>
      </w:r>
      <w:r w:rsidR="00CD70B2" w:rsidRPr="00665504">
        <w:tab/>
        <w:t>z zadowoleniem przyjmuje obecnie rozwijane projekty z zakresu technologii rozproszonego rejestru dotyczące rozrachunku pieniądza banku centralnego w ujęciu hurtowym – krótkoterminowy projekt „</w:t>
      </w:r>
      <w:proofErr w:type="spellStart"/>
      <w:r w:rsidR="00CD70B2" w:rsidRPr="00665504">
        <w:t>Pontes</w:t>
      </w:r>
      <w:proofErr w:type="spellEnd"/>
      <w:r w:rsidR="00CD70B2" w:rsidRPr="00665504">
        <w:t>” oraz długoterminowy projekt „</w:t>
      </w:r>
      <w:proofErr w:type="spellStart"/>
      <w:r w:rsidR="00CD70B2" w:rsidRPr="00665504">
        <w:t>Appia</w:t>
      </w:r>
      <w:proofErr w:type="spellEnd"/>
      <w:r w:rsidR="00CD70B2" w:rsidRPr="00665504">
        <w:t>”;</w:t>
      </w:r>
    </w:p>
    <w:p w14:paraId="06534DB2" w14:textId="2D492236" w:rsidR="00CD70B2" w:rsidRPr="00665504" w:rsidRDefault="00B31327" w:rsidP="00CD70B2">
      <w:pPr>
        <w:pStyle w:val="NormalHanging12a"/>
      </w:pPr>
      <w:r>
        <w:lastRenderedPageBreak/>
        <w:t>28</w:t>
      </w:r>
      <w:r w:rsidR="00CD70B2" w:rsidRPr="00665504">
        <w:t>.</w:t>
      </w:r>
      <w:r w:rsidR="00CD70B2" w:rsidRPr="00665504">
        <w:tab/>
        <w:t>podkreśla znaczenie utrzymania roli gotówki; przyjmuje do wiadomości toczące się dyskusje dotyczące wniosku w sprawie prawnego środka płatniczego;</w:t>
      </w:r>
    </w:p>
    <w:p w14:paraId="44D85684" w14:textId="69B24A41" w:rsidR="00CD70B2" w:rsidRPr="00665504" w:rsidRDefault="00B31327" w:rsidP="00CD70B2">
      <w:pPr>
        <w:pStyle w:val="NormalHanging12a"/>
      </w:pPr>
      <w:r>
        <w:t>29</w:t>
      </w:r>
      <w:r w:rsidR="00CD70B2" w:rsidRPr="00665504">
        <w:t>.</w:t>
      </w:r>
      <w:r w:rsidR="00CD70B2" w:rsidRPr="00665504">
        <w:tab/>
        <w:t xml:space="preserve">wzywa EBC do zintensyfikowania monitorowania </w:t>
      </w:r>
      <w:proofErr w:type="spellStart"/>
      <w:r w:rsidR="00CD70B2" w:rsidRPr="00665504">
        <w:t>kryptoaktywów</w:t>
      </w:r>
      <w:proofErr w:type="spellEnd"/>
      <w:r w:rsidR="00CD70B2" w:rsidRPr="00665504">
        <w:t xml:space="preserve">, takich jak stabilne </w:t>
      </w:r>
      <w:proofErr w:type="spellStart"/>
      <w:r w:rsidR="00CD70B2" w:rsidRPr="00665504">
        <w:t>kryptowaluty</w:t>
      </w:r>
      <w:proofErr w:type="spellEnd"/>
      <w:r w:rsidR="00CD70B2" w:rsidRPr="00665504">
        <w:t>;</w:t>
      </w:r>
    </w:p>
    <w:p w14:paraId="3A7BF047" w14:textId="77D79B3E" w:rsidR="00CD70B2" w:rsidRPr="00665504" w:rsidRDefault="00B31327" w:rsidP="00CD70B2">
      <w:pPr>
        <w:pStyle w:val="NormalHanging12a"/>
      </w:pPr>
      <w:r>
        <w:t>30</w:t>
      </w:r>
      <w:r w:rsidR="00CD70B2" w:rsidRPr="00665504">
        <w:t>.</w:t>
      </w:r>
      <w:r w:rsidR="00CD70B2" w:rsidRPr="00665504">
        <w:tab/>
        <w:t xml:space="preserve">popiera EBC w jego wysiłkach na rzecz wspierania międzynarodowej roli euro m.in. poprzez wystarczające linie </w:t>
      </w:r>
      <w:proofErr w:type="spellStart"/>
      <w:r w:rsidR="00CD70B2" w:rsidRPr="00665504">
        <w:t>swapów</w:t>
      </w:r>
      <w:proofErr w:type="spellEnd"/>
      <w:r w:rsidR="00CD70B2" w:rsidRPr="00665504">
        <w:t xml:space="preserve"> walutowych i operacji </w:t>
      </w:r>
      <w:proofErr w:type="spellStart"/>
      <w:r w:rsidR="00CD70B2" w:rsidRPr="00665504">
        <w:t>repo</w:t>
      </w:r>
      <w:proofErr w:type="spellEnd"/>
      <w:r w:rsidR="00CD70B2" w:rsidRPr="00665504">
        <w:t>;</w:t>
      </w:r>
    </w:p>
    <w:p w14:paraId="3FBDA3F7" w14:textId="256B8E7D" w:rsidR="00CD70B2" w:rsidRPr="00665504" w:rsidRDefault="00B31327" w:rsidP="00CD70B2">
      <w:pPr>
        <w:pStyle w:val="NormalHanging12a"/>
      </w:pPr>
      <w:r>
        <w:t>31</w:t>
      </w:r>
      <w:r w:rsidR="00CD70B2" w:rsidRPr="00665504">
        <w:t>.</w:t>
      </w:r>
      <w:r w:rsidR="00CD70B2" w:rsidRPr="00665504">
        <w:tab/>
        <w:t>z zadowoleniem wita Republikę Bułgarii jako 21. członka strefy euro, od dnia 1 stycznia 2026 r.;</w:t>
      </w:r>
    </w:p>
    <w:p w14:paraId="69482234" w14:textId="2A4619B8" w:rsidR="00CD70B2" w:rsidRPr="00665504" w:rsidRDefault="00B31327" w:rsidP="00CD70B2">
      <w:pPr>
        <w:pStyle w:val="NormalHanging12a"/>
      </w:pPr>
      <w:r>
        <w:t>32</w:t>
      </w:r>
      <w:r w:rsidR="00CD70B2" w:rsidRPr="00665504">
        <w:t>.</w:t>
      </w:r>
      <w:r w:rsidR="00CD70B2" w:rsidRPr="00665504">
        <w:tab/>
        <w:t>wyraża zaniepokojenie czasową awarią systemu rozrachunków brutto w czasie rzeczywistym EBC – T2 i T2S – jaka miała miejsce w lutym 2025 r.; zachęca EBC do ścisłego monitorowania i zapewnienia właściwego funkcjonowania systemów rozrachunków;</w:t>
      </w:r>
    </w:p>
    <w:p w14:paraId="0F551F2D" w14:textId="5E55662F" w:rsidR="00CD70B2" w:rsidRPr="00665504" w:rsidRDefault="00B31327" w:rsidP="00CD70B2">
      <w:pPr>
        <w:pStyle w:val="NormalHanging12a"/>
      </w:pPr>
      <w:r>
        <w:t>33</w:t>
      </w:r>
      <w:r w:rsidR="00CD70B2" w:rsidRPr="00665504">
        <w:t>.</w:t>
      </w:r>
      <w:r w:rsidR="00CD70B2" w:rsidRPr="00665504">
        <w:tab/>
        <w:t>wyraża zaniepokojenie kolejnymi stratami poniesionymi przez EBC w 2023 i 2024 r. z powodu ryzyka stopy procentowej; zauważa, że straty te nie naruszyły zdolności operacyjnej Eurosystemu do prowadzenia polityki pieniężnej;</w:t>
      </w:r>
    </w:p>
    <w:p w14:paraId="4F99C59B" w14:textId="0D3DF7B6" w:rsidR="00CD70B2" w:rsidRPr="00665504" w:rsidRDefault="00B31327" w:rsidP="00CD70B2">
      <w:pPr>
        <w:pStyle w:val="NormalHanging12a"/>
      </w:pPr>
      <w:r>
        <w:t>34</w:t>
      </w:r>
      <w:r w:rsidR="00CD70B2" w:rsidRPr="00665504">
        <w:t>.</w:t>
      </w:r>
      <w:r w:rsidR="00CD70B2" w:rsidRPr="00665504">
        <w:tab/>
        <w:t>popiera rolę EBC w promowaniu stabilności finansowej w ramach jednolitego mechanizmu nadzorczego oraz funkcję EBC jako pożyczkodawcy ostatniej instancji dla wypłacalnych instytucji, w oparciu o dobre zabezpieczenie i przy zastosowaniu karnych stóp procentowych, w celu ochrony płynności i zaufania w czasie kryzysów;</w:t>
      </w:r>
    </w:p>
    <w:p w14:paraId="593EB75B" w14:textId="1D54C468" w:rsidR="00CD70B2" w:rsidRPr="00665504" w:rsidRDefault="00B31327" w:rsidP="00CD70B2">
      <w:pPr>
        <w:pStyle w:val="NormalHanging12a"/>
      </w:pPr>
      <w:r>
        <w:t>35</w:t>
      </w:r>
      <w:r w:rsidR="00CD70B2" w:rsidRPr="00665504">
        <w:t>.</w:t>
      </w:r>
      <w:r w:rsidR="00CD70B2" w:rsidRPr="00665504">
        <w:tab/>
        <w:t>wspiera EBC w jego wysiłkach na rzecz upowszechniania wiedzy finansowej w UE;</w:t>
      </w:r>
    </w:p>
    <w:p w14:paraId="560CF50D" w14:textId="57FF819A" w:rsidR="00CD70B2" w:rsidRPr="00665504" w:rsidRDefault="00B31327" w:rsidP="00CD70B2">
      <w:pPr>
        <w:pStyle w:val="NormalHanging12a"/>
      </w:pPr>
      <w:r>
        <w:t>36</w:t>
      </w:r>
      <w:r w:rsidR="00CD70B2" w:rsidRPr="00665504">
        <w:t>.</w:t>
      </w:r>
      <w:r w:rsidR="00CD70B2" w:rsidRPr="00665504">
        <w:tab/>
        <w:t>z zadowoleniem przyjmuje zaangażowanie EBC w działania na rzecz uproszczenia, takie jak utworzenie grupy zadaniowej wysokiego szczebla EBC ds. uproszczenia; zwraca uwagę na potrzebę wysokiego poziomu ambicji w pracach i działaniach następczych tej grupy zadaniowej oraz z zadowoleniem przyjmuje pogłębione dyskusje EBC z Parlamentem;</w:t>
      </w:r>
    </w:p>
    <w:p w14:paraId="4A21C924" w14:textId="001BD727" w:rsidR="00CD70B2" w:rsidRPr="00665504" w:rsidRDefault="00B31327" w:rsidP="00CD70B2">
      <w:pPr>
        <w:pStyle w:val="NormalHanging12a"/>
      </w:pPr>
      <w:r>
        <w:t>37</w:t>
      </w:r>
      <w:r w:rsidR="00CD70B2" w:rsidRPr="00665504">
        <w:t>.</w:t>
      </w:r>
      <w:r w:rsidR="00CD70B2" w:rsidRPr="00665504">
        <w:tab/>
        <w:t>wzywa EBC do wspierania otwartego i konstruktywnego dialogu wewnątrz tej organizacji; wzywa do dalszego wzmocnienia ram reprezentacji pracowników i wewnętrznych ram EBC dotyczących informowania o nieprawidłowościach;</w:t>
      </w:r>
    </w:p>
    <w:p w14:paraId="0D2E469E" w14:textId="47199D5A" w:rsidR="00CD70B2" w:rsidRPr="00665504" w:rsidRDefault="00B31327" w:rsidP="00CD70B2">
      <w:pPr>
        <w:pStyle w:val="NormalHanging12a"/>
      </w:pPr>
      <w:r>
        <w:t>38</w:t>
      </w:r>
      <w:r w:rsidR="00CD70B2" w:rsidRPr="00665504">
        <w:t>.</w:t>
      </w:r>
      <w:r w:rsidR="00CD70B2" w:rsidRPr="00665504">
        <w:tab/>
        <w:t>ponownie podkreśla, że nominacje do Zarządu EBC powinny być proporcjonalne pod względem płci, oparte na zasługach i umiejętnościach, listy kandydatów powinny być przedkładane Parlamentowi, a osoby każdej płci powinny mieć równe szanse pełnienia funkcji prezesów swoich krajowych banków centralnych;</w:t>
      </w:r>
    </w:p>
    <w:p w14:paraId="4357DB63" w14:textId="3CB669A7" w:rsidR="00CD70B2" w:rsidRPr="00665504" w:rsidRDefault="00B31327" w:rsidP="00CD70B2">
      <w:pPr>
        <w:pStyle w:val="NormalHanging12a"/>
      </w:pPr>
      <w:r>
        <w:t>39</w:t>
      </w:r>
      <w:r w:rsidR="00CD70B2" w:rsidRPr="00665504">
        <w:t>.</w:t>
      </w:r>
      <w:r w:rsidR="00CD70B2" w:rsidRPr="00665504">
        <w:tab/>
        <w:t>zachęca ESBC do kontynuowania i wzmacniania dialogu z parlamentami narodowymi, co zdaniem Parlamentu poprawi legitymację i politykę ESBC;</w:t>
      </w:r>
    </w:p>
    <w:p w14:paraId="1C884374" w14:textId="77777777" w:rsidR="00CD70B2" w:rsidRPr="00665504" w:rsidRDefault="00CD70B2" w:rsidP="00CD70B2">
      <w:pPr>
        <w:pStyle w:val="NormalCenter12a"/>
      </w:pPr>
      <w:r w:rsidRPr="00665504">
        <w:t>°</w:t>
      </w:r>
    </w:p>
    <w:p w14:paraId="32906E7E" w14:textId="77777777" w:rsidR="00CD70B2" w:rsidRPr="00665504" w:rsidRDefault="00CD70B2" w:rsidP="00CD70B2">
      <w:pPr>
        <w:pStyle w:val="NormalCenter12a"/>
      </w:pPr>
      <w:r w:rsidRPr="00665504">
        <w:t>°</w:t>
      </w:r>
      <w:r w:rsidRPr="00665504">
        <w:tab/>
        <w:t>°</w:t>
      </w:r>
    </w:p>
    <w:p w14:paraId="69EB97D6" w14:textId="3CFFF95E" w:rsidR="00665504" w:rsidRPr="00665504" w:rsidRDefault="00B31327" w:rsidP="00665504">
      <w:pPr>
        <w:pStyle w:val="NormalHanging12a"/>
      </w:pPr>
      <w:r>
        <w:t>40</w:t>
      </w:r>
      <w:r w:rsidR="00CD70B2" w:rsidRPr="00665504">
        <w:t>.</w:t>
      </w:r>
      <w:r w:rsidR="00CD70B2" w:rsidRPr="00665504">
        <w:tab/>
        <w:t>zobowiązuje swoją przewodniczącą do przekazania niniejszej rezolucji Radzie i Komisji.</w:t>
      </w:r>
    </w:p>
    <w:sectPr w:rsidR="00665504" w:rsidRPr="00665504" w:rsidSect="006655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241E4" w14:textId="77777777" w:rsidR="006C6461" w:rsidRPr="00665504" w:rsidRDefault="006C6461">
      <w:r w:rsidRPr="00665504">
        <w:separator/>
      </w:r>
    </w:p>
  </w:endnote>
  <w:endnote w:type="continuationSeparator" w:id="0">
    <w:p w14:paraId="363629C4" w14:textId="77777777" w:rsidR="006C6461" w:rsidRPr="00665504" w:rsidRDefault="006C6461">
      <w:r w:rsidRPr="00665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33080" w14:textId="77777777" w:rsidR="00064002" w:rsidRPr="006655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D9462" w14:textId="77777777" w:rsidR="00064002" w:rsidRPr="006655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AF9E8" w14:textId="77777777" w:rsidR="00064002" w:rsidRPr="006655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86CDA" w14:textId="77777777" w:rsidR="006C6461" w:rsidRPr="00665504" w:rsidRDefault="006C6461">
      <w:r w:rsidRPr="00665504">
        <w:separator/>
      </w:r>
    </w:p>
  </w:footnote>
  <w:footnote w:type="continuationSeparator" w:id="0">
    <w:p w14:paraId="03324615" w14:textId="77777777" w:rsidR="006C6461" w:rsidRPr="00665504" w:rsidRDefault="006C6461">
      <w:r w:rsidRPr="00665504">
        <w:continuationSeparator/>
      </w:r>
    </w:p>
  </w:footnote>
  <w:footnote w:id="1">
    <w:p w14:paraId="68889FC1" w14:textId="30061DBF" w:rsidR="00CD70B2" w:rsidRPr="00665504" w:rsidRDefault="00CD70B2" w:rsidP="00665504">
      <w:pPr>
        <w:pStyle w:val="FootnoteText"/>
        <w:ind w:left="567" w:hanging="567"/>
        <w:rPr>
          <w:sz w:val="24"/>
          <w:lang w:val="pl-PL"/>
        </w:rPr>
      </w:pPr>
      <w:r w:rsidRPr="00B31327">
        <w:rPr>
          <w:sz w:val="24"/>
          <w:vertAlign w:val="superscript"/>
          <w:lang w:val="en-GB"/>
        </w:rPr>
        <w:t>1</w:t>
      </w:r>
      <w:r w:rsidR="00665504" w:rsidRPr="00B31327">
        <w:rPr>
          <w:sz w:val="24"/>
          <w:vertAlign w:val="superscript"/>
          <w:lang w:val="en-GB"/>
        </w:rPr>
        <w:t xml:space="preserve"> </w:t>
      </w:r>
      <w:r w:rsidR="00665504" w:rsidRPr="00B31327">
        <w:rPr>
          <w:sz w:val="24"/>
          <w:vertAlign w:val="superscript"/>
          <w:lang w:val="en-GB"/>
        </w:rPr>
        <w:tab/>
      </w:r>
      <w:r w:rsidRPr="00B31327">
        <w:rPr>
          <w:sz w:val="24"/>
          <w:lang w:val="en-GB"/>
        </w:rPr>
        <w:t xml:space="preserve">Briefing – „Turning point or continuity? </w:t>
      </w:r>
      <w:r w:rsidRPr="00665504">
        <w:rPr>
          <w:sz w:val="24"/>
          <w:lang w:val="pl-PL"/>
        </w:rPr>
        <w:t xml:space="preserve">The </w:t>
      </w:r>
      <w:proofErr w:type="spellStart"/>
      <w:r w:rsidRPr="00665504">
        <w:rPr>
          <w:sz w:val="24"/>
          <w:lang w:val="pl-PL"/>
        </w:rPr>
        <w:t>ECB’s</w:t>
      </w:r>
      <w:proofErr w:type="spellEnd"/>
      <w:r w:rsidRPr="00665504">
        <w:rPr>
          <w:sz w:val="24"/>
          <w:lang w:val="pl-PL"/>
        </w:rPr>
        <w:t xml:space="preserve"> 2025 </w:t>
      </w:r>
      <w:proofErr w:type="spellStart"/>
      <w:r w:rsidRPr="00665504">
        <w:rPr>
          <w:sz w:val="24"/>
          <w:lang w:val="pl-PL"/>
        </w:rPr>
        <w:t>strategy</w:t>
      </w:r>
      <w:proofErr w:type="spellEnd"/>
      <w:r w:rsidRPr="00665504">
        <w:rPr>
          <w:sz w:val="24"/>
          <w:lang w:val="pl-PL"/>
        </w:rPr>
        <w:t xml:space="preserve"> </w:t>
      </w:r>
      <w:proofErr w:type="spellStart"/>
      <w:r w:rsidRPr="00665504">
        <w:rPr>
          <w:sz w:val="24"/>
          <w:lang w:val="pl-PL"/>
        </w:rPr>
        <w:t>review</w:t>
      </w:r>
      <w:proofErr w:type="spellEnd"/>
      <w:r w:rsidRPr="00665504">
        <w:rPr>
          <w:sz w:val="24"/>
          <w:lang w:val="pl-PL"/>
        </w:rPr>
        <w:t>” [Punkt zwrotny czy kontynuacja? Przegląd strategii EBC na rok 2025], Parlament Europejski, Dyrekcja Generalna ds. Gospodarki, Transformacji i Przemysłu, Dział ds. Kontroli Zarządzania Gospodarczego i UGW (EGOV), październik 2025 r.</w:t>
      </w:r>
    </w:p>
  </w:footnote>
  <w:footnote w:id="2">
    <w:p w14:paraId="5C6595EA" w14:textId="789227EF" w:rsidR="00CD70B2" w:rsidRPr="00665504" w:rsidRDefault="00CD70B2" w:rsidP="00665504">
      <w:pPr>
        <w:pStyle w:val="FootnoteText"/>
        <w:ind w:left="567" w:hanging="567"/>
        <w:rPr>
          <w:sz w:val="24"/>
          <w:lang w:val="pl-PL"/>
        </w:rPr>
      </w:pPr>
      <w:r w:rsidRPr="00665504">
        <w:rPr>
          <w:sz w:val="24"/>
          <w:vertAlign w:val="superscript"/>
          <w:lang w:val="pl-PL"/>
        </w:rPr>
        <w:t>2</w:t>
      </w:r>
      <w:r w:rsidR="00665504" w:rsidRPr="00665504">
        <w:rPr>
          <w:sz w:val="24"/>
          <w:vertAlign w:val="superscript"/>
          <w:lang w:val="pl-PL"/>
        </w:rPr>
        <w:t xml:space="preserve"> </w:t>
      </w:r>
      <w:r w:rsidR="00665504" w:rsidRPr="00665504">
        <w:rPr>
          <w:sz w:val="24"/>
          <w:vertAlign w:val="superscript"/>
          <w:lang w:val="pl-PL"/>
        </w:rPr>
        <w:tab/>
      </w:r>
      <w:r w:rsidRPr="00665504">
        <w:rPr>
          <w:sz w:val="24"/>
          <w:lang w:val="pl-PL"/>
        </w:rPr>
        <w:t xml:space="preserve">Dogłębna analiza – „The </w:t>
      </w:r>
      <w:proofErr w:type="spellStart"/>
      <w:r w:rsidRPr="00665504">
        <w:rPr>
          <w:sz w:val="24"/>
          <w:lang w:val="pl-PL"/>
        </w:rPr>
        <w:t>silent</w:t>
      </w:r>
      <w:proofErr w:type="spellEnd"/>
      <w:r w:rsidRPr="00665504">
        <w:rPr>
          <w:sz w:val="24"/>
          <w:lang w:val="pl-PL"/>
        </w:rPr>
        <w:t xml:space="preserve"> </w:t>
      </w:r>
      <w:proofErr w:type="spellStart"/>
      <w:r w:rsidRPr="00665504">
        <w:rPr>
          <w:sz w:val="24"/>
          <w:lang w:val="pl-PL"/>
        </w:rPr>
        <w:t>hand</w:t>
      </w:r>
      <w:proofErr w:type="spellEnd"/>
      <w:r w:rsidRPr="00665504">
        <w:rPr>
          <w:sz w:val="24"/>
          <w:lang w:val="pl-PL"/>
        </w:rPr>
        <w:t xml:space="preserve"> of central banking: </w:t>
      </w:r>
      <w:proofErr w:type="spellStart"/>
      <w:r w:rsidRPr="00665504">
        <w:rPr>
          <w:sz w:val="24"/>
          <w:lang w:val="pl-PL"/>
        </w:rPr>
        <w:t>collateral</w:t>
      </w:r>
      <w:proofErr w:type="spellEnd"/>
      <w:r w:rsidRPr="00665504">
        <w:rPr>
          <w:sz w:val="24"/>
          <w:lang w:val="pl-PL"/>
        </w:rPr>
        <w:t xml:space="preserve"> </w:t>
      </w:r>
      <w:proofErr w:type="spellStart"/>
      <w:r w:rsidRPr="00665504">
        <w:rPr>
          <w:sz w:val="24"/>
          <w:lang w:val="pl-PL"/>
        </w:rPr>
        <w:t>framework</w:t>
      </w:r>
      <w:proofErr w:type="spellEnd"/>
      <w:r w:rsidRPr="00665504">
        <w:rPr>
          <w:sz w:val="24"/>
          <w:lang w:val="pl-PL"/>
        </w:rPr>
        <w:t>” [Cicha ręka bankowości centralnej:</w:t>
      </w:r>
      <w:r w:rsidRPr="00665504">
        <w:rPr>
          <w:sz w:val="24"/>
          <w:lang w:val="pl-PL"/>
        </w:rPr>
        <w:br/>
        <w:t>ramy zabezpieczeń], Parlament Europejski, Dyrekcja Generalna ds. Gospodarki, Transformacji i Przemysłu, EGOV, czerwiec 2025 r.</w:t>
      </w:r>
    </w:p>
  </w:footnote>
  <w:footnote w:id="3">
    <w:p w14:paraId="403513F0" w14:textId="6497F315" w:rsidR="00CD70B2" w:rsidRPr="00665504" w:rsidRDefault="00CD70B2" w:rsidP="00665504">
      <w:pPr>
        <w:pStyle w:val="FootnoteText"/>
        <w:ind w:left="567" w:hanging="567"/>
        <w:rPr>
          <w:sz w:val="24"/>
          <w:lang w:val="pl-PL"/>
        </w:rPr>
      </w:pPr>
      <w:r w:rsidRPr="00665504">
        <w:rPr>
          <w:sz w:val="24"/>
          <w:vertAlign w:val="superscript"/>
          <w:lang w:val="pl-PL"/>
        </w:rPr>
        <w:t>3</w:t>
      </w:r>
      <w:r w:rsidR="00665504" w:rsidRPr="00665504">
        <w:rPr>
          <w:sz w:val="24"/>
          <w:vertAlign w:val="superscript"/>
          <w:lang w:val="pl-PL"/>
        </w:rPr>
        <w:t xml:space="preserve"> </w:t>
      </w:r>
      <w:r w:rsidR="00665504" w:rsidRPr="00665504">
        <w:rPr>
          <w:sz w:val="24"/>
          <w:vertAlign w:val="superscript"/>
          <w:lang w:val="pl-PL"/>
        </w:rPr>
        <w:tab/>
      </w:r>
      <w:proofErr w:type="spellStart"/>
      <w:r w:rsidRPr="00665504">
        <w:rPr>
          <w:sz w:val="24"/>
          <w:lang w:val="pl-PL"/>
        </w:rPr>
        <w:t>Cochrane</w:t>
      </w:r>
      <w:proofErr w:type="spellEnd"/>
      <w:r w:rsidRPr="00665504">
        <w:rPr>
          <w:sz w:val="24"/>
          <w:lang w:val="pl-PL"/>
        </w:rPr>
        <w:t>, J.H. i in., „</w:t>
      </w:r>
      <w:proofErr w:type="spellStart"/>
      <w:r w:rsidRPr="00665504">
        <w:rPr>
          <w:sz w:val="24"/>
          <w:lang w:val="pl-PL"/>
        </w:rPr>
        <w:t>Crisis</w:t>
      </w:r>
      <w:proofErr w:type="spellEnd"/>
      <w:r w:rsidRPr="00665504">
        <w:rPr>
          <w:sz w:val="24"/>
          <w:lang w:val="pl-PL"/>
        </w:rPr>
        <w:t xml:space="preserve"> </w:t>
      </w:r>
      <w:proofErr w:type="spellStart"/>
      <w:r w:rsidRPr="00665504">
        <w:rPr>
          <w:sz w:val="24"/>
          <w:lang w:val="pl-PL"/>
        </w:rPr>
        <w:t>Cycle</w:t>
      </w:r>
      <w:proofErr w:type="spellEnd"/>
      <w:r w:rsidRPr="00665504">
        <w:rPr>
          <w:sz w:val="24"/>
          <w:lang w:val="pl-PL"/>
        </w:rPr>
        <w:t xml:space="preserve">: </w:t>
      </w:r>
      <w:proofErr w:type="spellStart"/>
      <w:r w:rsidRPr="00665504">
        <w:rPr>
          <w:sz w:val="24"/>
          <w:lang w:val="pl-PL"/>
        </w:rPr>
        <w:t>Challenges</w:t>
      </w:r>
      <w:proofErr w:type="spellEnd"/>
      <w:r w:rsidRPr="00665504">
        <w:rPr>
          <w:sz w:val="24"/>
          <w:lang w:val="pl-PL"/>
        </w:rPr>
        <w:t xml:space="preserve">, </w:t>
      </w:r>
      <w:proofErr w:type="spellStart"/>
      <w:r w:rsidRPr="00665504">
        <w:rPr>
          <w:sz w:val="24"/>
          <w:lang w:val="pl-PL"/>
        </w:rPr>
        <w:t>Evolution</w:t>
      </w:r>
      <w:proofErr w:type="spellEnd"/>
      <w:r w:rsidRPr="00665504">
        <w:rPr>
          <w:sz w:val="24"/>
          <w:lang w:val="pl-PL"/>
        </w:rPr>
        <w:t xml:space="preserve">, and </w:t>
      </w:r>
      <w:proofErr w:type="spellStart"/>
      <w:r w:rsidRPr="00665504">
        <w:rPr>
          <w:sz w:val="24"/>
          <w:lang w:val="pl-PL"/>
        </w:rPr>
        <w:t>Future</w:t>
      </w:r>
      <w:proofErr w:type="spellEnd"/>
      <w:r w:rsidRPr="00665504">
        <w:rPr>
          <w:sz w:val="24"/>
          <w:lang w:val="pl-PL"/>
        </w:rPr>
        <w:t xml:space="preserve"> of the Euro” [Cykl kryzysowy: wyzwania, ewolucja i przyszłość euro], </w:t>
      </w:r>
      <w:proofErr w:type="spellStart"/>
      <w:r w:rsidRPr="00665504">
        <w:rPr>
          <w:sz w:val="24"/>
          <w:lang w:val="pl-PL"/>
        </w:rPr>
        <w:t>Princeton</w:t>
      </w:r>
      <w:proofErr w:type="spellEnd"/>
      <w:r w:rsidRPr="00665504">
        <w:rPr>
          <w:sz w:val="24"/>
          <w:lang w:val="pl-PL"/>
        </w:rPr>
        <w:t xml:space="preserve"> University Press, 2025 r.</w:t>
      </w:r>
    </w:p>
  </w:footnote>
  <w:footnote w:id="4">
    <w:p w14:paraId="448DAE35" w14:textId="2696BCF4" w:rsidR="00B31327" w:rsidRPr="00B31327" w:rsidRDefault="00B31327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B31327">
        <w:rPr>
          <w:lang w:val="pl-PL"/>
        </w:rPr>
        <w:t xml:space="preserve"> </w:t>
      </w:r>
      <w:r>
        <w:rPr>
          <w:lang w:val="pl-PL"/>
        </w:rPr>
        <w:tab/>
      </w:r>
      <w:r w:rsidRPr="00B31327">
        <w:rPr>
          <w:lang w:val="pl-PL"/>
        </w:rPr>
        <w:t>Blog Europejskiego Banku Centralnego, „</w:t>
      </w:r>
      <w:proofErr w:type="spellStart"/>
      <w:r w:rsidRPr="00B31327">
        <w:rPr>
          <w:lang w:val="pl-PL"/>
        </w:rPr>
        <w:t>When</w:t>
      </w:r>
      <w:proofErr w:type="spellEnd"/>
      <w:r w:rsidRPr="00B31327">
        <w:rPr>
          <w:lang w:val="pl-PL"/>
        </w:rPr>
        <w:t xml:space="preserve"> </w:t>
      </w:r>
      <w:proofErr w:type="spellStart"/>
      <w:r w:rsidRPr="00B31327">
        <w:rPr>
          <w:lang w:val="pl-PL"/>
        </w:rPr>
        <w:t>groceries</w:t>
      </w:r>
      <w:proofErr w:type="spellEnd"/>
      <w:r w:rsidRPr="00B31327">
        <w:rPr>
          <w:lang w:val="pl-PL"/>
        </w:rPr>
        <w:t xml:space="preserve"> bite, the role of food </w:t>
      </w:r>
      <w:proofErr w:type="spellStart"/>
      <w:r w:rsidRPr="00B31327">
        <w:rPr>
          <w:lang w:val="pl-PL"/>
        </w:rPr>
        <w:t>prices</w:t>
      </w:r>
      <w:proofErr w:type="spellEnd"/>
      <w:r w:rsidRPr="00B31327">
        <w:rPr>
          <w:lang w:val="pl-PL"/>
        </w:rPr>
        <w:t xml:space="preserve"> for </w:t>
      </w:r>
      <w:proofErr w:type="spellStart"/>
      <w:r w:rsidRPr="00B31327">
        <w:rPr>
          <w:lang w:val="pl-PL"/>
        </w:rPr>
        <w:t>inflation</w:t>
      </w:r>
      <w:proofErr w:type="spellEnd"/>
      <w:r w:rsidRPr="00B31327">
        <w:rPr>
          <w:lang w:val="pl-PL"/>
        </w:rPr>
        <w:t xml:space="preserve"> in the euro </w:t>
      </w:r>
      <w:proofErr w:type="spellStart"/>
      <w:r w:rsidRPr="00B31327">
        <w:rPr>
          <w:lang w:val="pl-PL"/>
        </w:rPr>
        <w:t>area</w:t>
      </w:r>
      <w:proofErr w:type="spellEnd"/>
      <w:r w:rsidRPr="00B31327">
        <w:rPr>
          <w:lang w:val="pl-PL"/>
        </w:rPr>
        <w:t>” [Kiedy ceny artykułów spożywczych rosną – rola cen żywności w inflacji w strefie euro], 25 września 2025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1F7A" w14:textId="77777777" w:rsidR="00064002" w:rsidRPr="006655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06F9" w14:textId="77777777" w:rsidR="00064002" w:rsidRPr="006655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61922" w14:textId="77777777" w:rsidR="00064002" w:rsidRPr="006655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1978143">
    <w:abstractNumId w:val="9"/>
  </w:num>
  <w:num w:numId="2" w16cid:durableId="1083644623">
    <w:abstractNumId w:val="9"/>
  </w:num>
  <w:num w:numId="3" w16cid:durableId="35859463">
    <w:abstractNumId w:val="7"/>
  </w:num>
  <w:num w:numId="4" w16cid:durableId="1126772138">
    <w:abstractNumId w:val="7"/>
  </w:num>
  <w:num w:numId="5" w16cid:durableId="132453874">
    <w:abstractNumId w:val="6"/>
  </w:num>
  <w:num w:numId="6" w16cid:durableId="1229346380">
    <w:abstractNumId w:val="6"/>
  </w:num>
  <w:num w:numId="7" w16cid:durableId="1886334777">
    <w:abstractNumId w:val="5"/>
  </w:num>
  <w:num w:numId="8" w16cid:durableId="1086682934">
    <w:abstractNumId w:val="5"/>
  </w:num>
  <w:num w:numId="9" w16cid:durableId="970093816">
    <w:abstractNumId w:val="4"/>
  </w:num>
  <w:num w:numId="10" w16cid:durableId="745225350">
    <w:abstractNumId w:val="4"/>
  </w:num>
  <w:num w:numId="11" w16cid:durableId="1717701933">
    <w:abstractNumId w:val="8"/>
  </w:num>
  <w:num w:numId="12" w16cid:durableId="1868058007">
    <w:abstractNumId w:val="8"/>
  </w:num>
  <w:num w:numId="13" w16cid:durableId="637999121">
    <w:abstractNumId w:val="3"/>
  </w:num>
  <w:num w:numId="14" w16cid:durableId="801535402">
    <w:abstractNumId w:val="3"/>
  </w:num>
  <w:num w:numId="15" w16cid:durableId="1447967356">
    <w:abstractNumId w:val="2"/>
  </w:num>
  <w:num w:numId="16" w16cid:durableId="2135823511">
    <w:abstractNumId w:val="2"/>
  </w:num>
  <w:num w:numId="17" w16cid:durableId="1327132700">
    <w:abstractNumId w:val="1"/>
  </w:num>
  <w:num w:numId="18" w16cid:durableId="417097605">
    <w:abstractNumId w:val="1"/>
  </w:num>
  <w:num w:numId="19" w16cid:durableId="394209377">
    <w:abstractNumId w:val="0"/>
  </w:num>
  <w:num w:numId="20" w16cid:durableId="891884811">
    <w:abstractNumId w:val="0"/>
  </w:num>
  <w:num w:numId="21" w16cid:durableId="163013623">
    <w:abstractNumId w:val="9"/>
  </w:num>
  <w:num w:numId="22" w16cid:durableId="204761298">
    <w:abstractNumId w:val="7"/>
  </w:num>
  <w:num w:numId="23" w16cid:durableId="700326024">
    <w:abstractNumId w:val="6"/>
  </w:num>
  <w:num w:numId="24" w16cid:durableId="255331616">
    <w:abstractNumId w:val="5"/>
  </w:num>
  <w:num w:numId="25" w16cid:durableId="781454628">
    <w:abstractNumId w:val="4"/>
  </w:num>
  <w:num w:numId="26" w16cid:durableId="1028526713">
    <w:abstractNumId w:val="8"/>
  </w:num>
  <w:num w:numId="27" w16cid:durableId="1500198014">
    <w:abstractNumId w:val="3"/>
  </w:num>
  <w:num w:numId="28" w16cid:durableId="403990615">
    <w:abstractNumId w:val="2"/>
  </w:num>
  <w:num w:numId="29" w16cid:durableId="136730974">
    <w:abstractNumId w:val="1"/>
  </w:num>
  <w:num w:numId="30" w16cid:durableId="619848380">
    <w:abstractNumId w:val="0"/>
  </w:num>
  <w:num w:numId="31" w16cid:durableId="571279276">
    <w:abstractNumId w:val="9"/>
  </w:num>
  <w:num w:numId="32" w16cid:durableId="347105084">
    <w:abstractNumId w:val="7"/>
  </w:num>
  <w:num w:numId="33" w16cid:durableId="1743214657">
    <w:abstractNumId w:val="6"/>
  </w:num>
  <w:num w:numId="34" w16cid:durableId="650670838">
    <w:abstractNumId w:val="5"/>
  </w:num>
  <w:num w:numId="35" w16cid:durableId="1471364201">
    <w:abstractNumId w:val="4"/>
  </w:num>
  <w:num w:numId="36" w16cid:durableId="1530341002">
    <w:abstractNumId w:val="8"/>
  </w:num>
  <w:num w:numId="37" w16cid:durableId="423645534">
    <w:abstractNumId w:val="3"/>
  </w:num>
  <w:num w:numId="38" w16cid:durableId="1968857463">
    <w:abstractNumId w:val="2"/>
  </w:num>
  <w:num w:numId="39" w16cid:durableId="1542933801">
    <w:abstractNumId w:val="1"/>
  </w:num>
  <w:num w:numId="40" w16cid:durableId="2091804771">
    <w:abstractNumId w:val="0"/>
  </w:num>
  <w:num w:numId="41" w16cid:durableId="160899553">
    <w:abstractNumId w:val="10"/>
  </w:num>
  <w:num w:numId="42" w16cid:durableId="1737974800">
    <w:abstractNumId w:val="10"/>
  </w:num>
  <w:num w:numId="43" w16cid:durableId="1259676934">
    <w:abstractNumId w:val="10"/>
  </w:num>
  <w:num w:numId="44" w16cid:durableId="18653587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2/2026"/>
    <w:docVar w:name="dvlangue" w:val="PL"/>
    <w:docVar w:name="dvnumam" w:val="0"/>
    <w:docVar w:name="dvpe" w:val="778.306"/>
    <w:docVar w:name="dvrapporteur" w:val="Sprawozdawca: "/>
    <w:docVar w:name="dvtitre" w:val="Rezolucja Parlamentu Europejskiego z dnia  2026 r. w sprawie Europejskiego Banku Centralnego – raport roczny za rok 2025(2025/2182(INI))"/>
  </w:docVars>
  <w:rsids>
    <w:rsidRoot w:val="006C6461"/>
    <w:rsid w:val="00002272"/>
    <w:rsid w:val="00064002"/>
    <w:rsid w:val="000677B9"/>
    <w:rsid w:val="000831BA"/>
    <w:rsid w:val="000A42CC"/>
    <w:rsid w:val="000E7DD9"/>
    <w:rsid w:val="0010095E"/>
    <w:rsid w:val="00125B37"/>
    <w:rsid w:val="0018676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504"/>
    <w:rsid w:val="00672799"/>
    <w:rsid w:val="00680577"/>
    <w:rsid w:val="006B5F2B"/>
    <w:rsid w:val="006C64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89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8C9"/>
    <w:rsid w:val="00A778C7"/>
    <w:rsid w:val="00AB441E"/>
    <w:rsid w:val="00AB6293"/>
    <w:rsid w:val="00AE0928"/>
    <w:rsid w:val="00AF3B82"/>
    <w:rsid w:val="00B12E95"/>
    <w:rsid w:val="00B22876"/>
    <w:rsid w:val="00B3132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0B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433CB"/>
  <w15:chartTrackingRefBased/>
  <w15:docId w15:val="{21E49550-6856-4E86-9788-ECC24DD0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D70B2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D70B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D70B2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D70B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D70B2"/>
    <w:pPr>
      <w:widowControl/>
      <w:spacing w:after="240"/>
      <w:jc w:val="center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B3132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1954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2026-03-16T09:05:00Z</dcterms:created>
  <dcterms:modified xsi:type="dcterms:W3CDTF">2026-03-16T09:05:00Z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A10-0002/2026</vt:lpwstr>
  </property>
  <property fmtid="{D5CDD505-2E9C-101B-9397-08002B2CF9AE}" pid="4" name="&lt;Type&gt;">
    <vt:lpwstr>RR</vt:lpwstr>
  </property>
</Properties>
</file>