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7104" w14:paraId="33351D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160C26" w14:textId="77777777" w:rsidR="00751A4A" w:rsidRPr="00F27104" w:rsidRDefault="00431467" w:rsidP="0010095E">
            <w:pPr>
              <w:pStyle w:val="EPName"/>
            </w:pPr>
            <w:r w:rsidRPr="00F27104">
              <w:t>Európsky parlament</w:t>
            </w:r>
          </w:p>
          <w:p w14:paraId="02DCF309" w14:textId="77777777" w:rsidR="00751A4A" w:rsidRPr="00F271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7104">
              <w:t>2024</w:t>
            </w:r>
            <w:r w:rsidR="00817416" w:rsidRPr="00F27104">
              <w:t>-202</w:t>
            </w:r>
            <w:r w:rsidRPr="00F27104">
              <w:t>9</w:t>
            </w:r>
          </w:p>
        </w:tc>
        <w:tc>
          <w:tcPr>
            <w:tcW w:w="2268" w:type="dxa"/>
            <w:shd w:val="clear" w:color="auto" w:fill="auto"/>
          </w:tcPr>
          <w:p w14:paraId="716462F4" w14:textId="77777777" w:rsidR="00751A4A" w:rsidRPr="00F27104" w:rsidRDefault="00187494" w:rsidP="0010095E">
            <w:pPr>
              <w:pStyle w:val="EPLogo"/>
            </w:pPr>
            <w:r w:rsidRPr="00F27104">
              <w:rPr>
                <w:noProof/>
                <w:lang w:eastAsia="ja-JP"/>
              </w:rPr>
              <w:drawing>
                <wp:inline distT="0" distB="0" distL="0" distR="0" wp14:anchorId="7EA126D5" wp14:editId="075BBF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55FA6" w14:textId="77777777" w:rsidR="00D058B8" w:rsidRPr="00F27104" w:rsidRDefault="00D058B8" w:rsidP="004C5D52">
      <w:pPr>
        <w:pStyle w:val="LineTop"/>
      </w:pPr>
    </w:p>
    <w:p w14:paraId="09F327CB" w14:textId="77777777" w:rsidR="00680577" w:rsidRPr="00F27104" w:rsidRDefault="00431467" w:rsidP="00680577">
      <w:pPr>
        <w:pStyle w:val="EPBodyTA1"/>
      </w:pPr>
      <w:r w:rsidRPr="00F27104">
        <w:t>PRIJATÉ TEXTY</w:t>
      </w:r>
    </w:p>
    <w:p w14:paraId="504A4AF8" w14:textId="77777777" w:rsidR="00D058B8" w:rsidRPr="00F27104" w:rsidRDefault="00D058B8" w:rsidP="00D058B8">
      <w:pPr>
        <w:pStyle w:val="LineBottom"/>
      </w:pPr>
    </w:p>
    <w:p w14:paraId="4D2AFD16" w14:textId="0817AC62" w:rsidR="00431467" w:rsidRPr="00F27104" w:rsidRDefault="00431467" w:rsidP="00431467">
      <w:pPr>
        <w:pStyle w:val="ATHeading1"/>
      </w:pPr>
      <w:bookmarkStart w:id="0" w:name="TANumber"/>
      <w:r w:rsidRPr="00F27104">
        <w:t>P10_TA(2026)00</w:t>
      </w:r>
      <w:r w:rsidR="00C26834" w:rsidRPr="00F27104">
        <w:t>34</w:t>
      </w:r>
      <w:bookmarkEnd w:id="0"/>
    </w:p>
    <w:p w14:paraId="053C0B8A" w14:textId="54F8DFA8" w:rsidR="00431467" w:rsidRPr="00F27104" w:rsidRDefault="00431467" w:rsidP="00431467">
      <w:pPr>
        <w:pStyle w:val="ATHeading2"/>
      </w:pPr>
      <w:bookmarkStart w:id="1" w:name="title"/>
      <w:r w:rsidRPr="00F27104">
        <w:t>Európska centrálna banka – výročná správa za rok 2025</w:t>
      </w:r>
      <w:bookmarkEnd w:id="1"/>
    </w:p>
    <w:p w14:paraId="6B9358BD" w14:textId="77777777" w:rsidR="00431467" w:rsidRPr="00F27104" w:rsidRDefault="00431467" w:rsidP="00431467">
      <w:pPr>
        <w:rPr>
          <w:i/>
          <w:vanish/>
        </w:rPr>
      </w:pPr>
      <w:r w:rsidRPr="00F27104">
        <w:rPr>
          <w:i/>
        </w:rPr>
        <w:fldChar w:fldCharType="begin"/>
      </w:r>
      <w:r w:rsidRPr="00F27104">
        <w:rPr>
          <w:i/>
        </w:rPr>
        <w:instrText xml:space="preserve"> TC"(</w:instrText>
      </w:r>
      <w:bookmarkStart w:id="2" w:name="DocNumber"/>
      <w:r w:rsidRPr="00F27104">
        <w:rPr>
          <w:i/>
        </w:rPr>
        <w:instrText>A10-0002/2026</w:instrText>
      </w:r>
      <w:bookmarkEnd w:id="2"/>
      <w:r w:rsidRPr="00F27104">
        <w:rPr>
          <w:i/>
        </w:rPr>
        <w:instrText xml:space="preserve"> - Spravodajca: Johan Van Overtveldt)"\l3 \n&gt; \* MERGEFORMAT </w:instrText>
      </w:r>
      <w:r w:rsidRPr="00F27104">
        <w:rPr>
          <w:i/>
        </w:rPr>
        <w:fldChar w:fldCharType="end"/>
      </w:r>
    </w:p>
    <w:p w14:paraId="0EC03FED" w14:textId="77777777" w:rsidR="00431467" w:rsidRPr="00F27104" w:rsidRDefault="00431467" w:rsidP="00431467">
      <w:pPr>
        <w:rPr>
          <w:vanish/>
        </w:rPr>
      </w:pPr>
      <w:bookmarkStart w:id="3" w:name="Commission"/>
      <w:r w:rsidRPr="00F27104">
        <w:rPr>
          <w:vanish/>
        </w:rPr>
        <w:t>Výbor pre hospodárske a menové veci</w:t>
      </w:r>
      <w:bookmarkEnd w:id="3"/>
    </w:p>
    <w:p w14:paraId="006124EB" w14:textId="77777777" w:rsidR="00431467" w:rsidRPr="00F27104" w:rsidRDefault="00431467" w:rsidP="00431467">
      <w:pPr>
        <w:rPr>
          <w:vanish/>
        </w:rPr>
      </w:pPr>
      <w:bookmarkStart w:id="4" w:name="PE"/>
      <w:r w:rsidRPr="00F27104">
        <w:rPr>
          <w:vanish/>
        </w:rPr>
        <w:t>PE778.306</w:t>
      </w:r>
      <w:bookmarkEnd w:id="4"/>
    </w:p>
    <w:p w14:paraId="29D1F93B" w14:textId="4D68BF46" w:rsidR="00431467" w:rsidRPr="00F27104" w:rsidRDefault="00431467" w:rsidP="00431467">
      <w:pPr>
        <w:pStyle w:val="ATHeading3"/>
      </w:pPr>
      <w:bookmarkStart w:id="5" w:name="Sujet"/>
      <w:r w:rsidRPr="00F27104">
        <w:t xml:space="preserve">Uznesenie Európskeho parlamentu z </w:t>
      </w:r>
      <w:r w:rsidR="009C34B0" w:rsidRPr="00F27104">
        <w:t>10</w:t>
      </w:r>
      <w:r w:rsidRPr="00F27104">
        <w:t xml:space="preserve">. </w:t>
      </w:r>
      <w:r w:rsidR="009C34B0" w:rsidRPr="00F27104">
        <w:t>februára</w:t>
      </w:r>
      <w:r w:rsidRPr="00F27104">
        <w:t xml:space="preserve"> 2026 o výročnej správe Európskej centrálnej banky za rok 2025</w:t>
      </w:r>
      <w:bookmarkEnd w:id="5"/>
      <w:r w:rsidRPr="00F27104">
        <w:t xml:space="preserve"> </w:t>
      </w:r>
      <w:bookmarkStart w:id="6" w:name="References"/>
      <w:r w:rsidRPr="00F27104">
        <w:t>(2025/2182(INI))</w:t>
      </w:r>
      <w:bookmarkEnd w:id="6"/>
    </w:p>
    <w:p w14:paraId="3264E879" w14:textId="77777777" w:rsidR="00FE79F6" w:rsidRPr="00F27104" w:rsidRDefault="00FE79F6" w:rsidP="00FE79F6">
      <w:pPr>
        <w:pStyle w:val="Normal12"/>
      </w:pPr>
      <w:r w:rsidRPr="00F27104">
        <w:rPr>
          <w:i/>
        </w:rPr>
        <w:t>Európsky parlament</w:t>
      </w:r>
      <w:r w:rsidRPr="00F27104">
        <w:t>,</w:t>
      </w:r>
    </w:p>
    <w:p w14:paraId="643737CE" w14:textId="6B12A0C4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spätnú väzbu Európskej centrálnej banky (</w:t>
      </w:r>
      <w:r w:rsidR="00630E37" w:rsidRPr="00F27104">
        <w:t>ďalej len „</w:t>
      </w:r>
      <w:r w:rsidRPr="00F27104">
        <w:t>ECB</w:t>
      </w:r>
      <w:r w:rsidR="00630E37" w:rsidRPr="00F27104">
        <w:t>“</w:t>
      </w:r>
      <w:r w:rsidRPr="00F27104">
        <w:t>) z 28. apríla 2025 k príspevku, ktorý poskytol Európsky parlament ako súčasť svojho uznesenia o výročnej správe ECB za rok 2023,</w:t>
      </w:r>
    </w:p>
    <w:p w14:paraId="3564CF79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Štatút Európskeho systému centrálnych bánk (ďalej len „ESCB“) a ECB, najmä na jeho články 2, 15 a 21,</w:t>
      </w:r>
    </w:p>
    <w:p w14:paraId="77783589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článok 119, článok 123 ods. 1, článok 125, článok 127 ods. 1 a 2, článok 130, článok 282 ods. 2 a článok 284 ods. 3 Zmluvy o fungovaní Európskej únie (ďalej len „ZFEÚ“),</w:t>
      </w:r>
    </w:p>
    <w:p w14:paraId="59AACE24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články 3 a 13 Zmluvy o Európskej únii (ďalej len „Zmluva o EÚ“),</w:t>
      </w:r>
    </w:p>
    <w:p w14:paraId="08B32136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 xml:space="preserve">so zreteľom na dialógy o menových otázkach s prezidentkou ECB </w:t>
      </w:r>
      <w:proofErr w:type="spellStart"/>
      <w:r w:rsidRPr="00F27104">
        <w:t>Christine</w:t>
      </w:r>
      <w:proofErr w:type="spellEnd"/>
      <w:r w:rsidRPr="00F27104">
        <w:t xml:space="preserve"> </w:t>
      </w:r>
      <w:proofErr w:type="spellStart"/>
      <w:r w:rsidRPr="00F27104">
        <w:t>Lagardovou</w:t>
      </w:r>
      <w:proofErr w:type="spellEnd"/>
      <w:r w:rsidRPr="00F27104">
        <w:t xml:space="preserve"> z 20. marca 2025, 23. júna 2025 a 6. októbra 2025,</w:t>
      </w:r>
    </w:p>
    <w:p w14:paraId="5B0DB7D5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posúdenie stratégie menovej politiky ECB na rok 2025,</w:t>
      </w:r>
    </w:p>
    <w:p w14:paraId="38524E75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správu ECB o medzinárodnej úlohe eura z roku 2025,</w:t>
      </w:r>
    </w:p>
    <w:p w14:paraId="48989D72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plán ECB v oblasti klimatických zmien a prírody na roky 2024 – 2025,</w:t>
      </w:r>
    </w:p>
    <w:p w14:paraId="21DCE812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 xml:space="preserve">so zreteľom na odhad inflácie </w:t>
      </w:r>
      <w:proofErr w:type="spellStart"/>
      <w:r w:rsidRPr="00F27104">
        <w:t>Eurostatu</w:t>
      </w:r>
      <w:proofErr w:type="spellEnd"/>
      <w:r w:rsidRPr="00F27104">
        <w:t xml:space="preserve"> z 20. augusta 2025 a rýchle odhady </w:t>
      </w:r>
      <w:proofErr w:type="spellStart"/>
      <w:r w:rsidRPr="00F27104">
        <w:t>Eurostatu</w:t>
      </w:r>
      <w:proofErr w:type="spellEnd"/>
      <w:r w:rsidRPr="00F27104">
        <w:t xml:space="preserve"> z 1. októbra 2025,</w:t>
      </w:r>
    </w:p>
    <w:p w14:paraId="32BFC338" w14:textId="09594E20" w:rsidR="00FE79F6" w:rsidRPr="00F27104" w:rsidRDefault="00FE79F6" w:rsidP="00FE79F6">
      <w:pPr>
        <w:pStyle w:val="NormalHanging"/>
      </w:pPr>
      <w:r w:rsidRPr="00F27104">
        <w:lastRenderedPageBreak/>
        <w:t>–</w:t>
      </w:r>
      <w:r w:rsidRPr="00F27104">
        <w:tab/>
        <w:t xml:space="preserve">so zreteľom na brífing oddelenia EGOV z októbra 2025 s názvom </w:t>
      </w:r>
      <w:proofErr w:type="spellStart"/>
      <w:r w:rsidRPr="00F27104">
        <w:t>Turning</w:t>
      </w:r>
      <w:proofErr w:type="spellEnd"/>
      <w:r w:rsidRPr="00F27104">
        <w:t xml:space="preserve"> Point or </w:t>
      </w:r>
      <w:proofErr w:type="spellStart"/>
      <w:r w:rsidRPr="00F27104">
        <w:t>continuity</w:t>
      </w:r>
      <w:proofErr w:type="spellEnd"/>
      <w:r w:rsidRPr="00F27104">
        <w:t xml:space="preserve">? </w:t>
      </w:r>
      <w:proofErr w:type="spellStart"/>
      <w:r w:rsidRPr="00F27104">
        <w:t>The</w:t>
      </w:r>
      <w:proofErr w:type="spellEnd"/>
      <w:r w:rsidRPr="00F27104">
        <w:t xml:space="preserve"> </w:t>
      </w:r>
      <w:proofErr w:type="spellStart"/>
      <w:r w:rsidRPr="00F27104">
        <w:t>ECB’s</w:t>
      </w:r>
      <w:proofErr w:type="spellEnd"/>
      <w:r w:rsidRPr="00F27104">
        <w:t xml:space="preserve"> 2025 </w:t>
      </w:r>
      <w:proofErr w:type="spellStart"/>
      <w:r w:rsidRPr="00F27104">
        <w:t>strategy</w:t>
      </w:r>
      <w:proofErr w:type="spellEnd"/>
      <w:r w:rsidRPr="00F27104">
        <w:t xml:space="preserve"> </w:t>
      </w:r>
      <w:proofErr w:type="spellStart"/>
      <w:r w:rsidRPr="00F27104">
        <w:t>review</w:t>
      </w:r>
      <w:proofErr w:type="spellEnd"/>
      <w:r w:rsidRPr="00F27104">
        <w:t>, ktorý uverejnilo generálne riaditeľstvo EP pre hospodárstvo, transformáciu a priemysel</w:t>
      </w:r>
      <w:r w:rsidR="00F27104" w:rsidRPr="00F27104">
        <w:rPr>
          <w:rStyle w:val="FootnoteReference"/>
        </w:rPr>
        <w:footnoteReference w:id="1"/>
      </w:r>
      <w:r w:rsidRPr="00F27104">
        <w:t>,</w:t>
      </w:r>
    </w:p>
    <w:p w14:paraId="01B11C88" w14:textId="4A5FC60F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 xml:space="preserve">so zreteľom na analýzu oddelenia EGOV z júna 2025 s názvom </w:t>
      </w:r>
      <w:proofErr w:type="spellStart"/>
      <w:r w:rsidRPr="00F27104">
        <w:t>The</w:t>
      </w:r>
      <w:proofErr w:type="spellEnd"/>
      <w:r w:rsidRPr="00F27104">
        <w:t xml:space="preserve"> </w:t>
      </w:r>
      <w:proofErr w:type="spellStart"/>
      <w:r w:rsidRPr="00F27104">
        <w:t>silent</w:t>
      </w:r>
      <w:proofErr w:type="spellEnd"/>
      <w:r w:rsidRPr="00F27104">
        <w:t xml:space="preserve"> </w:t>
      </w:r>
      <w:proofErr w:type="spellStart"/>
      <w:r w:rsidRPr="00F27104">
        <w:t>hand</w:t>
      </w:r>
      <w:proofErr w:type="spellEnd"/>
      <w:r w:rsidRPr="00F27104">
        <w:t xml:space="preserve"> of </w:t>
      </w:r>
      <w:proofErr w:type="spellStart"/>
      <w:r w:rsidRPr="00F27104">
        <w:t>central</w:t>
      </w:r>
      <w:proofErr w:type="spellEnd"/>
      <w:r w:rsidRPr="00F27104">
        <w:t xml:space="preserve"> banking: </w:t>
      </w:r>
      <w:proofErr w:type="spellStart"/>
      <w:r w:rsidRPr="00F27104">
        <w:t>collateral</w:t>
      </w:r>
      <w:proofErr w:type="spellEnd"/>
      <w:r w:rsidRPr="00F27104">
        <w:t xml:space="preserve"> </w:t>
      </w:r>
      <w:proofErr w:type="spellStart"/>
      <w:r w:rsidRPr="00F27104">
        <w:t>framework</w:t>
      </w:r>
      <w:proofErr w:type="spellEnd"/>
      <w:r w:rsidRPr="00F27104">
        <w:t>, ktorú uverejnilo generálne riaditeľstvo Európskeho parlamentu pre hospodárstvo, transformáciu a priemysel</w:t>
      </w:r>
      <w:r w:rsidR="00F27104" w:rsidRPr="00F27104">
        <w:rPr>
          <w:rStyle w:val="FootnoteReference"/>
        </w:rPr>
        <w:footnoteReference w:id="2"/>
      </w:r>
      <w:r w:rsidRPr="00F27104">
        <w:t>,</w:t>
      </w:r>
    </w:p>
    <w:p w14:paraId="02A03114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článok 55 rokovacieho poriadku,</w:t>
      </w:r>
    </w:p>
    <w:p w14:paraId="56876B10" w14:textId="77777777" w:rsidR="00FE79F6" w:rsidRPr="00F27104" w:rsidRDefault="00FE79F6" w:rsidP="00FE79F6">
      <w:pPr>
        <w:pStyle w:val="NormalHanging"/>
      </w:pPr>
      <w:r w:rsidRPr="00F27104">
        <w:t>–</w:t>
      </w:r>
      <w:r w:rsidRPr="00F27104">
        <w:tab/>
        <w:t>so zreteľom na správu Výboru pre hospodárske a menové veci (A10-0002/2026),</w:t>
      </w:r>
    </w:p>
    <w:p w14:paraId="24232864" w14:textId="3DD58B3C" w:rsidR="00FE79F6" w:rsidRPr="00F27104" w:rsidRDefault="00FE79F6" w:rsidP="00FE79F6">
      <w:pPr>
        <w:pStyle w:val="NormalHanging"/>
      </w:pPr>
      <w:r w:rsidRPr="00F27104">
        <w:t>A.</w:t>
      </w:r>
      <w:r w:rsidRPr="00F27104">
        <w:tab/>
        <w:t xml:space="preserve">keďže podľa </w:t>
      </w:r>
      <w:proofErr w:type="spellStart"/>
      <w:r w:rsidRPr="00F27104">
        <w:t>Eurostatu</w:t>
      </w:r>
      <w:proofErr w:type="spellEnd"/>
      <w:r w:rsidRPr="00F27104">
        <w:t xml:space="preserve"> bola v októbri 2025 ročná inflácia v EÚ na úrovni 2,5</w:t>
      </w:r>
      <w:r w:rsidR="00630E37" w:rsidRPr="00F27104">
        <w:t> </w:t>
      </w:r>
      <w:r w:rsidRPr="00F27104">
        <w:t>% a miera inflácie v eurozóne na úrovni 2,1 %, pričom na výpočet bol použitý harmonizovaný index spotrebiteľských cien;</w:t>
      </w:r>
    </w:p>
    <w:p w14:paraId="73D13F85" w14:textId="77777777" w:rsidR="00FE79F6" w:rsidRPr="00F27104" w:rsidRDefault="00FE79F6" w:rsidP="00FE79F6">
      <w:pPr>
        <w:pStyle w:val="NormalHanging"/>
      </w:pPr>
      <w:r w:rsidRPr="00F27104">
        <w:t>B.</w:t>
      </w:r>
      <w:r w:rsidRPr="00F27104">
        <w:tab/>
        <w:t>keďže podľa prieskumu ECB zameraného na očakávania spotrebiteľov z októbra 2025 je medián očakávanej inflácie stále vyšší ako 2 %;</w:t>
      </w:r>
    </w:p>
    <w:p w14:paraId="3D7EBE30" w14:textId="77777777" w:rsidR="00FE79F6" w:rsidRPr="00F27104" w:rsidRDefault="00FE79F6" w:rsidP="00FE79F6">
      <w:pPr>
        <w:pStyle w:val="NormalHanging"/>
      </w:pPr>
      <w:r w:rsidRPr="00F27104">
        <w:t>C.</w:t>
      </w:r>
      <w:r w:rsidRPr="00F27104">
        <w:tab/>
        <w:t>keďže inflačný cieľ ECB sa postupne menil z referenčnej hodnoty „menej ako 2 %“ na cieľ „menej ako, ale takmer 2 %“ až na symetrický cieľ „približne 2 %“ v strednodobom horizonte;</w:t>
      </w:r>
    </w:p>
    <w:p w14:paraId="42530E6E" w14:textId="77777777" w:rsidR="00FE79F6" w:rsidRPr="00F27104" w:rsidRDefault="00FE79F6" w:rsidP="00FE79F6">
      <w:pPr>
        <w:pStyle w:val="NormalHanging"/>
      </w:pPr>
      <w:r w:rsidRPr="00F27104">
        <w:t>D.</w:t>
      </w:r>
      <w:r w:rsidRPr="00F27104">
        <w:tab/>
        <w:t>keďže jednodňové refinančné operácie a jednodňové sterilizačné operácie vytvorili úzky koridor okolo úrokovej sadzby hlavných refinančných operácií;</w:t>
      </w:r>
    </w:p>
    <w:p w14:paraId="075D6762" w14:textId="3BAEB451" w:rsidR="00FE79F6" w:rsidRPr="00F27104" w:rsidRDefault="00FE79F6" w:rsidP="00FE79F6">
      <w:pPr>
        <w:pStyle w:val="NormalHanging"/>
      </w:pPr>
      <w:r w:rsidRPr="00F27104">
        <w:t>E.</w:t>
      </w:r>
      <w:r w:rsidRPr="00F27104">
        <w:tab/>
        <w:t xml:space="preserve">keďže hranice ECB pri nákupe verejného dlhu sa neustále rozširujú, a to od programu pre trhy s cennými papiermi k priamym menovým transakciám, ako aj programu nákupu aktív verejného sektora na sekundárnom trhu, núdzovému </w:t>
      </w:r>
      <w:proofErr w:type="spellStart"/>
      <w:r w:rsidRPr="00F27104">
        <w:t>pandemickému</w:t>
      </w:r>
      <w:proofErr w:type="spellEnd"/>
      <w:r w:rsidRPr="00F27104">
        <w:t xml:space="preserve"> programu nákupu aktív (PEPP) a nástroju na ochranu transmisie</w:t>
      </w:r>
      <w:r w:rsidR="00F27104" w:rsidRPr="00F27104">
        <w:rPr>
          <w:rStyle w:val="FootnoteReference"/>
        </w:rPr>
        <w:footnoteReference w:id="3"/>
      </w:r>
      <w:r w:rsidRPr="00F27104">
        <w:t>;</w:t>
      </w:r>
    </w:p>
    <w:p w14:paraId="2553D0C7" w14:textId="77777777" w:rsidR="00FE79F6" w:rsidRPr="00F27104" w:rsidRDefault="00FE79F6" w:rsidP="00FE79F6">
      <w:pPr>
        <w:pStyle w:val="NormalHanging"/>
      </w:pPr>
      <w:r w:rsidRPr="00F27104">
        <w:t>F.</w:t>
      </w:r>
      <w:r w:rsidRPr="00F27104">
        <w:tab/>
        <w:t>keďže reinvestície v rámci programu nákupu aktív (APP) boli ukončené v júli 2023 a v prípade PEPP v decembri 2024, takže sa vytvorili podmienky na zmenšovanie súvahy ECB;</w:t>
      </w:r>
    </w:p>
    <w:p w14:paraId="1B7D2249" w14:textId="77777777" w:rsidR="00FE79F6" w:rsidRPr="00F27104" w:rsidRDefault="00FE79F6" w:rsidP="00FE79F6">
      <w:pPr>
        <w:pStyle w:val="NormalHanging"/>
      </w:pPr>
      <w:r w:rsidRPr="00F27104">
        <w:t>G.</w:t>
      </w:r>
      <w:r w:rsidRPr="00F27104">
        <w:tab/>
        <w:t>keďže deflácia môže byť neškodným dôsledkom technologického pokroku;</w:t>
      </w:r>
    </w:p>
    <w:p w14:paraId="2A9902A4" w14:textId="77777777" w:rsidR="00FE79F6" w:rsidRPr="00F27104" w:rsidRDefault="00FE79F6" w:rsidP="00FE79F6">
      <w:pPr>
        <w:pStyle w:val="NormalHanging"/>
      </w:pPr>
      <w:r w:rsidRPr="00F27104">
        <w:t>H.</w:t>
      </w:r>
      <w:r w:rsidRPr="00F27104">
        <w:tab/>
        <w:t>keďže článok 123 ZFEÚ a článok 21 štatútu ESCB a ECB zakazujú priame menové financovanie vlád;</w:t>
      </w:r>
    </w:p>
    <w:p w14:paraId="4B07294A" w14:textId="77777777" w:rsidR="00FE79F6" w:rsidRPr="00F27104" w:rsidRDefault="00FE79F6" w:rsidP="00FE79F6">
      <w:pPr>
        <w:pStyle w:val="Normal12a"/>
      </w:pPr>
      <w:r w:rsidRPr="00F27104">
        <w:rPr>
          <w:b/>
          <w:i/>
        </w:rPr>
        <w:t>Riadenie</w:t>
      </w:r>
    </w:p>
    <w:p w14:paraId="6CC7E24F" w14:textId="77777777" w:rsidR="00FE79F6" w:rsidRPr="00F27104" w:rsidRDefault="00FE79F6" w:rsidP="00FE79F6">
      <w:pPr>
        <w:pStyle w:val="NormalHanging12a"/>
      </w:pPr>
      <w:r w:rsidRPr="00F27104">
        <w:lastRenderedPageBreak/>
        <w:t>1.</w:t>
      </w:r>
      <w:r w:rsidRPr="00F27104">
        <w:tab/>
        <w:t>pripomína, že v článku 127 ZFEÚ sa uvádza, že „hlavným cieľom Európskeho systému centrálnych bánk (ESCB) je udržať cenovú stabilitu. Bez toho, aby bola dotknutá cenová stabilita, ESCB podporuje všeobecné hospodárske politiky v Únii so zámerom prispieť k dosiahnutiu cieľov Únie, ako sú vymedzené v článku 3 Zmluvy o Európskej únii. ESCB koná v súlade so zásadami uvedenými v článku 119 a so zásadou otvoreného trhového hospodárstva s voľnou súťažou, čím sa podporuje efektívne rozdeľovanie zdrojov.“;</w:t>
      </w:r>
    </w:p>
    <w:p w14:paraId="4B41D627" w14:textId="77777777" w:rsidR="00FE79F6" w:rsidRPr="00F27104" w:rsidRDefault="00FE79F6" w:rsidP="00FE79F6">
      <w:pPr>
        <w:pStyle w:val="NormalHanging12a"/>
      </w:pPr>
      <w:r w:rsidRPr="00F27104">
        <w:t>2.</w:t>
      </w:r>
      <w:r w:rsidRPr="00F27104">
        <w:tab/>
        <w:t>zdôrazňuje, že štatutárna nezávislosť ECB, ako je zakotvená v zmluvách, je podmienkou toho, aby si ECB mohla plniť svoj mandát, ktorým je udržiavanie cenovej stability;</w:t>
      </w:r>
    </w:p>
    <w:p w14:paraId="37C16DE9" w14:textId="444B4879" w:rsidR="00FE79F6" w:rsidRPr="00F27104" w:rsidRDefault="00FE79F6" w:rsidP="00FE79F6">
      <w:pPr>
        <w:pStyle w:val="NormalHanging12a"/>
      </w:pPr>
      <w:r w:rsidRPr="00F27104">
        <w:t>3.</w:t>
      </w:r>
      <w:r w:rsidRPr="00F27104">
        <w:tab/>
        <w:t xml:space="preserve">zdôrazňuje, že ECB sa zodpovedá </w:t>
      </w:r>
      <w:r w:rsidR="00630E37" w:rsidRPr="00F27104">
        <w:t>Európskemu p</w:t>
      </w:r>
      <w:r w:rsidRPr="00F27104">
        <w:t>arlamentu; zdôrazňuje, že ECB musí pri plnení svojho mandátu prijímať rozhodnutia bez politického zasahovania; konštatuje, že centrálne banky by mali byť nezávislé, ale nie izolované;</w:t>
      </w:r>
    </w:p>
    <w:p w14:paraId="12A25206" w14:textId="77777777" w:rsidR="00FE79F6" w:rsidRPr="00F27104" w:rsidRDefault="00FE79F6" w:rsidP="00FE79F6">
      <w:pPr>
        <w:pStyle w:val="NormalHanging12a"/>
      </w:pPr>
      <w:r w:rsidRPr="00F27104">
        <w:t>4.</w:t>
      </w:r>
      <w:r w:rsidRPr="00F27104">
        <w:tab/>
        <w:t>poukazuje na to, že pre zodpovednosť je dôležitá transparentnosť a že je potrebné silné inštitucionálne usporiadanie a mechanizmy zodpovednosti; v tejto súvislosti víta dohodu vo forme výmeny listov medzi Európskym parlamentom a ECB o štruktúrovaní postupov interakcie v oblasti centrálneho bankovníctva;</w:t>
      </w:r>
    </w:p>
    <w:p w14:paraId="78316381" w14:textId="77777777" w:rsidR="00FE79F6" w:rsidRPr="00F27104" w:rsidRDefault="00FE79F6" w:rsidP="00FE79F6">
      <w:pPr>
        <w:pStyle w:val="NormalHanging12a"/>
      </w:pPr>
      <w:r w:rsidRPr="00F27104">
        <w:t>5.</w:t>
      </w:r>
      <w:r w:rsidRPr="00F27104">
        <w:tab/>
        <w:t>vyzýva ECB, aby sa usilovala posilniť nástroje, ktoré zvyšujú transparentnosť, ako sú referenčné hodnoty, náhľady do východísk založených na modeloch a hodnotenia vývoja inflácie Radou guvernérov Európskej centrálnej banky;</w:t>
      </w:r>
    </w:p>
    <w:p w14:paraId="19C335F7" w14:textId="77777777" w:rsidR="00FE79F6" w:rsidRPr="00F27104" w:rsidRDefault="00FE79F6" w:rsidP="00FE79F6">
      <w:pPr>
        <w:pStyle w:val="NormalHanging12a"/>
      </w:pPr>
      <w:r w:rsidRPr="00F27104">
        <w:t>6.</w:t>
      </w:r>
      <w:r w:rsidRPr="00F27104">
        <w:tab/>
        <w:t>víta nezávislosť ECB, ktorá je zakotvená v článku 130 ZFEÚ; zdôrazňuje, že nezávislosť si vyžaduje, aby opatrenia ECB boli vždy apolitické;</w:t>
      </w:r>
    </w:p>
    <w:p w14:paraId="7B1D552D" w14:textId="18EE3369" w:rsidR="00461D5B" w:rsidRPr="00F27104" w:rsidRDefault="00461D5B" w:rsidP="00FE79F6">
      <w:pPr>
        <w:pStyle w:val="NormalHanging12a"/>
      </w:pPr>
      <w:r w:rsidRPr="00F27104">
        <w:t>7.</w:t>
      </w:r>
      <w:r w:rsidRPr="00F27104">
        <w:tab/>
        <w:t>súhlasí s vyhlásením ECB a centrálnych bánk po celom svete o solidarite s Federálnym rezervným systémom USA, v ktorom sa zdôrazňuje význam zachovania nezávislosti centrálnej banky pri plnom dodržiavaní zásad právneho štátu a demokratickej zodpovednosti;</w:t>
      </w:r>
    </w:p>
    <w:p w14:paraId="70F9FFFF" w14:textId="77777777" w:rsidR="00FE79F6" w:rsidRPr="00F27104" w:rsidRDefault="00FE79F6" w:rsidP="00FE79F6">
      <w:pPr>
        <w:pStyle w:val="Normal12a"/>
      </w:pPr>
      <w:r w:rsidRPr="00F27104">
        <w:rPr>
          <w:b/>
          <w:i/>
        </w:rPr>
        <w:t>Menová politika</w:t>
      </w:r>
    </w:p>
    <w:p w14:paraId="41DECD7A" w14:textId="05370CA7" w:rsidR="00FE79F6" w:rsidRPr="00F27104" w:rsidRDefault="00461D5B" w:rsidP="00FE79F6">
      <w:pPr>
        <w:pStyle w:val="NormalHanging12a"/>
      </w:pPr>
      <w:r w:rsidRPr="00F27104">
        <w:t>8</w:t>
      </w:r>
      <w:r w:rsidR="00FE79F6" w:rsidRPr="00F27104">
        <w:t>.</w:t>
      </w:r>
      <w:r w:rsidR="00FE79F6" w:rsidRPr="00F27104">
        <w:tab/>
        <w:t>podčiarkuje primárny cieľ ECB udržiavať cenovú stabilitu, ktorá je jednou z nevyhnutných podmienok rastu, konkurencieschopnosti a hospodárskej stability v Únii;</w:t>
      </w:r>
    </w:p>
    <w:p w14:paraId="1B7D9445" w14:textId="2BED1D6A" w:rsidR="00FE79F6" w:rsidRPr="00F27104" w:rsidRDefault="00461D5B" w:rsidP="00FE79F6">
      <w:pPr>
        <w:pStyle w:val="NormalHanging12a"/>
      </w:pPr>
      <w:r w:rsidRPr="00F27104">
        <w:t>9</w:t>
      </w:r>
      <w:r w:rsidR="00FE79F6" w:rsidRPr="00F27104">
        <w:t>.</w:t>
      </w:r>
      <w:r w:rsidR="00FE79F6" w:rsidRPr="00F27104">
        <w:tab/>
        <w:t>vyjadruje znepokojenie nad vysokou úrovňou inflácie v rokoch po pandémii COVID-19 vyvolanej otrasmi na strane ponuky; konštatuje, že ECB mohla svojimi rozhodnutiami v tomto období zaručiť rýchly návrat cenovej stability; vyzýva ECB, aby vo svojej výročnej správe dôkladne posúdila príčiny týchto vysokých úrovní inflácie a vypracovala súbor politických odporúčaní, aby bolo možné vyvodiť z akýchkoľvek budúcich inflačných kríz správne závery;</w:t>
      </w:r>
    </w:p>
    <w:p w14:paraId="3BADD177" w14:textId="428E2E92" w:rsidR="00FE79F6" w:rsidRPr="00F27104" w:rsidRDefault="00461D5B" w:rsidP="00FE79F6">
      <w:pPr>
        <w:pStyle w:val="NormalHanging12a"/>
      </w:pPr>
      <w:r w:rsidRPr="00F27104">
        <w:t>10</w:t>
      </w:r>
      <w:r w:rsidR="00FE79F6" w:rsidRPr="00F27104">
        <w:t>.</w:t>
      </w:r>
      <w:r w:rsidR="00FE79F6" w:rsidRPr="00F27104">
        <w:tab/>
        <w:t>víta pokles inflácie oproti rokom 2022 – 2023, ako aj nedávnu stabilizáciu inflácie; konštatuje, že ECB od júna 2024 do júna 2025 znížila úrokovú sadzbu z vkladov o 200 bázických bodov; uznáva pretrvávajúce riziko opätovného nárastu inflácie; zdôrazňuje, že ďalšie kroky smerom k uvoľňovaniu menovej politiky by mali byť obozretné, založené na údajoch a mali by sa riadiť cenovou stabilitou;</w:t>
      </w:r>
    </w:p>
    <w:p w14:paraId="5077B806" w14:textId="639D6051" w:rsidR="00461D5B" w:rsidRPr="00F27104" w:rsidRDefault="00461D5B" w:rsidP="00FE79F6">
      <w:pPr>
        <w:pStyle w:val="NormalHanging12a"/>
      </w:pPr>
      <w:r w:rsidRPr="00F27104">
        <w:lastRenderedPageBreak/>
        <w:t>11.</w:t>
      </w:r>
      <w:r w:rsidRPr="00F27104">
        <w:tab/>
        <w:t>vyjadruje znepokojenie nad vysokými životnými nákladmi, keďže ceny potravín a energií v Európe od pandémie ochorenia COVID-19 stúpajú; konštatuje, že ceny jedál v eurozóne boli v roku 2025 v priemere o tretinu vyššie ako pred pandémiou</w:t>
      </w:r>
      <w:r w:rsidRPr="00F27104">
        <w:rPr>
          <w:rStyle w:val="FootnoteReference"/>
        </w:rPr>
        <w:footnoteReference w:id="4"/>
      </w:r>
      <w:r w:rsidRPr="00F27104">
        <w:t>, čo pocítili najmä domácnosti s nízkymi príjmami;</w:t>
      </w:r>
    </w:p>
    <w:p w14:paraId="16499721" w14:textId="7B3B890A" w:rsidR="00FE79F6" w:rsidRPr="00F27104" w:rsidRDefault="00461D5B" w:rsidP="00FE79F6">
      <w:pPr>
        <w:pStyle w:val="NormalHanging12a"/>
      </w:pPr>
      <w:r w:rsidRPr="00F27104">
        <w:t>12</w:t>
      </w:r>
      <w:r w:rsidR="00FE79F6" w:rsidRPr="00F27104">
        <w:t>.</w:t>
      </w:r>
      <w:r w:rsidR="00FE79F6" w:rsidRPr="00F27104">
        <w:tab/>
        <w:t>podčiarkuje najmä potenciálne rušivý vplyv geopolitickej neistoty, rizík v oblasti energetickej bezpečnosti a narušení obchodu na vývoj cien;</w:t>
      </w:r>
    </w:p>
    <w:p w14:paraId="203778C0" w14:textId="360537E0" w:rsidR="00FE79F6" w:rsidRPr="00F27104" w:rsidRDefault="00461D5B" w:rsidP="00FE79F6">
      <w:pPr>
        <w:pStyle w:val="NormalHanging12a"/>
      </w:pPr>
      <w:r w:rsidRPr="00F27104">
        <w:t>13</w:t>
      </w:r>
      <w:r w:rsidR="00FE79F6" w:rsidRPr="00F27104">
        <w:t>.</w:t>
      </w:r>
      <w:r w:rsidR="00FE79F6" w:rsidRPr="00F27104">
        <w:tab/>
        <w:t>vyzýva ECB, aby posúdila vhodnosť svojho symetrického cieľa a zohľadnila pritom aj kvalitatívne faktory; berie na vedomie posúdenie stratégie menovej politiky na rok 2025 a nabáda ECB, aby takéto posúdenia vykonávala pravidelne;</w:t>
      </w:r>
    </w:p>
    <w:p w14:paraId="0B20143A" w14:textId="013D4DF1" w:rsidR="00FE79F6" w:rsidRPr="00F27104" w:rsidRDefault="00461D5B" w:rsidP="00FE79F6">
      <w:pPr>
        <w:pStyle w:val="NormalHanging12a"/>
      </w:pPr>
      <w:r w:rsidRPr="00F27104">
        <w:t>14</w:t>
      </w:r>
      <w:r w:rsidR="00FE79F6" w:rsidRPr="00F27104">
        <w:t>.</w:t>
      </w:r>
      <w:r w:rsidR="00FE79F6" w:rsidRPr="00F27104">
        <w:tab/>
        <w:t>zdôrazňuje, že programy nákupu ECB sú nekonvenčné nástroje menovej politiky, ktoré majú vedľajšie účinky; konštatuje najmä, že programy nákupu aktív môžu narušiť cenové signály; konštatuje, že ECB začala zmenšovať svoju súvahu len veľmi pozvoľna; podporuje ECB, aby pokračovala v obmedzovaní svojho priameho zapojenia do nákupu cenných papierov; nabáda ECB, aby postupne ukončovala svoje programy nákupu štátnych dlhopisov; vyjadruje poľutovanie nad vplyvom fiškálnej pozície na plnenie primárneho mandátu ECB;</w:t>
      </w:r>
    </w:p>
    <w:p w14:paraId="68B4AA91" w14:textId="27E3C78E" w:rsidR="00FE79F6" w:rsidRPr="00F27104" w:rsidRDefault="00461D5B" w:rsidP="00FE79F6">
      <w:pPr>
        <w:pStyle w:val="NormalHanging12a"/>
      </w:pPr>
      <w:r w:rsidRPr="00F27104">
        <w:t>15</w:t>
      </w:r>
      <w:r w:rsidR="00FE79F6" w:rsidRPr="00F27104">
        <w:t>.</w:t>
      </w:r>
      <w:r w:rsidR="00FE79F6" w:rsidRPr="00F27104">
        <w:tab/>
        <w:t>vyjadruje poľutovanie nad tým, že od finančnej krízy v roku 2008 systémy ECB pre krátkodobé úvery vo veľkej miere nahradili súkromný trh medzibankového financovania; vyzýva ECB, aby neplatila bankám vkladové úrokové sadzby, ktoré sú vyššie ako trhové sadzby, pretože je to v rozpore so zásadou otvoreného trhového hospodárstva s voľnou hospodárskou súťažou, a aby odstránila všetky prekážky brániace obnove krátkodobých nezabezpečených medzibankových trhov;</w:t>
      </w:r>
    </w:p>
    <w:p w14:paraId="76007109" w14:textId="686B647B" w:rsidR="00FE79F6" w:rsidRPr="00F27104" w:rsidRDefault="00461D5B" w:rsidP="00FE79F6">
      <w:pPr>
        <w:pStyle w:val="NormalHanging12a"/>
      </w:pPr>
      <w:r w:rsidRPr="00F27104">
        <w:t>16</w:t>
      </w:r>
      <w:r w:rsidR="00FE79F6" w:rsidRPr="00F27104">
        <w:t>.</w:t>
      </w:r>
      <w:r w:rsidR="00FE79F6" w:rsidRPr="00F27104">
        <w:tab/>
        <w:t>zdôrazňuje, že je dôležité zabezpečiť vysokú úroveň požiadaviek na kvalitu kolaterálu v úverových dohodách s ECB; uznáva, že štandardy týkajúce sa kolaterálu možno použiť ako nástroj na transmisiu menovej politiky;</w:t>
      </w:r>
    </w:p>
    <w:p w14:paraId="09FD69D9" w14:textId="7AFABC7A" w:rsidR="00FE79F6" w:rsidRPr="00F27104" w:rsidRDefault="00461D5B" w:rsidP="00FE79F6">
      <w:pPr>
        <w:pStyle w:val="NormalHanging12a"/>
      </w:pPr>
      <w:r w:rsidRPr="00F27104">
        <w:t>17</w:t>
      </w:r>
      <w:r w:rsidR="00FE79F6" w:rsidRPr="00F27104">
        <w:t>.</w:t>
      </w:r>
      <w:r w:rsidR="00FE79F6" w:rsidRPr="00F27104">
        <w:tab/>
        <w:t>podporuje ECB v úsilí zahrnúť do monitorovania cenových indexov bývanie vo vlastnom obydlí z dôvodu reprezentatívnosti a porovnateľnosti medzi krajinami eurozóny, čo si vyžaduje harmonizovaný a metodicky spoľahlivý prístup;</w:t>
      </w:r>
    </w:p>
    <w:p w14:paraId="59D25BCF" w14:textId="77777777" w:rsidR="00FE79F6" w:rsidRPr="00F27104" w:rsidRDefault="00FE79F6" w:rsidP="00FE79F6">
      <w:pPr>
        <w:pStyle w:val="Normal12a"/>
      </w:pPr>
      <w:r w:rsidRPr="00F27104">
        <w:rPr>
          <w:b/>
          <w:i/>
        </w:rPr>
        <w:t>Sekundárny cieľ: podpora všeobecných hospodárskych politík v Únii</w:t>
      </w:r>
    </w:p>
    <w:p w14:paraId="7618F3F4" w14:textId="001D8B29" w:rsidR="00FE79F6" w:rsidRPr="00F27104" w:rsidRDefault="00461D5B" w:rsidP="00FE79F6">
      <w:pPr>
        <w:pStyle w:val="NormalHanging12a"/>
      </w:pPr>
      <w:r w:rsidRPr="00F27104">
        <w:t>18</w:t>
      </w:r>
      <w:r w:rsidR="00FE79F6" w:rsidRPr="00F27104">
        <w:t>.</w:t>
      </w:r>
      <w:r w:rsidR="00FE79F6" w:rsidRPr="00F27104">
        <w:tab/>
        <w:t>konštatuje, že ECB musí podľa článku 127 ods. 1 ZFEÚ podporovať všeobecné hospodárske politiky Únie so zámerom prispieť k dosiahnutiu cieľov Únie, ktoré sú vymedzené v článku 3 Zmluvy o EÚ bez toho, aby to malo vplyv na jej povinnosť udržiavať cenovú stabilitu;</w:t>
      </w:r>
    </w:p>
    <w:p w14:paraId="3653DD17" w14:textId="08705AAC" w:rsidR="00FE79F6" w:rsidRPr="00F27104" w:rsidRDefault="00461D5B" w:rsidP="00FE79F6">
      <w:pPr>
        <w:pStyle w:val="NormalHanging12a"/>
      </w:pPr>
      <w:r w:rsidRPr="00F27104">
        <w:t>19</w:t>
      </w:r>
      <w:r w:rsidR="00FE79F6" w:rsidRPr="00F27104">
        <w:t>.</w:t>
      </w:r>
      <w:r w:rsidR="00FE79F6" w:rsidRPr="00F27104">
        <w:tab/>
        <w:t>pripomína, že Eurosystém je postavený na zásade menovej dominantnosti;</w:t>
      </w:r>
    </w:p>
    <w:p w14:paraId="4A55822A" w14:textId="5953237E" w:rsidR="00FE79F6" w:rsidRPr="00F27104" w:rsidRDefault="00461D5B" w:rsidP="00FE79F6">
      <w:pPr>
        <w:pStyle w:val="NormalHanging12a"/>
      </w:pPr>
      <w:r w:rsidRPr="00F27104">
        <w:t>20</w:t>
      </w:r>
      <w:r w:rsidR="00FE79F6" w:rsidRPr="00F27104">
        <w:t>.</w:t>
      </w:r>
      <w:r w:rsidR="00FE79F6" w:rsidRPr="00F27104">
        <w:tab/>
        <w:t xml:space="preserve">v kontexte hospodárskej a menovej únie a rámca správy hospodárskych záležitostí EÚ zdôrazňuje význam zdravých a udržateľných verejných financií pri odolávaní prostrediu s vysokými úrokovými sadzbami, pri dopĺňaní úsilia ECB o udržanie nízkej inflácie, pri </w:t>
      </w:r>
      <w:r w:rsidR="00FE79F6" w:rsidRPr="00F27104">
        <w:lastRenderedPageBreak/>
        <w:t>udržiavaní stabilného hospodárstva a pri zachovávaní odolnosti voči budúcim hospodárskym a finančným otrasom;</w:t>
      </w:r>
    </w:p>
    <w:p w14:paraId="4D6F51AF" w14:textId="65858B07" w:rsidR="00FE79F6" w:rsidRPr="00F27104" w:rsidRDefault="00461D5B" w:rsidP="00FE79F6">
      <w:pPr>
        <w:pStyle w:val="NormalHanging12a"/>
      </w:pPr>
      <w:r w:rsidRPr="00F27104">
        <w:t>21</w:t>
      </w:r>
      <w:r w:rsidR="00FE79F6" w:rsidRPr="00F27104">
        <w:t>.</w:t>
      </w:r>
      <w:r w:rsidR="00FE79F6" w:rsidRPr="00F27104">
        <w:tab/>
        <w:t>berie na vedomie rozdielne zostatky systému TARGET2, ktoré vyplývajú z cezhraničných transakcií; berie na vedomie potenciálne riziká, že zostatky TARGET2 by mohli nadobudnúť štrukturálny charakter, a navrhuje zvážiť úpravy, ktoré sa netýkajú menovej politiky;</w:t>
      </w:r>
    </w:p>
    <w:p w14:paraId="429D8AE7" w14:textId="4F337C89" w:rsidR="00FE79F6" w:rsidRPr="00F27104" w:rsidRDefault="00461D5B" w:rsidP="00FE79F6">
      <w:pPr>
        <w:pStyle w:val="NormalHanging12a"/>
      </w:pPr>
      <w:r w:rsidRPr="00F27104">
        <w:t>22</w:t>
      </w:r>
      <w:r w:rsidR="00FE79F6" w:rsidRPr="00F27104">
        <w:t>.</w:t>
      </w:r>
      <w:r w:rsidR="00FE79F6" w:rsidRPr="00F27104">
        <w:tab/>
        <w:t xml:space="preserve">zdôrazňuje, že ECB by mala </w:t>
      </w:r>
      <w:r w:rsidRPr="00F27104">
        <w:t xml:space="preserve">len </w:t>
      </w:r>
      <w:r w:rsidR="00FE79F6" w:rsidRPr="00F27104">
        <w:t>posúdiť potenciálne účinky zmeny klímy z hľadiska cenovej stability a v rámci svojho mandátu;</w:t>
      </w:r>
    </w:p>
    <w:p w14:paraId="30E6A213" w14:textId="20245109" w:rsidR="00FE79F6" w:rsidRPr="00F27104" w:rsidRDefault="00461D5B" w:rsidP="00FE79F6">
      <w:pPr>
        <w:pStyle w:val="NormalHanging12a"/>
      </w:pPr>
      <w:r w:rsidRPr="00F27104">
        <w:t>23</w:t>
      </w:r>
      <w:r w:rsidR="00FE79F6" w:rsidRPr="00F27104">
        <w:t>.</w:t>
      </w:r>
      <w:r w:rsidR="00FE79F6" w:rsidRPr="00F27104">
        <w:tab/>
        <w:t>konštatuje, že pojem „trhová neutralita“ súvisí so zásadou otvoreného trhového hospodárstva s voľnou súťažou; rešpektuje nezávislosť ECB, ale vyzýva ju, aby riešila zlyhania trhu a zabezpečila efektívne rozdeľovanie zdrojov v dlhodobom horizonte a zároveň zostala v čo najväčšej miere apolitická a rešpektovala trhovú neutralitu; zdôrazňuje, že takéto rozhodnutia sa nesmú prijímať na úkor plnenia mandátu ECB;</w:t>
      </w:r>
    </w:p>
    <w:p w14:paraId="1AE48ACC" w14:textId="2C45952C" w:rsidR="00FE79F6" w:rsidRPr="00F27104" w:rsidRDefault="00461D5B" w:rsidP="00FE79F6">
      <w:pPr>
        <w:pStyle w:val="NormalHanging12a"/>
      </w:pPr>
      <w:r w:rsidRPr="00F27104">
        <w:t>24</w:t>
      </w:r>
      <w:r w:rsidR="00FE79F6" w:rsidRPr="00F27104">
        <w:t>.</w:t>
      </w:r>
      <w:r w:rsidR="00FE79F6" w:rsidRPr="00F27104">
        <w:tab/>
        <w:t>konštatuje, že menové politiky ECB zamerané na plnenie jej hlavného mandátu podliehajú posúdeniu proporcionality;</w:t>
      </w:r>
    </w:p>
    <w:p w14:paraId="48945105" w14:textId="01C0F9D7" w:rsidR="007C52AD" w:rsidRPr="00F27104" w:rsidRDefault="007C52AD" w:rsidP="00F27104">
      <w:pPr>
        <w:pStyle w:val="Normal12a"/>
      </w:pPr>
      <w:r w:rsidRPr="00F27104">
        <w:rPr>
          <w:b/>
          <w:i/>
        </w:rPr>
        <w:t>Iné aspekty</w:t>
      </w:r>
    </w:p>
    <w:p w14:paraId="0D6F0125" w14:textId="047876BB" w:rsidR="00461D5B" w:rsidRPr="00F27104" w:rsidRDefault="00461D5B" w:rsidP="00FE79F6">
      <w:pPr>
        <w:pStyle w:val="NormalHanging12a"/>
      </w:pPr>
      <w:r w:rsidRPr="00F27104">
        <w:t>25.</w:t>
      </w:r>
      <w:r w:rsidRPr="00F27104">
        <w:tab/>
        <w:t xml:space="preserve">pripomína, že rovnaký prístup k platobným službám má zásadný význam pre účasť na hospodárskom živote; zdôrazňuje, že ak sa rastúca digitalizácia platieb ponechá výlučne súkromným aktérom a aktérom z tretích krajín, hrozí vytvorenie nových foriem vylúčenia pre používateľov aj obchodníkov; zdôrazňuje, že digitálne euro, a to online aj </w:t>
      </w:r>
      <w:proofErr w:type="spellStart"/>
      <w:r w:rsidRPr="00F27104">
        <w:t>offline</w:t>
      </w:r>
      <w:proofErr w:type="spellEnd"/>
      <w:r w:rsidRPr="00F27104">
        <w:t>, by malo prispieť k zabezpečeniu všeobecného prístupu k platbám a širokému prijatiu zo strany obchodníkov v celej EÚ pri plnom dodržiavaní noriem ochrany súkromia a údajov;</w:t>
      </w:r>
    </w:p>
    <w:p w14:paraId="33CA92E6" w14:textId="325C75AF" w:rsidR="00FE79F6" w:rsidRPr="00F27104" w:rsidRDefault="00461D5B" w:rsidP="00FE79F6">
      <w:pPr>
        <w:pStyle w:val="NormalHanging12a"/>
      </w:pPr>
      <w:r w:rsidRPr="00F27104">
        <w:t>26</w:t>
      </w:r>
      <w:r w:rsidR="00FE79F6" w:rsidRPr="00F27104">
        <w:t>.</w:t>
      </w:r>
      <w:r w:rsidR="00FE79F6" w:rsidRPr="00F27104">
        <w:tab/>
      </w:r>
      <w:r w:rsidRPr="00F27104">
        <w:t>víta</w:t>
      </w:r>
      <w:r w:rsidR="007C52AD" w:rsidRPr="00F27104">
        <w:t xml:space="preserve"> </w:t>
      </w:r>
      <w:r w:rsidR="00FE79F6" w:rsidRPr="00F27104">
        <w:t>prebiehajúce diskusie o digitálnom eure;</w:t>
      </w:r>
      <w:r w:rsidRPr="00F27104">
        <w:t xml:space="preserve"> zdôrazňuje, že v kontexte zvýšenej geopolitickej neistoty a nadmernej závislosti od platobných infraštruktúr mimo EÚ je zavedenie digitálneho eura, ktoré má dopĺňať hotovostné a súkromné bankové služby, nevyhnutné na posilnenie menovej suverenity EÚ, zníženie fragmentácie </w:t>
      </w:r>
      <w:proofErr w:type="spellStart"/>
      <w:r w:rsidRPr="00F27104">
        <w:t>retailových</w:t>
      </w:r>
      <w:proofErr w:type="spellEnd"/>
      <w:r w:rsidRPr="00F27104">
        <w:t xml:space="preserve"> platieb a podporu integrity a odolnosti jednotného trhu;</w:t>
      </w:r>
    </w:p>
    <w:p w14:paraId="7D724609" w14:textId="201B96AA" w:rsidR="00FE79F6" w:rsidRPr="00F27104" w:rsidRDefault="00461D5B" w:rsidP="00FE79F6">
      <w:pPr>
        <w:pStyle w:val="NormalHanging12a"/>
      </w:pPr>
      <w:r w:rsidRPr="00F27104">
        <w:t>27</w:t>
      </w:r>
      <w:r w:rsidR="00FE79F6" w:rsidRPr="00F27104">
        <w:t>.</w:t>
      </w:r>
      <w:r w:rsidR="00FE79F6" w:rsidRPr="00F27104">
        <w:tab/>
        <w:t>víta prebiehajúce krátkodobé (</w:t>
      </w:r>
      <w:proofErr w:type="spellStart"/>
      <w:r w:rsidR="00FE79F6" w:rsidRPr="00F27104">
        <w:t>Pontes</w:t>
      </w:r>
      <w:proofErr w:type="spellEnd"/>
      <w:r w:rsidR="00FE79F6" w:rsidRPr="00F27104">
        <w:t>) a dlhodobé (</w:t>
      </w:r>
      <w:proofErr w:type="spellStart"/>
      <w:r w:rsidR="00FE79F6" w:rsidRPr="00F27104">
        <w:t>Appia</w:t>
      </w:r>
      <w:proofErr w:type="spellEnd"/>
      <w:r w:rsidR="00FE79F6" w:rsidRPr="00F27104">
        <w:t>) projekty zamerané na technológie distribuovanej databázy transakcií na veľkoobchodné zúčtovanie peňazí centrálnych bánk;</w:t>
      </w:r>
    </w:p>
    <w:p w14:paraId="23F5C839" w14:textId="5D6FB44C" w:rsidR="00FE79F6" w:rsidRPr="00F27104" w:rsidRDefault="00461D5B" w:rsidP="00FE79F6">
      <w:pPr>
        <w:pStyle w:val="NormalHanging12a"/>
      </w:pPr>
      <w:r w:rsidRPr="00F27104">
        <w:t>28</w:t>
      </w:r>
      <w:r w:rsidR="00FE79F6" w:rsidRPr="00F27104">
        <w:t>.</w:t>
      </w:r>
      <w:r w:rsidR="00FE79F6" w:rsidRPr="00F27104">
        <w:tab/>
        <w:t>zdôrazňuje, že je dôležité zachovať úlohu hotovosti; berie na vedomie prebiehajúce diskusie o návrhu týkajúceho sa zákonného platidla;</w:t>
      </w:r>
    </w:p>
    <w:p w14:paraId="270EFD6A" w14:textId="2164BED3" w:rsidR="00FE79F6" w:rsidRPr="00F27104" w:rsidRDefault="00461D5B" w:rsidP="00FE79F6">
      <w:pPr>
        <w:pStyle w:val="NormalHanging12a"/>
      </w:pPr>
      <w:r w:rsidRPr="00F27104">
        <w:t>29</w:t>
      </w:r>
      <w:r w:rsidR="00FE79F6" w:rsidRPr="00F27104">
        <w:t>.</w:t>
      </w:r>
      <w:r w:rsidR="00FE79F6" w:rsidRPr="00F27104">
        <w:tab/>
        <w:t xml:space="preserve">vyzýva ECB, aby zintenzívnila monitorovanie </w:t>
      </w:r>
      <w:proofErr w:type="spellStart"/>
      <w:r w:rsidR="00FE79F6" w:rsidRPr="00F27104">
        <w:t>kryptoaktív</w:t>
      </w:r>
      <w:proofErr w:type="spellEnd"/>
      <w:r w:rsidR="00FE79F6" w:rsidRPr="00F27104">
        <w:t xml:space="preserve">, ako sú </w:t>
      </w:r>
      <w:proofErr w:type="spellStart"/>
      <w:r w:rsidR="00FE79F6" w:rsidRPr="00F27104">
        <w:t>stablecoiny</w:t>
      </w:r>
      <w:proofErr w:type="spellEnd"/>
      <w:r w:rsidR="00FE79F6" w:rsidRPr="00F27104">
        <w:t>;</w:t>
      </w:r>
    </w:p>
    <w:p w14:paraId="051C82A9" w14:textId="30F957C1" w:rsidR="00FE79F6" w:rsidRPr="00F27104" w:rsidRDefault="00461D5B" w:rsidP="00FE79F6">
      <w:pPr>
        <w:pStyle w:val="NormalHanging12a"/>
      </w:pPr>
      <w:r w:rsidRPr="00F27104">
        <w:t>30</w:t>
      </w:r>
      <w:r w:rsidR="00FE79F6" w:rsidRPr="00F27104">
        <w:t>.</w:t>
      </w:r>
      <w:r w:rsidR="00FE79F6" w:rsidRPr="00F27104">
        <w:tab/>
        <w:t xml:space="preserve">podporuje ECB v jej úsilí plniť požiadavky vyplývajúce z medzinárodnej úlohy eura okrem iného dostatočnými menovými swapmi a </w:t>
      </w:r>
      <w:proofErr w:type="spellStart"/>
      <w:r w:rsidR="00FE79F6" w:rsidRPr="00F27104">
        <w:t>repo</w:t>
      </w:r>
      <w:proofErr w:type="spellEnd"/>
      <w:r w:rsidR="00FE79F6" w:rsidRPr="00F27104">
        <w:t xml:space="preserve"> linkami;</w:t>
      </w:r>
    </w:p>
    <w:p w14:paraId="31CD34E2" w14:textId="68A85C4E" w:rsidR="00FE79F6" w:rsidRPr="00F27104" w:rsidRDefault="00461D5B" w:rsidP="00FE79F6">
      <w:pPr>
        <w:pStyle w:val="NormalHanging12a"/>
      </w:pPr>
      <w:r w:rsidRPr="00F27104">
        <w:t>31</w:t>
      </w:r>
      <w:r w:rsidR="00FE79F6" w:rsidRPr="00F27104">
        <w:t>.</w:t>
      </w:r>
      <w:r w:rsidR="00FE79F6" w:rsidRPr="00F27104">
        <w:tab/>
        <w:t>víta Bulharskú republiku ako 21. členskú krajinu eurozóny od 1. januára 2026;</w:t>
      </w:r>
    </w:p>
    <w:p w14:paraId="28729161" w14:textId="1DEA0A55" w:rsidR="00FE79F6" w:rsidRPr="00F27104" w:rsidRDefault="00461D5B" w:rsidP="00FE79F6">
      <w:pPr>
        <w:pStyle w:val="NormalHanging12a"/>
      </w:pPr>
      <w:r w:rsidRPr="00F27104">
        <w:lastRenderedPageBreak/>
        <w:t>32</w:t>
      </w:r>
      <w:r w:rsidR="00FE79F6" w:rsidRPr="00F27104">
        <w:t>.</w:t>
      </w:r>
      <w:r w:rsidR="00FE79F6" w:rsidRPr="00F27104">
        <w:tab/>
        <w:t>vyjadruje znepokojenie nad dočasným výpadkom systému ECB hrubého zúčtovania v reálnom čase T2 a T2S, ku ktorému došlo vo februári 2025; vyzýva ECB, aby dôkladne monitorovala systémy zúčtovania a zabezpečila ich riadne fungovanie;</w:t>
      </w:r>
    </w:p>
    <w:p w14:paraId="4E3FF075" w14:textId="369B2B3B" w:rsidR="00FE79F6" w:rsidRPr="00F27104" w:rsidRDefault="00461D5B" w:rsidP="00FE79F6">
      <w:pPr>
        <w:pStyle w:val="NormalHanging12a"/>
      </w:pPr>
      <w:r w:rsidRPr="00F27104">
        <w:t>33</w:t>
      </w:r>
      <w:r w:rsidR="00FE79F6" w:rsidRPr="00F27104">
        <w:t>.</w:t>
      </w:r>
      <w:r w:rsidR="00FE79F6" w:rsidRPr="00F27104">
        <w:tab/>
        <w:t>vyjadruje znepokojenie nad nepretržitými stratami, ktoré ECB utrpela v rokoch 2023 a 2024 v dôsledku úrokového rizika; konštatuje, že tieto straty neohrozili prevádzkovú schopnosť Eurosystému vykonávať svoju menovú politiku;</w:t>
      </w:r>
    </w:p>
    <w:p w14:paraId="05F89784" w14:textId="79D653CB" w:rsidR="00FE79F6" w:rsidRPr="00F27104" w:rsidRDefault="00461D5B" w:rsidP="00FE79F6">
      <w:pPr>
        <w:pStyle w:val="NormalHanging12a"/>
      </w:pPr>
      <w:r w:rsidRPr="00F27104">
        <w:t>34</w:t>
      </w:r>
      <w:r w:rsidR="00FE79F6" w:rsidRPr="00F27104">
        <w:t>.</w:t>
      </w:r>
      <w:r w:rsidR="00FE79F6" w:rsidRPr="00F27104">
        <w:tab/>
        <w:t>podporuje úlohu ECB pri presadzovaní finančnej stability v rámci jednotného mechanizmu dohľadu a jej funkciu veriteľa poslednej inštancie vo vzťahu k solventným inštitúciám, oproti dobrému kolaterálu a pri uplatnení sankčných sadzieb, s cieľom zabezpečiť likviditu a dôveru počas kríz;</w:t>
      </w:r>
    </w:p>
    <w:p w14:paraId="2CD962B8" w14:textId="2E597906" w:rsidR="00FE79F6" w:rsidRPr="00F27104" w:rsidRDefault="00461D5B" w:rsidP="00FE79F6">
      <w:pPr>
        <w:pStyle w:val="NormalHanging12a"/>
      </w:pPr>
      <w:r w:rsidRPr="00F27104">
        <w:t>35</w:t>
      </w:r>
      <w:r w:rsidR="00FE79F6" w:rsidRPr="00F27104">
        <w:t>.</w:t>
      </w:r>
      <w:r w:rsidR="00FE79F6" w:rsidRPr="00F27104">
        <w:tab/>
        <w:t>podporuje ECB v jej úsilí o zlepšenie finančnej gramotnosti v EÚ;</w:t>
      </w:r>
    </w:p>
    <w:p w14:paraId="2AACF66D" w14:textId="3984B2C6" w:rsidR="00FE79F6" w:rsidRPr="00F27104" w:rsidRDefault="00461D5B" w:rsidP="00FE79F6">
      <w:pPr>
        <w:pStyle w:val="NormalHanging12a"/>
      </w:pPr>
      <w:r w:rsidRPr="00F27104">
        <w:t>36</w:t>
      </w:r>
      <w:r w:rsidR="00FE79F6" w:rsidRPr="00F27104">
        <w:t>.</w:t>
      </w:r>
      <w:r w:rsidR="00FE79F6" w:rsidRPr="00F27104">
        <w:tab/>
        <w:t>víta záväzok ECB vyvíjať úsilie o zjednodušenie, napríklad vytvorením pracovnej skupiny ECB na vysokej úrovni pre zjednodušenie; poukazuje na to, že pracovná skupina musí pri svojej práci a následnej činnosti prejaviť vysokú mieru ambícií, a víta hĺbkové diskusie, ktoré ECB vedie s</w:t>
      </w:r>
      <w:r w:rsidR="00630E37" w:rsidRPr="00F27104">
        <w:t> Európskym p</w:t>
      </w:r>
      <w:r w:rsidR="00FE79F6" w:rsidRPr="00F27104">
        <w:t>arlamentom;</w:t>
      </w:r>
    </w:p>
    <w:p w14:paraId="4876754F" w14:textId="32CB165F" w:rsidR="00FE79F6" w:rsidRPr="00F27104" w:rsidRDefault="00461D5B" w:rsidP="00FE79F6">
      <w:pPr>
        <w:pStyle w:val="NormalHanging12a"/>
      </w:pPr>
      <w:r w:rsidRPr="00F27104">
        <w:t>37</w:t>
      </w:r>
      <w:r w:rsidR="00FE79F6" w:rsidRPr="00F27104">
        <w:t>.</w:t>
      </w:r>
      <w:r w:rsidR="00FE79F6" w:rsidRPr="00F27104">
        <w:tab/>
        <w:t>vyzýva ECB, aby podporovala otvorený a konštruktívny vnútorný dialóg; vyzýva na ďalšie posilnenie rámcov zastúpenia zamestnancov a vnútorného rámca ECB pre oznamovanie protispoločenskej činnosti;</w:t>
      </w:r>
    </w:p>
    <w:p w14:paraId="037F3D02" w14:textId="3425F615" w:rsidR="00FE79F6" w:rsidRPr="00F27104" w:rsidRDefault="00461D5B" w:rsidP="00FE79F6">
      <w:pPr>
        <w:pStyle w:val="NormalHanging12a"/>
      </w:pPr>
      <w:r w:rsidRPr="00F27104">
        <w:t>38</w:t>
      </w:r>
      <w:r w:rsidR="00FE79F6" w:rsidRPr="00F27104">
        <w:t>.</w:t>
      </w:r>
      <w:r w:rsidR="00FE79F6" w:rsidRPr="00F27104">
        <w:tab/>
        <w:t xml:space="preserve">opakuje, že nominácie do výkonnej rady ECB by mali byť rodovo vyvážené, založené na zásluhách a schopnostiach s tým, že užšie zoznamy by sa mali predkladať </w:t>
      </w:r>
      <w:r w:rsidR="00630E37" w:rsidRPr="00F27104">
        <w:t>Európskemu p</w:t>
      </w:r>
      <w:r w:rsidR="00FE79F6" w:rsidRPr="00F27104">
        <w:t>arlamentu, a že ľudia všetkých pohlaví by mali mať rovnaké príležitosti pôsobiť ako guvernéri svojich príslušných národných centrálnych bánk;</w:t>
      </w:r>
    </w:p>
    <w:p w14:paraId="43541905" w14:textId="2F5E469E" w:rsidR="00FE79F6" w:rsidRPr="00F27104" w:rsidRDefault="00461D5B" w:rsidP="00FE79F6">
      <w:pPr>
        <w:pStyle w:val="NormalHanging12a"/>
      </w:pPr>
      <w:r w:rsidRPr="00F27104">
        <w:t>39</w:t>
      </w:r>
      <w:r w:rsidR="00FE79F6" w:rsidRPr="00F27104">
        <w:t>.</w:t>
      </w:r>
      <w:r w:rsidR="00FE79F6" w:rsidRPr="00F27104">
        <w:tab/>
        <w:t>vyzýva ESCB, aby pokračoval v dialógoch s národnými parlamentmi a ďalej ich posilňoval, pretože sa domnieva, že to posilní legitimitu a politiky ESCB;</w:t>
      </w:r>
    </w:p>
    <w:p w14:paraId="0C509D80" w14:textId="77777777" w:rsidR="00FE79F6" w:rsidRPr="00F27104" w:rsidRDefault="00FE79F6" w:rsidP="00FE79F6">
      <w:pPr>
        <w:pStyle w:val="NormalCenter12a"/>
      </w:pPr>
      <w:r w:rsidRPr="00F27104">
        <w:t>°</w:t>
      </w:r>
    </w:p>
    <w:p w14:paraId="0BB6F252" w14:textId="77777777" w:rsidR="00FE79F6" w:rsidRPr="00F27104" w:rsidRDefault="00FE79F6" w:rsidP="00FE79F6">
      <w:pPr>
        <w:pStyle w:val="NormalCenter12a"/>
      </w:pPr>
      <w:r w:rsidRPr="00F27104">
        <w:t>°</w:t>
      </w:r>
      <w:r w:rsidRPr="00F27104">
        <w:tab/>
        <w:t>°</w:t>
      </w:r>
    </w:p>
    <w:p w14:paraId="7A0825F2" w14:textId="6749571B" w:rsidR="00E365E1" w:rsidRPr="00F27104" w:rsidRDefault="00461D5B" w:rsidP="00F27104">
      <w:pPr>
        <w:pStyle w:val="NormalHanging12a"/>
      </w:pPr>
      <w:r w:rsidRPr="00F27104">
        <w:t>40</w:t>
      </w:r>
      <w:r w:rsidR="00FE79F6" w:rsidRPr="00F27104">
        <w:t>.</w:t>
      </w:r>
      <w:r w:rsidR="00FE79F6" w:rsidRPr="00F27104">
        <w:tab/>
        <w:t>poveruje svoju predsedníčku, aby postúpila toto uznesenie Rade a Komisii.</w:t>
      </w:r>
    </w:p>
    <w:sectPr w:rsidR="00E365E1" w:rsidRPr="00F27104" w:rsidSect="00AE06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803C4" w14:textId="77777777" w:rsidR="00431467" w:rsidRPr="00AE069A" w:rsidRDefault="00431467">
      <w:r w:rsidRPr="00AE069A">
        <w:separator/>
      </w:r>
    </w:p>
  </w:endnote>
  <w:endnote w:type="continuationSeparator" w:id="0">
    <w:p w14:paraId="4554BB74" w14:textId="77777777" w:rsidR="00431467" w:rsidRPr="00AE069A" w:rsidRDefault="00431467">
      <w:r w:rsidRPr="00AE06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176E0" w14:textId="77777777" w:rsidR="00064002" w:rsidRPr="00AE06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9419A" w14:textId="77777777" w:rsidR="00064002" w:rsidRPr="00AE06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A9F97" w14:textId="77777777" w:rsidR="00064002" w:rsidRPr="00AE06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51D71" w14:textId="77777777" w:rsidR="00431467" w:rsidRPr="00AE069A" w:rsidRDefault="00431467">
      <w:r w:rsidRPr="00AE069A">
        <w:separator/>
      </w:r>
    </w:p>
  </w:footnote>
  <w:footnote w:type="continuationSeparator" w:id="0">
    <w:p w14:paraId="7D628BC0" w14:textId="77777777" w:rsidR="00431467" w:rsidRPr="00AE069A" w:rsidRDefault="00431467">
      <w:r w:rsidRPr="00AE069A">
        <w:continuationSeparator/>
      </w:r>
    </w:p>
  </w:footnote>
  <w:footnote w:id="1">
    <w:p w14:paraId="4216E6A2" w14:textId="73FA9B44" w:rsidR="00F27104" w:rsidRPr="00F27104" w:rsidRDefault="00F27104" w:rsidP="00F27104">
      <w:pPr>
        <w:pStyle w:val="FootnoteText"/>
        <w:ind w:left="567" w:hanging="567"/>
        <w:rPr>
          <w:sz w:val="24"/>
          <w:szCs w:val="24"/>
          <w:lang w:val="sk-SK"/>
        </w:rPr>
      </w:pPr>
      <w:r w:rsidRPr="00F27104">
        <w:rPr>
          <w:rStyle w:val="FootnoteReference"/>
          <w:sz w:val="24"/>
          <w:szCs w:val="24"/>
        </w:rPr>
        <w:footnoteRef/>
      </w:r>
      <w:r w:rsidRPr="00F27104">
        <w:rPr>
          <w:sz w:val="24"/>
          <w:szCs w:val="24"/>
          <w:lang w:val="en-GB"/>
        </w:rPr>
        <w:t xml:space="preserve"> </w:t>
      </w:r>
      <w:r w:rsidRPr="00F27104">
        <w:rPr>
          <w:sz w:val="24"/>
          <w:szCs w:val="24"/>
          <w:lang w:val="sk-SK"/>
        </w:rPr>
        <w:tab/>
      </w:r>
      <w:r w:rsidRPr="00F27104">
        <w:rPr>
          <w:sz w:val="24"/>
          <w:szCs w:val="24"/>
          <w:lang w:val="sk-SK"/>
        </w:rPr>
        <w:t xml:space="preserve">Brífing – </w:t>
      </w:r>
      <w:proofErr w:type="spellStart"/>
      <w:r w:rsidRPr="00F27104">
        <w:rPr>
          <w:sz w:val="24"/>
          <w:szCs w:val="24"/>
          <w:lang w:val="sk-SK"/>
        </w:rPr>
        <w:t>Turning</w:t>
      </w:r>
      <w:proofErr w:type="spellEnd"/>
      <w:r w:rsidRPr="00F27104">
        <w:rPr>
          <w:sz w:val="24"/>
          <w:szCs w:val="24"/>
          <w:lang w:val="sk-SK"/>
        </w:rPr>
        <w:t xml:space="preserve"> Point or </w:t>
      </w:r>
      <w:proofErr w:type="spellStart"/>
      <w:r w:rsidRPr="00F27104">
        <w:rPr>
          <w:sz w:val="24"/>
          <w:szCs w:val="24"/>
          <w:lang w:val="sk-SK"/>
        </w:rPr>
        <w:t>continuity</w:t>
      </w:r>
      <w:proofErr w:type="spellEnd"/>
      <w:r w:rsidRPr="00F27104">
        <w:rPr>
          <w:sz w:val="24"/>
          <w:szCs w:val="24"/>
          <w:lang w:val="sk-SK"/>
        </w:rPr>
        <w:t xml:space="preserve">? </w:t>
      </w:r>
      <w:proofErr w:type="spellStart"/>
      <w:r w:rsidRPr="00F27104">
        <w:rPr>
          <w:sz w:val="24"/>
          <w:szCs w:val="24"/>
          <w:lang w:val="sk-SK"/>
        </w:rPr>
        <w:t>The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ECB’s</w:t>
      </w:r>
      <w:proofErr w:type="spellEnd"/>
      <w:r w:rsidRPr="00F27104">
        <w:rPr>
          <w:sz w:val="24"/>
          <w:szCs w:val="24"/>
          <w:lang w:val="sk-SK"/>
        </w:rPr>
        <w:t xml:space="preserve"> 2025 </w:t>
      </w:r>
      <w:proofErr w:type="spellStart"/>
      <w:r w:rsidRPr="00F27104">
        <w:rPr>
          <w:sz w:val="24"/>
          <w:szCs w:val="24"/>
          <w:lang w:val="sk-SK"/>
        </w:rPr>
        <w:t>strategy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review</w:t>
      </w:r>
      <w:proofErr w:type="spellEnd"/>
      <w:r w:rsidRPr="00F27104">
        <w:rPr>
          <w:sz w:val="24"/>
          <w:szCs w:val="24"/>
          <w:lang w:val="sk-SK"/>
        </w:rPr>
        <w:t xml:space="preserve"> (Prelomový bod alebo kontinuita? Preskúmanie stratégie ECB 2025), Európsky parlament, generálne riaditeľstvo pre hospodárstvo, transformáciu a priemysel, oddelenie pre kontrolu správy hospodárskych záležitostí a HMÚ (EGOV), október 2025.</w:t>
      </w:r>
    </w:p>
  </w:footnote>
  <w:footnote w:id="2">
    <w:p w14:paraId="573E16B9" w14:textId="22945621" w:rsidR="00F27104" w:rsidRPr="00F27104" w:rsidRDefault="00F27104" w:rsidP="00F27104">
      <w:pPr>
        <w:pStyle w:val="FootnoteText"/>
        <w:ind w:left="567" w:hanging="567"/>
        <w:rPr>
          <w:sz w:val="24"/>
          <w:szCs w:val="24"/>
          <w:lang w:val="sk-SK"/>
        </w:rPr>
      </w:pPr>
      <w:r w:rsidRPr="00F27104">
        <w:rPr>
          <w:rStyle w:val="FootnoteReference"/>
          <w:sz w:val="24"/>
          <w:szCs w:val="24"/>
        </w:rPr>
        <w:footnoteRef/>
      </w:r>
      <w:r w:rsidRPr="00F27104">
        <w:rPr>
          <w:sz w:val="24"/>
          <w:szCs w:val="24"/>
          <w:lang w:val="sk-SK"/>
        </w:rPr>
        <w:t xml:space="preserve"> </w:t>
      </w:r>
      <w:r w:rsidRPr="00F27104">
        <w:rPr>
          <w:sz w:val="24"/>
          <w:szCs w:val="24"/>
          <w:lang w:val="sk-SK"/>
        </w:rPr>
        <w:tab/>
      </w:r>
      <w:r w:rsidRPr="00F27104">
        <w:rPr>
          <w:sz w:val="24"/>
          <w:szCs w:val="24"/>
          <w:lang w:val="sk-SK"/>
        </w:rPr>
        <w:t xml:space="preserve">Hĺbková analýza – </w:t>
      </w:r>
      <w:proofErr w:type="spellStart"/>
      <w:r w:rsidRPr="00F27104">
        <w:rPr>
          <w:sz w:val="24"/>
          <w:szCs w:val="24"/>
          <w:lang w:val="sk-SK"/>
        </w:rPr>
        <w:t>The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silent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hand</w:t>
      </w:r>
      <w:proofErr w:type="spellEnd"/>
      <w:r w:rsidRPr="00F27104">
        <w:rPr>
          <w:sz w:val="24"/>
          <w:szCs w:val="24"/>
          <w:lang w:val="sk-SK"/>
        </w:rPr>
        <w:t xml:space="preserve"> of </w:t>
      </w:r>
      <w:proofErr w:type="spellStart"/>
      <w:r w:rsidRPr="00F27104">
        <w:rPr>
          <w:sz w:val="24"/>
          <w:szCs w:val="24"/>
          <w:lang w:val="sk-SK"/>
        </w:rPr>
        <w:t>central</w:t>
      </w:r>
      <w:proofErr w:type="spellEnd"/>
      <w:r w:rsidRPr="00F27104">
        <w:rPr>
          <w:sz w:val="24"/>
          <w:szCs w:val="24"/>
          <w:lang w:val="sk-SK"/>
        </w:rPr>
        <w:t xml:space="preserve"> banking: </w:t>
      </w:r>
      <w:proofErr w:type="spellStart"/>
      <w:r w:rsidRPr="00F27104">
        <w:rPr>
          <w:sz w:val="24"/>
          <w:szCs w:val="24"/>
          <w:lang w:val="sk-SK"/>
        </w:rPr>
        <w:t>collateral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framework</w:t>
      </w:r>
      <w:proofErr w:type="spellEnd"/>
      <w:r w:rsidRPr="00F27104">
        <w:rPr>
          <w:sz w:val="24"/>
          <w:szCs w:val="24"/>
          <w:lang w:val="sk-SK"/>
        </w:rPr>
        <w:t xml:space="preserve"> (Nenápadná ruka centrálneho bankovníctva: rámec pre kolaterál), Európsky parlament, generálne riaditeľstvo pre hospodárstvo, transformáciu a priemysel, EGOV, jún 2025.</w:t>
      </w:r>
    </w:p>
  </w:footnote>
  <w:footnote w:id="3">
    <w:p w14:paraId="38485DBE" w14:textId="258688DF" w:rsidR="00F27104" w:rsidRPr="00F27104" w:rsidRDefault="00F27104" w:rsidP="00F27104">
      <w:pPr>
        <w:pStyle w:val="FootnoteText"/>
        <w:ind w:left="567" w:hanging="567"/>
        <w:rPr>
          <w:sz w:val="24"/>
          <w:szCs w:val="24"/>
          <w:lang w:val="sk-SK"/>
        </w:rPr>
      </w:pPr>
      <w:r w:rsidRPr="00F27104">
        <w:rPr>
          <w:rStyle w:val="FootnoteReference"/>
          <w:sz w:val="24"/>
          <w:szCs w:val="24"/>
        </w:rPr>
        <w:footnoteRef/>
      </w:r>
      <w:r w:rsidRPr="00F27104">
        <w:rPr>
          <w:sz w:val="24"/>
          <w:szCs w:val="24"/>
          <w:lang w:val="sk-SK"/>
        </w:rPr>
        <w:t xml:space="preserve"> </w:t>
      </w:r>
      <w:r w:rsidRPr="00F27104">
        <w:rPr>
          <w:sz w:val="24"/>
          <w:szCs w:val="24"/>
          <w:lang w:val="sk-SK"/>
        </w:rPr>
        <w:tab/>
      </w:r>
      <w:proofErr w:type="spellStart"/>
      <w:r w:rsidRPr="00F27104">
        <w:rPr>
          <w:sz w:val="24"/>
          <w:szCs w:val="24"/>
          <w:lang w:val="sk-SK"/>
        </w:rPr>
        <w:t>Cochrane</w:t>
      </w:r>
      <w:proofErr w:type="spellEnd"/>
      <w:r w:rsidRPr="00F27104">
        <w:rPr>
          <w:sz w:val="24"/>
          <w:szCs w:val="24"/>
          <w:lang w:val="sk-SK"/>
        </w:rPr>
        <w:t xml:space="preserve">, J.H. a kol., </w:t>
      </w:r>
      <w:proofErr w:type="spellStart"/>
      <w:r w:rsidRPr="00F27104">
        <w:rPr>
          <w:sz w:val="24"/>
          <w:szCs w:val="24"/>
          <w:lang w:val="sk-SK"/>
        </w:rPr>
        <w:t>Crisis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Cycle</w:t>
      </w:r>
      <w:proofErr w:type="spellEnd"/>
      <w:r w:rsidRPr="00F27104">
        <w:rPr>
          <w:sz w:val="24"/>
          <w:szCs w:val="24"/>
          <w:lang w:val="sk-SK"/>
        </w:rPr>
        <w:t xml:space="preserve">: </w:t>
      </w:r>
      <w:proofErr w:type="spellStart"/>
      <w:r w:rsidRPr="00F27104">
        <w:rPr>
          <w:sz w:val="24"/>
          <w:szCs w:val="24"/>
          <w:lang w:val="sk-SK"/>
        </w:rPr>
        <w:t>Challenges</w:t>
      </w:r>
      <w:proofErr w:type="spellEnd"/>
      <w:r w:rsidRPr="00F27104">
        <w:rPr>
          <w:sz w:val="24"/>
          <w:szCs w:val="24"/>
          <w:lang w:val="sk-SK"/>
        </w:rPr>
        <w:t xml:space="preserve">, </w:t>
      </w:r>
      <w:proofErr w:type="spellStart"/>
      <w:r w:rsidRPr="00F27104">
        <w:rPr>
          <w:sz w:val="24"/>
          <w:szCs w:val="24"/>
          <w:lang w:val="sk-SK"/>
        </w:rPr>
        <w:t>Evolution</w:t>
      </w:r>
      <w:proofErr w:type="spellEnd"/>
      <w:r w:rsidRPr="00F27104">
        <w:rPr>
          <w:sz w:val="24"/>
          <w:szCs w:val="24"/>
          <w:lang w:val="sk-SK"/>
        </w:rPr>
        <w:t xml:space="preserve">, and </w:t>
      </w:r>
      <w:proofErr w:type="spellStart"/>
      <w:r w:rsidRPr="00F27104">
        <w:rPr>
          <w:sz w:val="24"/>
          <w:szCs w:val="24"/>
          <w:lang w:val="sk-SK"/>
        </w:rPr>
        <w:t>Future</w:t>
      </w:r>
      <w:proofErr w:type="spellEnd"/>
      <w:r w:rsidRPr="00F27104">
        <w:rPr>
          <w:sz w:val="24"/>
          <w:szCs w:val="24"/>
          <w:lang w:val="sk-SK"/>
        </w:rPr>
        <w:t xml:space="preserve"> of </w:t>
      </w:r>
      <w:proofErr w:type="spellStart"/>
      <w:r w:rsidRPr="00F27104">
        <w:rPr>
          <w:sz w:val="24"/>
          <w:szCs w:val="24"/>
          <w:lang w:val="sk-SK"/>
        </w:rPr>
        <w:t>the</w:t>
      </w:r>
      <w:proofErr w:type="spellEnd"/>
      <w:r w:rsidRPr="00F27104">
        <w:rPr>
          <w:sz w:val="24"/>
          <w:szCs w:val="24"/>
          <w:lang w:val="sk-SK"/>
        </w:rPr>
        <w:t xml:space="preserve"> Euro (Cyklus kríz: výzvy, vývoj a budúcnosť eura), </w:t>
      </w:r>
      <w:proofErr w:type="spellStart"/>
      <w:r w:rsidRPr="00F27104">
        <w:rPr>
          <w:sz w:val="24"/>
          <w:szCs w:val="24"/>
          <w:lang w:val="sk-SK"/>
        </w:rPr>
        <w:t>Princeton</w:t>
      </w:r>
      <w:proofErr w:type="spellEnd"/>
      <w:r w:rsidRPr="00F27104">
        <w:rPr>
          <w:sz w:val="24"/>
          <w:szCs w:val="24"/>
          <w:lang w:val="sk-SK"/>
        </w:rPr>
        <w:t xml:space="preserve"> </w:t>
      </w:r>
      <w:proofErr w:type="spellStart"/>
      <w:r w:rsidRPr="00F27104">
        <w:rPr>
          <w:sz w:val="24"/>
          <w:szCs w:val="24"/>
          <w:lang w:val="sk-SK"/>
        </w:rPr>
        <w:t>University</w:t>
      </w:r>
      <w:proofErr w:type="spellEnd"/>
      <w:r w:rsidRPr="00F27104">
        <w:rPr>
          <w:sz w:val="24"/>
          <w:szCs w:val="24"/>
          <w:lang w:val="sk-SK"/>
        </w:rPr>
        <w:t xml:space="preserve"> Press, 2025.</w:t>
      </w:r>
    </w:p>
  </w:footnote>
  <w:footnote w:id="4">
    <w:p w14:paraId="4E466283" w14:textId="176638BB" w:rsidR="00461D5B" w:rsidRPr="00F27104" w:rsidRDefault="00461D5B" w:rsidP="00F27104">
      <w:pPr>
        <w:pStyle w:val="FootnoteText"/>
        <w:ind w:left="567" w:hanging="567"/>
        <w:rPr>
          <w:sz w:val="24"/>
          <w:szCs w:val="24"/>
          <w:lang w:val="sk-SK"/>
        </w:rPr>
      </w:pPr>
      <w:r w:rsidRPr="00F27104">
        <w:rPr>
          <w:rStyle w:val="FootnoteReference"/>
          <w:sz w:val="24"/>
          <w:szCs w:val="24"/>
        </w:rPr>
        <w:footnoteRef/>
      </w:r>
      <w:r w:rsidRPr="00F27104">
        <w:rPr>
          <w:sz w:val="24"/>
          <w:szCs w:val="24"/>
          <w:lang w:val="sk-SK"/>
        </w:rPr>
        <w:t xml:space="preserve"> </w:t>
      </w:r>
      <w:r w:rsidRPr="00F27104">
        <w:rPr>
          <w:sz w:val="24"/>
          <w:szCs w:val="24"/>
          <w:lang w:val="sk-SK"/>
        </w:rPr>
        <w:tab/>
      </w:r>
      <w:hyperlink r:id="rId1" w:history="1">
        <w:r w:rsidRPr="00F27104">
          <w:rPr>
            <w:rStyle w:val="Hyperlink"/>
            <w:sz w:val="24"/>
            <w:szCs w:val="24"/>
            <w:lang w:val="sk-SK"/>
          </w:rPr>
          <w:t>Blog Európskej centrálnej banky, „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When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groceries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bite,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the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role of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food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prices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for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inflation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in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the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 xml:space="preserve"> euro </w:t>
        </w:r>
        <w:proofErr w:type="spellStart"/>
        <w:r w:rsidRPr="00F27104">
          <w:rPr>
            <w:rStyle w:val="Hyperlink"/>
            <w:sz w:val="24"/>
            <w:szCs w:val="24"/>
            <w:lang w:val="sk-SK"/>
          </w:rPr>
          <w:t>area</w:t>
        </w:r>
        <w:proofErr w:type="spellEnd"/>
        <w:r w:rsidRPr="00F27104">
          <w:rPr>
            <w:rStyle w:val="Hyperlink"/>
            <w:sz w:val="24"/>
            <w:szCs w:val="24"/>
            <w:lang w:val="sk-SK"/>
          </w:rPr>
          <w:t>“ (Keď potraviny bolia – úloha cien potravín z hľadiska inflácie v eurozóne), 25. september 2025</w:t>
        </w:r>
      </w:hyperlink>
      <w:r w:rsidRPr="00F27104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54A9" w14:textId="77777777" w:rsidR="00064002" w:rsidRPr="00AE06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76C9" w14:textId="77777777" w:rsidR="00064002" w:rsidRPr="00AE06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A3907" w14:textId="77777777" w:rsidR="00064002" w:rsidRPr="00AE06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9135920">
    <w:abstractNumId w:val="9"/>
  </w:num>
  <w:num w:numId="2" w16cid:durableId="1724600931">
    <w:abstractNumId w:val="9"/>
  </w:num>
  <w:num w:numId="3" w16cid:durableId="1256523205">
    <w:abstractNumId w:val="7"/>
  </w:num>
  <w:num w:numId="4" w16cid:durableId="1620523502">
    <w:abstractNumId w:val="7"/>
  </w:num>
  <w:num w:numId="5" w16cid:durableId="1517815701">
    <w:abstractNumId w:val="6"/>
  </w:num>
  <w:num w:numId="6" w16cid:durableId="340086397">
    <w:abstractNumId w:val="6"/>
  </w:num>
  <w:num w:numId="7" w16cid:durableId="677655176">
    <w:abstractNumId w:val="5"/>
  </w:num>
  <w:num w:numId="8" w16cid:durableId="1711568707">
    <w:abstractNumId w:val="5"/>
  </w:num>
  <w:num w:numId="9" w16cid:durableId="983659305">
    <w:abstractNumId w:val="4"/>
  </w:num>
  <w:num w:numId="10" w16cid:durableId="1638485592">
    <w:abstractNumId w:val="4"/>
  </w:num>
  <w:num w:numId="11" w16cid:durableId="1339233399">
    <w:abstractNumId w:val="8"/>
  </w:num>
  <w:num w:numId="12" w16cid:durableId="2142310542">
    <w:abstractNumId w:val="8"/>
  </w:num>
  <w:num w:numId="13" w16cid:durableId="281424287">
    <w:abstractNumId w:val="3"/>
  </w:num>
  <w:num w:numId="14" w16cid:durableId="523710096">
    <w:abstractNumId w:val="3"/>
  </w:num>
  <w:num w:numId="15" w16cid:durableId="1546940588">
    <w:abstractNumId w:val="2"/>
  </w:num>
  <w:num w:numId="16" w16cid:durableId="486748253">
    <w:abstractNumId w:val="2"/>
  </w:num>
  <w:num w:numId="17" w16cid:durableId="1414159703">
    <w:abstractNumId w:val="1"/>
  </w:num>
  <w:num w:numId="18" w16cid:durableId="94132573">
    <w:abstractNumId w:val="1"/>
  </w:num>
  <w:num w:numId="19" w16cid:durableId="465199455">
    <w:abstractNumId w:val="0"/>
  </w:num>
  <w:num w:numId="20" w16cid:durableId="845094616">
    <w:abstractNumId w:val="0"/>
  </w:num>
  <w:num w:numId="21" w16cid:durableId="554703332">
    <w:abstractNumId w:val="9"/>
  </w:num>
  <w:num w:numId="22" w16cid:durableId="1523544039">
    <w:abstractNumId w:val="7"/>
  </w:num>
  <w:num w:numId="23" w16cid:durableId="225803265">
    <w:abstractNumId w:val="6"/>
  </w:num>
  <w:num w:numId="24" w16cid:durableId="1872567458">
    <w:abstractNumId w:val="5"/>
  </w:num>
  <w:num w:numId="25" w16cid:durableId="1694064263">
    <w:abstractNumId w:val="4"/>
  </w:num>
  <w:num w:numId="26" w16cid:durableId="367681886">
    <w:abstractNumId w:val="8"/>
  </w:num>
  <w:num w:numId="27" w16cid:durableId="1137651445">
    <w:abstractNumId w:val="3"/>
  </w:num>
  <w:num w:numId="28" w16cid:durableId="1315599851">
    <w:abstractNumId w:val="2"/>
  </w:num>
  <w:num w:numId="29" w16cid:durableId="1234195797">
    <w:abstractNumId w:val="1"/>
  </w:num>
  <w:num w:numId="30" w16cid:durableId="1359358828">
    <w:abstractNumId w:val="0"/>
  </w:num>
  <w:num w:numId="31" w16cid:durableId="972491357">
    <w:abstractNumId w:val="9"/>
  </w:num>
  <w:num w:numId="32" w16cid:durableId="1307780821">
    <w:abstractNumId w:val="7"/>
  </w:num>
  <w:num w:numId="33" w16cid:durableId="718939657">
    <w:abstractNumId w:val="6"/>
  </w:num>
  <w:num w:numId="34" w16cid:durableId="1259947144">
    <w:abstractNumId w:val="5"/>
  </w:num>
  <w:num w:numId="35" w16cid:durableId="1497452372">
    <w:abstractNumId w:val="4"/>
  </w:num>
  <w:num w:numId="36" w16cid:durableId="1143234596">
    <w:abstractNumId w:val="8"/>
  </w:num>
  <w:num w:numId="37" w16cid:durableId="500046935">
    <w:abstractNumId w:val="3"/>
  </w:num>
  <w:num w:numId="38" w16cid:durableId="1286960124">
    <w:abstractNumId w:val="2"/>
  </w:num>
  <w:num w:numId="39" w16cid:durableId="990327816">
    <w:abstractNumId w:val="1"/>
  </w:num>
  <w:num w:numId="40" w16cid:durableId="1941714506">
    <w:abstractNumId w:val="0"/>
  </w:num>
  <w:num w:numId="41" w16cid:durableId="554316808">
    <w:abstractNumId w:val="10"/>
  </w:num>
  <w:num w:numId="42" w16cid:durableId="1317686455">
    <w:abstractNumId w:val="10"/>
  </w:num>
  <w:num w:numId="43" w16cid:durableId="501244414">
    <w:abstractNumId w:val="10"/>
  </w:num>
  <w:num w:numId="44" w16cid:durableId="2687032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2/2026"/>
    <w:docVar w:name="dvlangue" w:val="SK"/>
    <w:docVar w:name="dvnumam" w:val="0"/>
    <w:docVar w:name="dvpe" w:val="778.306"/>
    <w:docVar w:name="dvrapporteur" w:val="Spravodajca: "/>
    <w:docVar w:name="dvtitre" w:val="Uznesenie Európskeho parlamentu z/zo xx. xxx 2026 o výročnej správe Európskej centrálnej banky za rok 2025(2025/2182(INI))"/>
  </w:docVars>
  <w:rsids>
    <w:rsidRoot w:val="00431467"/>
    <w:rsid w:val="00002272"/>
    <w:rsid w:val="00025A90"/>
    <w:rsid w:val="00064002"/>
    <w:rsid w:val="000677B9"/>
    <w:rsid w:val="000831BA"/>
    <w:rsid w:val="000A42CC"/>
    <w:rsid w:val="000E7DD9"/>
    <w:rsid w:val="0010095E"/>
    <w:rsid w:val="00125B37"/>
    <w:rsid w:val="00187494"/>
    <w:rsid w:val="001D647F"/>
    <w:rsid w:val="001F32AE"/>
    <w:rsid w:val="00215B5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467"/>
    <w:rsid w:val="00461D5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0E37"/>
    <w:rsid w:val="006557F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2AD"/>
    <w:rsid w:val="007D1690"/>
    <w:rsid w:val="007E22AD"/>
    <w:rsid w:val="00807D0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2CD"/>
    <w:rsid w:val="009C34B0"/>
    <w:rsid w:val="009F54B3"/>
    <w:rsid w:val="00A1687D"/>
    <w:rsid w:val="00A43E52"/>
    <w:rsid w:val="00A4678D"/>
    <w:rsid w:val="00A778C7"/>
    <w:rsid w:val="00AB441E"/>
    <w:rsid w:val="00AB6293"/>
    <w:rsid w:val="00AE069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83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104"/>
    <w:rsid w:val="00F5134D"/>
    <w:rsid w:val="00F53794"/>
    <w:rsid w:val="00F74202"/>
    <w:rsid w:val="00F87713"/>
    <w:rsid w:val="00FB4360"/>
    <w:rsid w:val="00FD0C70"/>
    <w:rsid w:val="00FE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B801D"/>
  <w15:chartTrackingRefBased/>
  <w15:docId w15:val="{99E14117-397D-437F-B035-CB75FE6C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E79F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E79F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E79F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E79F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E79F6"/>
    <w:pPr>
      <w:widowControl/>
      <w:spacing w:after="240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9C34B0"/>
    <w:rPr>
      <w:sz w:val="24"/>
      <w:lang w:val="sk-SK"/>
    </w:rPr>
  </w:style>
  <w:style w:type="character" w:styleId="Hyperlink">
    <w:name w:val="Hyperlink"/>
    <w:basedOn w:val="DefaultParagraphFont"/>
    <w:rsid w:val="00461D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cb.europa.eu/press/blog/date/2025/html/ecb.blog20250925~7fd65a388a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1928</Words>
  <Characters>11511</Characters>
  <Application>Microsoft Office Word</Application>
  <DocSecurity>0</DocSecurity>
  <Lines>548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2026-02-10T14:16:00Z</dcterms:created>
  <dcterms:modified xsi:type="dcterms:W3CDTF">2026-02-10T14:16:00Z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A10-0002/2026</vt:lpwstr>
  </property>
  <property fmtid="{D5CDD505-2E9C-101B-9397-08002B2CF9AE}" pid="4" name="&lt;Type&gt;">
    <vt:lpwstr>RR</vt:lpwstr>
  </property>
</Properties>
</file>