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467B" w14:paraId="3792035A" w14:textId="77777777" w:rsidTr="0010095E">
        <w:trPr>
          <w:trHeight w:hRule="exact" w:val="1418"/>
        </w:trPr>
        <w:tc>
          <w:tcPr>
            <w:tcW w:w="6804" w:type="dxa"/>
            <w:shd w:val="clear" w:color="auto" w:fill="auto"/>
            <w:vAlign w:val="center"/>
          </w:tcPr>
          <w:p w14:paraId="25845120" w14:textId="77777777" w:rsidR="00751A4A" w:rsidRPr="001F467B" w:rsidRDefault="00B27243" w:rsidP="0010095E">
            <w:pPr>
              <w:pStyle w:val="EPName"/>
            </w:pPr>
            <w:r w:rsidRPr="001F467B">
              <w:t>Europaparlamentet</w:t>
            </w:r>
          </w:p>
          <w:p w14:paraId="6028EECC" w14:textId="77777777" w:rsidR="00751A4A" w:rsidRPr="001F467B" w:rsidRDefault="005F1B17" w:rsidP="005F1B17">
            <w:pPr>
              <w:pStyle w:val="EPTerm"/>
              <w:rPr>
                <w:rStyle w:val="HideTWBExt"/>
                <w:noProof w:val="0"/>
                <w:vanish w:val="0"/>
                <w:color w:val="auto"/>
              </w:rPr>
            </w:pPr>
            <w:r w:rsidRPr="001F467B">
              <w:t>2024</w:t>
            </w:r>
            <w:r w:rsidR="00817416" w:rsidRPr="001F467B">
              <w:t>-202</w:t>
            </w:r>
            <w:r w:rsidRPr="001F467B">
              <w:t>9</w:t>
            </w:r>
          </w:p>
        </w:tc>
        <w:tc>
          <w:tcPr>
            <w:tcW w:w="2268" w:type="dxa"/>
            <w:shd w:val="clear" w:color="auto" w:fill="auto"/>
          </w:tcPr>
          <w:p w14:paraId="1D5DEE77" w14:textId="77777777" w:rsidR="00751A4A" w:rsidRPr="001F467B" w:rsidRDefault="00187494" w:rsidP="0010095E">
            <w:pPr>
              <w:pStyle w:val="EPLogo"/>
            </w:pPr>
            <w:r w:rsidRPr="001F467B">
              <w:rPr>
                <w:noProof/>
                <w:lang w:eastAsia="ja-JP"/>
              </w:rPr>
              <w:drawing>
                <wp:inline distT="0" distB="0" distL="0" distR="0" wp14:anchorId="085FA2CB" wp14:editId="57F4FE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976F68" w14:textId="77777777" w:rsidR="00D058B8" w:rsidRPr="001F467B" w:rsidRDefault="00D058B8" w:rsidP="004C5D52">
      <w:pPr>
        <w:pStyle w:val="LineTop"/>
      </w:pPr>
    </w:p>
    <w:p w14:paraId="0799CF36" w14:textId="77777777" w:rsidR="00680577" w:rsidRPr="001F467B" w:rsidRDefault="00B27243" w:rsidP="00680577">
      <w:pPr>
        <w:pStyle w:val="EPBodyTA1"/>
      </w:pPr>
      <w:r w:rsidRPr="001F467B">
        <w:t>ANTAGNA TEXTER</w:t>
      </w:r>
    </w:p>
    <w:p w14:paraId="32AF09C8" w14:textId="77777777" w:rsidR="00D058B8" w:rsidRPr="001F467B" w:rsidRDefault="00D058B8" w:rsidP="00D058B8">
      <w:pPr>
        <w:pStyle w:val="LineBottom"/>
      </w:pPr>
    </w:p>
    <w:p w14:paraId="00171C38" w14:textId="33E90174" w:rsidR="00B27243" w:rsidRPr="001F467B" w:rsidRDefault="00B27243" w:rsidP="00B27243">
      <w:pPr>
        <w:pStyle w:val="ATHeading1"/>
      </w:pPr>
      <w:bookmarkStart w:id="0" w:name="TANumber"/>
      <w:r w:rsidRPr="001F467B">
        <w:t>P10_TA(2026)</w:t>
      </w:r>
      <w:bookmarkEnd w:id="0"/>
      <w:r w:rsidR="00B103A5" w:rsidRPr="001F467B">
        <w:t>00</w:t>
      </w:r>
      <w:r w:rsidR="00B103A5">
        <w:t>34</w:t>
      </w:r>
    </w:p>
    <w:p w14:paraId="11A24CAA" w14:textId="292DF041" w:rsidR="00B27243" w:rsidRPr="001F467B" w:rsidRDefault="00B27243" w:rsidP="00B27243">
      <w:pPr>
        <w:pStyle w:val="ATHeading2"/>
      </w:pPr>
      <w:bookmarkStart w:id="1" w:name="title"/>
      <w:r w:rsidRPr="001F467B">
        <w:t>Europeiska centralbanken – årsrapport 2025</w:t>
      </w:r>
      <w:bookmarkEnd w:id="1"/>
    </w:p>
    <w:p w14:paraId="1A63D1B4" w14:textId="77777777" w:rsidR="00B27243" w:rsidRPr="001F467B" w:rsidRDefault="00B27243" w:rsidP="00B27243">
      <w:pPr>
        <w:rPr>
          <w:i/>
          <w:vanish/>
        </w:rPr>
      </w:pPr>
      <w:r w:rsidRPr="001F467B">
        <w:rPr>
          <w:i/>
        </w:rPr>
        <w:fldChar w:fldCharType="begin"/>
      </w:r>
      <w:r w:rsidRPr="001F467B">
        <w:rPr>
          <w:i/>
        </w:rPr>
        <w:instrText xml:space="preserve"> TC"(</w:instrText>
      </w:r>
      <w:bookmarkStart w:id="2" w:name="DocNumber"/>
      <w:r w:rsidRPr="001F467B">
        <w:rPr>
          <w:i/>
        </w:rPr>
        <w:instrText>A10-0002/2026</w:instrText>
      </w:r>
      <w:bookmarkEnd w:id="2"/>
      <w:r w:rsidRPr="001F467B">
        <w:rPr>
          <w:i/>
        </w:rPr>
        <w:instrText xml:space="preserve"> - Föredragande: Johan Van Overtveldt)"\l3 \n&gt; \* MERGEFORMAT </w:instrText>
      </w:r>
      <w:r w:rsidRPr="001F467B">
        <w:rPr>
          <w:i/>
        </w:rPr>
        <w:fldChar w:fldCharType="end"/>
      </w:r>
    </w:p>
    <w:p w14:paraId="0270B384" w14:textId="77777777" w:rsidR="00B27243" w:rsidRPr="001F467B" w:rsidRDefault="00B27243" w:rsidP="00B27243">
      <w:pPr>
        <w:rPr>
          <w:vanish/>
        </w:rPr>
      </w:pPr>
      <w:bookmarkStart w:id="3" w:name="Commission"/>
      <w:r w:rsidRPr="001F467B">
        <w:rPr>
          <w:vanish/>
        </w:rPr>
        <w:t>Utskottet för ekonomi och valutafrågor</w:t>
      </w:r>
      <w:bookmarkEnd w:id="3"/>
    </w:p>
    <w:p w14:paraId="38A3770F" w14:textId="77777777" w:rsidR="00B27243" w:rsidRPr="001F467B" w:rsidRDefault="00B27243" w:rsidP="00B27243">
      <w:pPr>
        <w:rPr>
          <w:vanish/>
        </w:rPr>
      </w:pPr>
      <w:bookmarkStart w:id="4" w:name="PE"/>
      <w:r w:rsidRPr="001F467B">
        <w:rPr>
          <w:vanish/>
        </w:rPr>
        <w:t>PE778.306</w:t>
      </w:r>
      <w:bookmarkEnd w:id="4"/>
    </w:p>
    <w:p w14:paraId="721B5342" w14:textId="5F5106F6" w:rsidR="00B27243" w:rsidRPr="001F467B" w:rsidRDefault="00B27243" w:rsidP="00B27243">
      <w:pPr>
        <w:pStyle w:val="ATHeading3"/>
      </w:pPr>
      <w:bookmarkStart w:id="5" w:name="Sujet"/>
      <w:r w:rsidRPr="001F467B">
        <w:t xml:space="preserve">Europaparlamentets resolution av den </w:t>
      </w:r>
      <w:r w:rsidR="0073453D" w:rsidRPr="001F467B">
        <w:t xml:space="preserve">10 </w:t>
      </w:r>
      <w:r w:rsidR="0046015C" w:rsidRPr="001F467B">
        <w:t xml:space="preserve">februari </w:t>
      </w:r>
      <w:r w:rsidRPr="001F467B">
        <w:t>2026 om Europeiska centralbanken – årsrapport 2025</w:t>
      </w:r>
      <w:bookmarkEnd w:id="5"/>
      <w:r w:rsidRPr="001F467B">
        <w:t xml:space="preserve"> </w:t>
      </w:r>
      <w:bookmarkStart w:id="6" w:name="References"/>
      <w:r w:rsidRPr="001F467B">
        <w:t>(2025/2182(INI))</w:t>
      </w:r>
      <w:bookmarkEnd w:id="6"/>
    </w:p>
    <w:p w14:paraId="1096DED4" w14:textId="77777777" w:rsidR="006C7E13" w:rsidRPr="001F467B" w:rsidRDefault="006C7E13" w:rsidP="001F467B">
      <w:pPr>
        <w:pStyle w:val="Normal12"/>
        <w:spacing w:before="240"/>
      </w:pPr>
      <w:r w:rsidRPr="001F467B">
        <w:rPr>
          <w:i/>
        </w:rPr>
        <w:t>Europaparlamentet utfärdar denna resolution</w:t>
      </w:r>
    </w:p>
    <w:p w14:paraId="06EF1EB8" w14:textId="77777777" w:rsidR="006C7E13" w:rsidRPr="00867B2F" w:rsidRDefault="006C7E13" w:rsidP="006C7E13">
      <w:pPr>
        <w:pStyle w:val="NormalHanging"/>
      </w:pPr>
      <w:r w:rsidRPr="001F467B">
        <w:t>–</w:t>
      </w:r>
      <w:r w:rsidRPr="001F467B">
        <w:tab/>
        <w:t xml:space="preserve">med beaktande av </w:t>
      </w:r>
      <w:r w:rsidRPr="00867B2F">
        <w:t>återkopplingen från Europeiska centralbanken (ECB) av den 28 april 2025 till de synpunkter som Europaparlamentet lämnat inom ramen för sin resolution om ECB:s årsrapport 2023,</w:t>
      </w:r>
    </w:p>
    <w:p w14:paraId="1E7A390F" w14:textId="77777777" w:rsidR="006C7E13" w:rsidRPr="00867B2F" w:rsidRDefault="006C7E13" w:rsidP="006C7E13">
      <w:pPr>
        <w:pStyle w:val="NormalHanging"/>
      </w:pPr>
      <w:r w:rsidRPr="00867B2F">
        <w:t>–</w:t>
      </w:r>
      <w:r w:rsidRPr="00867B2F">
        <w:tab/>
        <w:t>med beaktande av stadgan för Europeiska centralbankssystemet (ECBS) och ECB, särskilt artiklarna 2, 15 och 21,</w:t>
      </w:r>
    </w:p>
    <w:p w14:paraId="51EBC17A" w14:textId="77777777" w:rsidR="006C7E13" w:rsidRPr="00867B2F" w:rsidRDefault="006C7E13" w:rsidP="006C7E13">
      <w:pPr>
        <w:pStyle w:val="NormalHanging"/>
      </w:pPr>
      <w:r w:rsidRPr="00867B2F">
        <w:t>–</w:t>
      </w:r>
      <w:r w:rsidRPr="00867B2F">
        <w:tab/>
        <w:t>med beaktande av artiklarna 119, 123.1, 125, 127.1, 127.2, 130, 282.2 och 284.3 i fördraget om Europeiska unionens funktionssätt (EUF-fördraget),</w:t>
      </w:r>
    </w:p>
    <w:p w14:paraId="5C6A34AB" w14:textId="77777777" w:rsidR="006C7E13" w:rsidRPr="00867B2F" w:rsidRDefault="006C7E13" w:rsidP="006C7E13">
      <w:pPr>
        <w:pStyle w:val="NormalHanging"/>
      </w:pPr>
      <w:r w:rsidRPr="00867B2F">
        <w:t>–</w:t>
      </w:r>
      <w:r w:rsidRPr="00867B2F">
        <w:tab/>
        <w:t>med beaktande av artiklarna 3 och 13 i fördraget om Europeiska unionen (EU-fördraget),</w:t>
      </w:r>
    </w:p>
    <w:p w14:paraId="71736BAB" w14:textId="77777777" w:rsidR="006C7E13" w:rsidRPr="00867B2F" w:rsidRDefault="006C7E13" w:rsidP="006C7E13">
      <w:pPr>
        <w:pStyle w:val="NormalHanging"/>
      </w:pPr>
      <w:r w:rsidRPr="00867B2F">
        <w:t>–</w:t>
      </w:r>
      <w:r w:rsidRPr="00867B2F">
        <w:tab/>
        <w:t xml:space="preserve">med beaktande av de monetära dialogerna den 20 mars 2025, den 23 juni 2025 och den 6 oktober 2025 med ECB:s ordförande, Christine </w:t>
      </w:r>
      <w:proofErr w:type="spellStart"/>
      <w:r w:rsidRPr="00867B2F">
        <w:t>Lagarde</w:t>
      </w:r>
      <w:proofErr w:type="spellEnd"/>
      <w:r w:rsidRPr="00867B2F">
        <w:t>,</w:t>
      </w:r>
    </w:p>
    <w:p w14:paraId="73F6805F" w14:textId="77777777" w:rsidR="006C7E13" w:rsidRPr="00867B2F" w:rsidRDefault="006C7E13" w:rsidP="006C7E13">
      <w:pPr>
        <w:pStyle w:val="NormalHanging"/>
      </w:pPr>
      <w:r w:rsidRPr="00867B2F">
        <w:t>–</w:t>
      </w:r>
      <w:r w:rsidRPr="00867B2F">
        <w:tab/>
        <w:t>med beaktande av ECB:s bedömning 2025 av den penningpolitiska strategin,</w:t>
      </w:r>
    </w:p>
    <w:p w14:paraId="52A7A316" w14:textId="77777777" w:rsidR="006C7E13" w:rsidRPr="00867B2F" w:rsidRDefault="006C7E13" w:rsidP="006C7E13">
      <w:pPr>
        <w:pStyle w:val="NormalHanging"/>
      </w:pPr>
      <w:r w:rsidRPr="00867B2F">
        <w:t>–</w:t>
      </w:r>
      <w:r w:rsidRPr="00867B2F">
        <w:tab/>
        <w:t>med beaktande av ECB:s rapport 2025 om eurons internationella roll,</w:t>
      </w:r>
    </w:p>
    <w:p w14:paraId="04287676" w14:textId="77777777" w:rsidR="006C7E13" w:rsidRPr="00867B2F" w:rsidRDefault="006C7E13" w:rsidP="006C7E13">
      <w:pPr>
        <w:pStyle w:val="NormalHanging"/>
      </w:pPr>
      <w:r w:rsidRPr="00867B2F">
        <w:t>–</w:t>
      </w:r>
      <w:r w:rsidRPr="00867B2F">
        <w:tab/>
        <w:t>med beaktande av ECB:s klimat- och naturplan för 2024–2025,</w:t>
      </w:r>
    </w:p>
    <w:p w14:paraId="1F553CD3" w14:textId="77777777" w:rsidR="006C7E13" w:rsidRPr="00867B2F" w:rsidRDefault="006C7E13" w:rsidP="006C7E13">
      <w:pPr>
        <w:pStyle w:val="NormalHanging"/>
      </w:pPr>
      <w:r w:rsidRPr="00867B2F">
        <w:t>–</w:t>
      </w:r>
      <w:r w:rsidRPr="00867B2F">
        <w:tab/>
        <w:t>med beaktande av Eurostats uppgifter av den 20 augusti 2025 om den beräknade inflationen och Eurostats snabbstatistik av den 1 oktober 2025,</w:t>
      </w:r>
    </w:p>
    <w:p w14:paraId="240B27B9" w14:textId="217E7254" w:rsidR="006C7E13" w:rsidRPr="00867B2F" w:rsidRDefault="006C7E13" w:rsidP="006C7E13">
      <w:pPr>
        <w:pStyle w:val="NormalHanging"/>
      </w:pPr>
      <w:r w:rsidRPr="00867B2F">
        <w:t>–</w:t>
      </w:r>
      <w:r w:rsidRPr="00867B2F">
        <w:tab/>
        <w:t xml:space="preserve">med beaktande av </w:t>
      </w:r>
      <w:proofErr w:type="spellStart"/>
      <w:r w:rsidRPr="00867B2F">
        <w:t>EGOV:s</w:t>
      </w:r>
      <w:proofErr w:type="spellEnd"/>
      <w:r w:rsidRPr="00867B2F">
        <w:t xml:space="preserve"> briefing från oktober 2025 </w:t>
      </w:r>
      <w:r w:rsidRPr="00867B2F">
        <w:rPr>
          <w:i/>
        </w:rPr>
        <w:t xml:space="preserve">Turning </w:t>
      </w:r>
      <w:proofErr w:type="spellStart"/>
      <w:r w:rsidRPr="00867B2F">
        <w:rPr>
          <w:i/>
        </w:rPr>
        <w:t>point</w:t>
      </w:r>
      <w:proofErr w:type="spellEnd"/>
      <w:r w:rsidRPr="00867B2F">
        <w:rPr>
          <w:i/>
        </w:rPr>
        <w:t xml:space="preserve"> or </w:t>
      </w:r>
      <w:proofErr w:type="spellStart"/>
      <w:r w:rsidRPr="00867B2F">
        <w:rPr>
          <w:i/>
        </w:rPr>
        <w:t>continuity</w:t>
      </w:r>
      <w:proofErr w:type="spellEnd"/>
      <w:r w:rsidRPr="00867B2F">
        <w:rPr>
          <w:i/>
        </w:rPr>
        <w:t xml:space="preserve">? The </w:t>
      </w:r>
      <w:proofErr w:type="spellStart"/>
      <w:r w:rsidRPr="00867B2F">
        <w:rPr>
          <w:i/>
        </w:rPr>
        <w:t>ECB’s</w:t>
      </w:r>
      <w:proofErr w:type="spellEnd"/>
      <w:r w:rsidRPr="00867B2F">
        <w:rPr>
          <w:i/>
        </w:rPr>
        <w:t xml:space="preserve"> 2025 </w:t>
      </w:r>
      <w:proofErr w:type="spellStart"/>
      <w:r w:rsidRPr="00867B2F">
        <w:rPr>
          <w:i/>
        </w:rPr>
        <w:t>strategy</w:t>
      </w:r>
      <w:proofErr w:type="spellEnd"/>
      <w:r w:rsidRPr="00867B2F">
        <w:rPr>
          <w:i/>
        </w:rPr>
        <w:t xml:space="preserve"> </w:t>
      </w:r>
      <w:proofErr w:type="spellStart"/>
      <w:r w:rsidRPr="00867B2F">
        <w:rPr>
          <w:i/>
        </w:rPr>
        <w:t>review</w:t>
      </w:r>
      <w:proofErr w:type="spellEnd"/>
      <w:r w:rsidRPr="00867B2F">
        <w:t xml:space="preserve"> som publicerats av parlamentets generaldirektorat för ekonomi, omställning och industrifrågor</w:t>
      </w:r>
      <w:r w:rsidR="009F0088" w:rsidRPr="00867B2F">
        <w:rPr>
          <w:rStyle w:val="FootnoteReference"/>
        </w:rPr>
        <w:footnoteReference w:id="1"/>
      </w:r>
      <w:r w:rsidRPr="00867B2F">
        <w:t>,</w:t>
      </w:r>
    </w:p>
    <w:p w14:paraId="5AFF991B" w14:textId="3E19F386" w:rsidR="006C7E13" w:rsidRPr="00867B2F" w:rsidRDefault="006C7E13" w:rsidP="006C7E13">
      <w:pPr>
        <w:pStyle w:val="NormalHanging"/>
      </w:pPr>
      <w:r w:rsidRPr="00867B2F">
        <w:lastRenderedPageBreak/>
        <w:t>–</w:t>
      </w:r>
      <w:r w:rsidRPr="00867B2F">
        <w:tab/>
        <w:t xml:space="preserve">med beaktande av </w:t>
      </w:r>
      <w:proofErr w:type="spellStart"/>
      <w:r w:rsidRPr="00867B2F">
        <w:t>EGOV:s</w:t>
      </w:r>
      <w:proofErr w:type="spellEnd"/>
      <w:r w:rsidRPr="00867B2F">
        <w:t xml:space="preserve"> analys från juni 2025 </w:t>
      </w:r>
      <w:r w:rsidRPr="00867B2F">
        <w:rPr>
          <w:i/>
        </w:rPr>
        <w:t xml:space="preserve">The </w:t>
      </w:r>
      <w:proofErr w:type="spellStart"/>
      <w:r w:rsidRPr="00867B2F">
        <w:rPr>
          <w:i/>
        </w:rPr>
        <w:t>silent</w:t>
      </w:r>
      <w:proofErr w:type="spellEnd"/>
      <w:r w:rsidRPr="00867B2F">
        <w:rPr>
          <w:i/>
        </w:rPr>
        <w:t xml:space="preserve"> hand </w:t>
      </w:r>
      <w:proofErr w:type="spellStart"/>
      <w:r w:rsidRPr="00867B2F">
        <w:rPr>
          <w:i/>
        </w:rPr>
        <w:t>of</w:t>
      </w:r>
      <w:proofErr w:type="spellEnd"/>
      <w:r w:rsidRPr="00867B2F">
        <w:rPr>
          <w:i/>
        </w:rPr>
        <w:t xml:space="preserve"> central </w:t>
      </w:r>
      <w:proofErr w:type="spellStart"/>
      <w:r w:rsidRPr="00867B2F">
        <w:rPr>
          <w:i/>
        </w:rPr>
        <w:t>banking</w:t>
      </w:r>
      <w:proofErr w:type="spellEnd"/>
      <w:r w:rsidRPr="00867B2F">
        <w:rPr>
          <w:i/>
        </w:rPr>
        <w:t xml:space="preserve">: </w:t>
      </w:r>
      <w:proofErr w:type="spellStart"/>
      <w:r w:rsidRPr="00867B2F">
        <w:rPr>
          <w:i/>
        </w:rPr>
        <w:t>collateral</w:t>
      </w:r>
      <w:proofErr w:type="spellEnd"/>
      <w:r w:rsidRPr="00867B2F">
        <w:rPr>
          <w:i/>
        </w:rPr>
        <w:t xml:space="preserve"> </w:t>
      </w:r>
      <w:proofErr w:type="spellStart"/>
      <w:r w:rsidRPr="00867B2F">
        <w:rPr>
          <w:i/>
        </w:rPr>
        <w:t>framework</w:t>
      </w:r>
      <w:proofErr w:type="spellEnd"/>
      <w:r w:rsidRPr="00867B2F">
        <w:t>, offentliggjord av parlamentets generaldirektorat för ekonomi, omställning och industrifrågor</w:t>
      </w:r>
      <w:r w:rsidR="009F0088" w:rsidRPr="00867B2F">
        <w:rPr>
          <w:rStyle w:val="FootnoteReference"/>
        </w:rPr>
        <w:footnoteReference w:id="2"/>
      </w:r>
      <w:r w:rsidR="00867B2F">
        <w:t>,</w:t>
      </w:r>
    </w:p>
    <w:p w14:paraId="1AA183CB" w14:textId="77777777" w:rsidR="006C7E13" w:rsidRPr="00867B2F" w:rsidRDefault="006C7E13" w:rsidP="006C7E13">
      <w:pPr>
        <w:pStyle w:val="NormalHanging"/>
      </w:pPr>
      <w:r w:rsidRPr="00867B2F">
        <w:t>–</w:t>
      </w:r>
      <w:r w:rsidRPr="00867B2F">
        <w:tab/>
        <w:t>med beaktande av artikel 55 i arbetsordningen,</w:t>
      </w:r>
    </w:p>
    <w:p w14:paraId="4149B433" w14:textId="79688544" w:rsidR="006C7E13" w:rsidRPr="00867B2F" w:rsidRDefault="006C7E13" w:rsidP="006C7E13">
      <w:pPr>
        <w:pStyle w:val="NormalHanging"/>
      </w:pPr>
      <w:r w:rsidRPr="00867B2F">
        <w:t>–</w:t>
      </w:r>
      <w:r w:rsidRPr="00867B2F">
        <w:tab/>
        <w:t>med beaktande av betänkandet från utskottet för ekonomi och valutafrågor (</w:t>
      </w:r>
      <w:r w:rsidR="00423C9A">
        <w:t>A</w:t>
      </w:r>
      <w:r w:rsidRPr="00867B2F">
        <w:t>10-0002/2026), och av följande skäl:</w:t>
      </w:r>
    </w:p>
    <w:p w14:paraId="4392DDDF" w14:textId="77777777" w:rsidR="006C7E13" w:rsidRPr="00867B2F" w:rsidRDefault="006C7E13" w:rsidP="006C7E13">
      <w:pPr>
        <w:pStyle w:val="NormalHanging"/>
      </w:pPr>
      <w:r w:rsidRPr="00867B2F">
        <w:t>A.</w:t>
      </w:r>
      <w:r w:rsidRPr="00867B2F">
        <w:tab/>
        <w:t>Enligt Eurostat låg den årliga inflationen i EU på 2,5 % och inflationen i euroområdet på 2,1 % i oktober 2025, mätt genom det harmoniserade konsumentprisindexet.</w:t>
      </w:r>
    </w:p>
    <w:p w14:paraId="74568994" w14:textId="77777777" w:rsidR="006C7E13" w:rsidRPr="00867B2F" w:rsidRDefault="006C7E13" w:rsidP="006C7E13">
      <w:pPr>
        <w:pStyle w:val="NormalHanging"/>
      </w:pPr>
      <w:r w:rsidRPr="00867B2F">
        <w:t>B.</w:t>
      </w:r>
      <w:r w:rsidRPr="00867B2F">
        <w:tab/>
        <w:t>Enligt ECB:s undersökning om konsumenternas förväntningar från oktober 2025 ligger medianförväntningarna på inflation fortfarande över 2 %.</w:t>
      </w:r>
    </w:p>
    <w:p w14:paraId="36E8DD3D" w14:textId="77777777" w:rsidR="006C7E13" w:rsidRPr="00867B2F" w:rsidRDefault="006C7E13" w:rsidP="006C7E13">
      <w:pPr>
        <w:pStyle w:val="NormalHanging"/>
      </w:pPr>
      <w:r w:rsidRPr="00867B2F">
        <w:t>C.</w:t>
      </w:r>
      <w:r w:rsidRPr="00867B2F">
        <w:tab/>
        <w:t>ECB:s inflationsmål har med tiden växlat från ett referensvärde på ”under 2 %” till målet ”under men nära 2 %” och nu till ett symmetriskt mål på ”2 % på medellång sikt”.</w:t>
      </w:r>
    </w:p>
    <w:p w14:paraId="1E7C4B59" w14:textId="77777777" w:rsidR="006C7E13" w:rsidRPr="00867B2F" w:rsidRDefault="006C7E13" w:rsidP="006C7E13">
      <w:pPr>
        <w:pStyle w:val="NormalHanging"/>
      </w:pPr>
      <w:r w:rsidRPr="00867B2F">
        <w:t>D.</w:t>
      </w:r>
      <w:r w:rsidRPr="00867B2F">
        <w:tab/>
        <w:t>Räntan på utlåningsfaciliteten och på inlåningsfaciliteten har skapat en snäv korridor kring räntan på de huvudsakliga refinansieringstransaktionerna.</w:t>
      </w:r>
    </w:p>
    <w:p w14:paraId="2163552C" w14:textId="69F759F1" w:rsidR="006C7E13" w:rsidRPr="00867B2F" w:rsidRDefault="006C7E13" w:rsidP="006C7E13">
      <w:pPr>
        <w:pStyle w:val="NormalHanging"/>
      </w:pPr>
      <w:r w:rsidRPr="00867B2F">
        <w:t>E.</w:t>
      </w:r>
      <w:r w:rsidRPr="00867B2F">
        <w:tab/>
        <w:t>ECB:s gränser när det gäller köp av offentlig skuld har ökat stadigt, från värdepappersmarknadsprogrammet (SMP) till direkta monetära transaktioner (OMT), liksom programmet för köp av den offentliga sektorns tillgångar (PSPP), stödköpprogrammet föranlett av pandemin (PEPP) och instrumentet för transmissionsskydd (TPI)</w:t>
      </w:r>
      <w:r w:rsidR="009F0088" w:rsidRPr="00867B2F">
        <w:rPr>
          <w:rStyle w:val="FootnoteReference"/>
        </w:rPr>
        <w:footnoteReference w:id="3"/>
      </w:r>
      <w:r w:rsidRPr="00867B2F">
        <w:t>.</w:t>
      </w:r>
    </w:p>
    <w:p w14:paraId="7AC74987" w14:textId="77777777" w:rsidR="006C7E13" w:rsidRPr="00867B2F" w:rsidRDefault="006C7E13" w:rsidP="006C7E13">
      <w:pPr>
        <w:pStyle w:val="NormalHanging"/>
      </w:pPr>
      <w:r w:rsidRPr="00867B2F">
        <w:t>F.</w:t>
      </w:r>
      <w:r w:rsidRPr="00867B2F">
        <w:tab/>
        <w:t>Återinvesteringar inom ramen för programmet för köp av tillgångar (APP) avbröts från och med juli 2023, och när det gäller PEPP från och med december 2024, vilket banade väg för en minskning av ECB:s balansomslutning.</w:t>
      </w:r>
    </w:p>
    <w:p w14:paraId="4A5CCA5C" w14:textId="77777777" w:rsidR="006C7E13" w:rsidRPr="00867B2F" w:rsidRDefault="006C7E13" w:rsidP="006C7E13">
      <w:pPr>
        <w:pStyle w:val="NormalHanging"/>
      </w:pPr>
      <w:r w:rsidRPr="00867B2F">
        <w:t>G.</w:t>
      </w:r>
      <w:r w:rsidRPr="00867B2F">
        <w:tab/>
        <w:t>Deflation kan vara en gynnsam konsekvens av tekniska framsteg.</w:t>
      </w:r>
    </w:p>
    <w:p w14:paraId="64CC113F" w14:textId="77777777" w:rsidR="006C7E13" w:rsidRPr="00867B2F" w:rsidRDefault="006C7E13" w:rsidP="006C7E13">
      <w:pPr>
        <w:pStyle w:val="NormalHanging"/>
      </w:pPr>
      <w:r w:rsidRPr="00867B2F">
        <w:t>H.</w:t>
      </w:r>
      <w:r w:rsidRPr="00867B2F">
        <w:tab/>
        <w:t>Genom artikel 123 i EUF-fördraget och artikel 21 i ECBS/ECB-stadgan förbjuds direkt finansiering av staters underskott.</w:t>
      </w:r>
    </w:p>
    <w:p w14:paraId="03BE9853" w14:textId="77777777" w:rsidR="006C7E13" w:rsidRPr="00867B2F" w:rsidRDefault="006C7E13" w:rsidP="006C7E13">
      <w:pPr>
        <w:pStyle w:val="Normal12a"/>
      </w:pPr>
      <w:r w:rsidRPr="00867B2F">
        <w:rPr>
          <w:b/>
          <w:i/>
        </w:rPr>
        <w:t>Styrning</w:t>
      </w:r>
    </w:p>
    <w:p w14:paraId="41E653FC" w14:textId="77777777" w:rsidR="006C7E13" w:rsidRPr="00867B2F" w:rsidRDefault="006C7E13" w:rsidP="006C7E13">
      <w:pPr>
        <w:pStyle w:val="NormalHanging12a"/>
      </w:pPr>
      <w:r w:rsidRPr="00867B2F">
        <w:t>1.</w:t>
      </w:r>
      <w:r w:rsidRPr="00867B2F">
        <w:tab/>
        <w:t>Europaparlamentet påminner om att det i artikel 127 i EUF-fördraget slås fast att huvudmålet för Europeiska centralbankssystemet (ECBS) ”ska vara att upprätthålla prisstabilitet. Utan att åsidosätta detta mål ska ECBS stödja den allmänna ekonomiska politiken inom unionen i syfte att bidra till att förverkliga unionens mål enligt artikel 3 i fördraget om Europeiska unionen. ECBS ska handla i överensstämmelse med principen om en öppen marknadsekonomi med fri konkurrens som främjar en effektiv resursfördelning, och iaktta de principer som anges i artikel 119”.</w:t>
      </w:r>
    </w:p>
    <w:p w14:paraId="3C30CE5A" w14:textId="77777777" w:rsidR="006C7E13" w:rsidRPr="00867B2F" w:rsidRDefault="006C7E13" w:rsidP="006C7E13">
      <w:pPr>
        <w:pStyle w:val="NormalHanging12a"/>
      </w:pPr>
      <w:r w:rsidRPr="00867B2F">
        <w:lastRenderedPageBreak/>
        <w:t>2.</w:t>
      </w:r>
      <w:r w:rsidRPr="00867B2F">
        <w:tab/>
        <w:t>Europaparlamentet understryker att ECB:s lagstadgade oberoende, som fastslås i fördragen, är en förutsättning för fullgörandet av dess mandat att upprätthålla prisstabilitet.</w:t>
      </w:r>
    </w:p>
    <w:p w14:paraId="37692A70" w14:textId="77777777" w:rsidR="006C7E13" w:rsidRPr="00867B2F" w:rsidRDefault="006C7E13" w:rsidP="006C7E13">
      <w:pPr>
        <w:pStyle w:val="NormalHanging12a"/>
      </w:pPr>
      <w:r w:rsidRPr="00867B2F">
        <w:t>3.</w:t>
      </w:r>
      <w:r w:rsidRPr="00867B2F">
        <w:tab/>
        <w:t xml:space="preserve">Europaparlamentet betonar att ECB är </w:t>
      </w:r>
      <w:proofErr w:type="gramStart"/>
      <w:r w:rsidRPr="00867B2F">
        <w:t>ansvarsskyldig  inför</w:t>
      </w:r>
      <w:proofErr w:type="gramEnd"/>
      <w:r w:rsidRPr="00867B2F">
        <w:t xml:space="preserve"> parlamentet. Parlamentet betonar att de beslut som ECB fattar för att fullgöra sitt mandat måste vara utan politisk inblandning. Parlamentet noterar att centralbankerna bör vara oberoende men inte isolerade.</w:t>
      </w:r>
    </w:p>
    <w:p w14:paraId="588DD910" w14:textId="77777777" w:rsidR="006C7E13" w:rsidRPr="00867B2F" w:rsidRDefault="006C7E13" w:rsidP="006C7E13">
      <w:pPr>
        <w:pStyle w:val="NormalHanging12a"/>
      </w:pPr>
      <w:r w:rsidRPr="00867B2F">
        <w:t>4.</w:t>
      </w:r>
      <w:r w:rsidRPr="00867B2F">
        <w:tab/>
        <w:t>Europaparlamentet noterar vikten av transparens för ansvarsskyldigheten och att det krävs en stark institutionell utformning och kraftfulla mekanismer för ansvarsutkrävande. Parlamentet välkomnar i detta avseende överenskommelserna i form av skriftväxling mellan Europaparlamentet och Europeiska centralbanken om strukturering av metoderna för interaktion inom centralbanksverksamhet.</w:t>
      </w:r>
    </w:p>
    <w:p w14:paraId="54CD1480" w14:textId="77777777" w:rsidR="006C7E13" w:rsidRPr="00867B2F" w:rsidRDefault="006C7E13" w:rsidP="006C7E13">
      <w:pPr>
        <w:pStyle w:val="NormalHanging12a"/>
      </w:pPr>
      <w:r w:rsidRPr="00867B2F">
        <w:t>5.</w:t>
      </w:r>
      <w:r w:rsidRPr="00867B2F">
        <w:tab/>
        <w:t>Europaparlamentet uppmanar ECB att anstränga sig för att främja instrument som förbättrar transparensen, såsom referensvärden, inblickar i sina modellbaserade antaganden och ECB-rådets bedömningar av inflationsutvecklingen.</w:t>
      </w:r>
    </w:p>
    <w:p w14:paraId="5A985C99" w14:textId="77777777" w:rsidR="006C7E13" w:rsidRPr="00867B2F" w:rsidRDefault="006C7E13" w:rsidP="006C7E13">
      <w:pPr>
        <w:pStyle w:val="NormalHanging12a"/>
      </w:pPr>
      <w:r w:rsidRPr="00867B2F">
        <w:t>6.</w:t>
      </w:r>
      <w:r w:rsidRPr="00867B2F">
        <w:tab/>
        <w:t>Europaparlamentet välkomnar ECB:s oberoende enligt artikel 130 i EUF-fördraget. Parlamentet betonar att oberoende kräver att ECB:s åtgärder förblir opolitiska.</w:t>
      </w:r>
    </w:p>
    <w:p w14:paraId="49F9EE9A" w14:textId="5142609F" w:rsidR="00AE5F10" w:rsidRPr="00867B2F" w:rsidRDefault="00610A04" w:rsidP="006C7E13">
      <w:pPr>
        <w:pStyle w:val="NormalHanging12a"/>
      </w:pPr>
      <w:r w:rsidRPr="00867B2F">
        <w:t>7</w:t>
      </w:r>
      <w:r w:rsidR="00AE5F10" w:rsidRPr="00867B2F">
        <w:t>.</w:t>
      </w:r>
      <w:r w:rsidR="00AE5F10" w:rsidRPr="00867B2F">
        <w:tab/>
        <w:t xml:space="preserve">Europaparlamentet upprepar uttalandet om solidaritet med den amerikanska centralbanken US Federal </w:t>
      </w:r>
      <w:proofErr w:type="spellStart"/>
      <w:r w:rsidR="00AE5F10" w:rsidRPr="00867B2F">
        <w:t>Reserve</w:t>
      </w:r>
      <w:proofErr w:type="spellEnd"/>
      <w:r w:rsidR="00AE5F10" w:rsidRPr="00867B2F">
        <w:t xml:space="preserve"> från ECB och andra centralbanker runt om i världen, där de understryker vikten av att bevara centralbankens oberoende, med full respekt för rättsstatsprincipen och demokratisk ansvarsskyldighet.</w:t>
      </w:r>
    </w:p>
    <w:p w14:paraId="22253B37" w14:textId="77777777" w:rsidR="006C7E13" w:rsidRPr="00867B2F" w:rsidRDefault="006C7E13" w:rsidP="006C7E13">
      <w:pPr>
        <w:pStyle w:val="Normal12a"/>
      </w:pPr>
      <w:r w:rsidRPr="00867B2F">
        <w:rPr>
          <w:b/>
          <w:i/>
        </w:rPr>
        <w:t>Penningpolitik</w:t>
      </w:r>
    </w:p>
    <w:p w14:paraId="095D7A76" w14:textId="7A818714" w:rsidR="006C7E13" w:rsidRPr="00867B2F" w:rsidRDefault="00610A04" w:rsidP="006C7E13">
      <w:pPr>
        <w:pStyle w:val="NormalHanging12a"/>
      </w:pPr>
      <w:r w:rsidRPr="00867B2F">
        <w:t>8</w:t>
      </w:r>
      <w:r w:rsidR="006C7E13" w:rsidRPr="00867B2F">
        <w:t>.</w:t>
      </w:r>
      <w:r w:rsidR="006C7E13" w:rsidRPr="00867B2F">
        <w:tab/>
        <w:t>Europaparlamentet framhåller ECB:s främsta mål att upprätthålla prisstabilitet, vilket är en av de nödvändiga förutsättningarna för tillväxt, konkurrenskraft och ekonomisk stabilitet i unionen.</w:t>
      </w:r>
    </w:p>
    <w:p w14:paraId="622FAD4C" w14:textId="562809DE" w:rsidR="006C7E13" w:rsidRPr="00867B2F" w:rsidRDefault="00610A04" w:rsidP="006C7E13">
      <w:pPr>
        <w:pStyle w:val="NormalHanging12a"/>
      </w:pPr>
      <w:r w:rsidRPr="00867B2F">
        <w:t>9</w:t>
      </w:r>
      <w:r w:rsidR="006C7E13" w:rsidRPr="00867B2F">
        <w:t>.</w:t>
      </w:r>
      <w:r w:rsidR="006C7E13" w:rsidRPr="00867B2F">
        <w:tab/>
        <w:t>Europaparlamentet uttrycker oro över de höga inflationsnivåerna under åren efter covid-19-pandemin till följd av utbudschocker. Parlamentet noterar att det hade varit motiverat med ECB-beslut som säkerställt en snabb återgång till prisstabilitet under denna period. Parlamentet uppmanar ECB att grundligt bedöma orsakerna till dessa höga inflationsnivåer i sin årsrapport, tillsammans med en uppsättning policyrekommendationer för att dra rätt slutsatser av eventuella framtida inflationskriser.</w:t>
      </w:r>
    </w:p>
    <w:p w14:paraId="5A1831CC" w14:textId="590F7060" w:rsidR="006C7E13" w:rsidRPr="00867B2F" w:rsidRDefault="00610A04" w:rsidP="006C7E13">
      <w:pPr>
        <w:pStyle w:val="NormalHanging12a"/>
      </w:pPr>
      <w:r w:rsidRPr="00867B2F">
        <w:t>10</w:t>
      </w:r>
      <w:r w:rsidR="006C7E13" w:rsidRPr="00867B2F">
        <w:t>.</w:t>
      </w:r>
      <w:r w:rsidR="006C7E13" w:rsidRPr="00867B2F">
        <w:tab/>
        <w:t>Europaparlamentet välkomnar den sjunkande inflationen jämfört med 2022–2023 samt den senaste tidens stabilisering av inflationen. Parlamentet noterar att ECB har sänkt inlåningsräntan med 200 räntepunkter mellan juni 2024 och juni 2025. Parlamentet inser att det fortfarande finns en risk för att inflationen skjuter i höjden igen. Parlamentet understryker att ytterligare åtgärder för att lätta på penningpolitiken bör vara försiktiga och datadrivna och vägledas av prisstabilitet.</w:t>
      </w:r>
    </w:p>
    <w:p w14:paraId="55945482" w14:textId="4056EDD7" w:rsidR="00AE5F10" w:rsidRPr="00867B2F" w:rsidRDefault="00610A04" w:rsidP="006C7E13">
      <w:pPr>
        <w:pStyle w:val="NormalHanging12a"/>
      </w:pPr>
      <w:r w:rsidRPr="00867B2F">
        <w:t>11</w:t>
      </w:r>
      <w:r w:rsidR="00AE5F10" w:rsidRPr="00867B2F">
        <w:t>.</w:t>
      </w:r>
      <w:r w:rsidR="00AE5F10" w:rsidRPr="00867B2F">
        <w:tab/>
        <w:t xml:space="preserve">Europaparlamentet uttrycker oro över de höga levnadskostnaderna, då livsmedels- och energipriserna har ökat i Europa sedan covid-19-pandemin. Parlamentet noterar att </w:t>
      </w:r>
      <w:r w:rsidR="00AE5F10" w:rsidRPr="00867B2F">
        <w:lastRenderedPageBreak/>
        <w:t>priset för en måltid i euroområdet 2025 i genomsnitt var en tredjedel högre än före pandemin</w:t>
      </w:r>
      <w:r w:rsidR="00AE5F10" w:rsidRPr="00867B2F">
        <w:rPr>
          <w:rStyle w:val="FootnoteReference"/>
        </w:rPr>
        <w:footnoteReference w:id="4"/>
      </w:r>
      <w:r w:rsidR="00AE5F10" w:rsidRPr="00867B2F">
        <w:t>, och att detta särskilt har drabbat låginkomsthushåll.</w:t>
      </w:r>
    </w:p>
    <w:p w14:paraId="6D3B3C3E" w14:textId="61EF1836" w:rsidR="006C7E13" w:rsidRPr="00867B2F" w:rsidRDefault="006C7E13" w:rsidP="006C7E13">
      <w:pPr>
        <w:pStyle w:val="NormalHanging12a"/>
      </w:pPr>
      <w:r w:rsidRPr="00867B2F">
        <w:t>1</w:t>
      </w:r>
      <w:r w:rsidR="00610A04" w:rsidRPr="00867B2F">
        <w:t>2</w:t>
      </w:r>
      <w:r w:rsidRPr="00867B2F">
        <w:t>.</w:t>
      </w:r>
      <w:r w:rsidRPr="00867B2F">
        <w:tab/>
        <w:t>Europaparlamentet betonar särskilt de potentiellt snedvridande effekter som geopolitisk osäkerhet, risker till följd av energitrygghet och handelsstörningar kan få på prisutvecklingen.</w:t>
      </w:r>
    </w:p>
    <w:p w14:paraId="14830E43" w14:textId="2C80B7EB" w:rsidR="006C7E13" w:rsidRPr="00867B2F" w:rsidRDefault="006C7E13" w:rsidP="006C7E13">
      <w:pPr>
        <w:pStyle w:val="NormalHanging12a"/>
      </w:pPr>
      <w:r w:rsidRPr="00867B2F">
        <w:t>1</w:t>
      </w:r>
      <w:r w:rsidR="00610A04" w:rsidRPr="00867B2F">
        <w:t>3</w:t>
      </w:r>
      <w:r w:rsidRPr="00867B2F">
        <w:t>.</w:t>
      </w:r>
      <w:r w:rsidRPr="00867B2F">
        <w:tab/>
        <w:t>Europaparlamentet uppmanar ECB att bedöma lämpligheten av sitt symmetriska mål, även med beaktande av kvalitativa faktorer. Parlamentet noterar bedömningen av den penningpolitiska strategin för 2025 och uppmuntrar ECB att regelbundet genomföra sådana bedömningar.</w:t>
      </w:r>
    </w:p>
    <w:p w14:paraId="02C6DE03" w14:textId="611C8637" w:rsidR="006C7E13" w:rsidRPr="00867B2F" w:rsidRDefault="006C7E13" w:rsidP="006C7E13">
      <w:pPr>
        <w:pStyle w:val="NormalHanging12a"/>
      </w:pPr>
      <w:r w:rsidRPr="00867B2F">
        <w:t>1</w:t>
      </w:r>
      <w:r w:rsidR="00610A04" w:rsidRPr="00867B2F">
        <w:t>4</w:t>
      </w:r>
      <w:r w:rsidRPr="00867B2F">
        <w:t>.</w:t>
      </w:r>
      <w:r w:rsidRPr="00867B2F">
        <w:tab/>
        <w:t>Europaparlamentet betonar att ECB:s köpprogram är okonventionella penningpolitiska verktyg som har sidoeffekter. Parlamentet noterar särskilt att program för köp av tillgångar kan snedvrida prissignalerna. Parlamentet noterar att ECB började krympa sin balansräkning endast mycket gradvis. Parlamentet stöder ECB när det gäller att ytterligare minska dess direkta roll för värdepappersköp. Parlamentet uppmuntrar ECB att gradvis fasa ut sina program för köp av statsobligationer. Parlamentet beklagar den finanspolitiska ställningens inverkan på ECB:s fullgörande av sitt primära mandat.</w:t>
      </w:r>
    </w:p>
    <w:p w14:paraId="223FB903" w14:textId="1E55CFA3" w:rsidR="006C7E13" w:rsidRPr="00867B2F" w:rsidRDefault="006C7E13" w:rsidP="006C7E13">
      <w:pPr>
        <w:pStyle w:val="NormalHanging12a"/>
      </w:pPr>
      <w:r w:rsidRPr="00867B2F">
        <w:t>1</w:t>
      </w:r>
      <w:r w:rsidR="00610A04" w:rsidRPr="00867B2F">
        <w:t>5</w:t>
      </w:r>
      <w:r w:rsidRPr="00867B2F">
        <w:t>.</w:t>
      </w:r>
      <w:r w:rsidRPr="00867B2F">
        <w:tab/>
        <w:t>Europaparlamentet beklagar att ECB:s system för kortfristig utlåning till stor del har förändrat den privata interbankfinansieringsmarknaden sedan finanskrisen 2008. Parlamentet uppmanar ECB att undvika att betala banker inlåningsräntor som ligger över marknadsräntorna, eftersom detta strider mot principen om en öppen marknad med fri konkurrens, och att undanröja alla hinder för återhämtningen av kortfristiga osäkrade interbankmarknader.</w:t>
      </w:r>
    </w:p>
    <w:p w14:paraId="01A96A1C" w14:textId="5D0B6A05" w:rsidR="006C7E13" w:rsidRPr="00867B2F" w:rsidRDefault="006C7E13" w:rsidP="006C7E13">
      <w:pPr>
        <w:pStyle w:val="NormalHanging12a"/>
      </w:pPr>
      <w:r w:rsidRPr="00867B2F">
        <w:t>1</w:t>
      </w:r>
      <w:r w:rsidR="00610A04" w:rsidRPr="00867B2F">
        <w:t>6</w:t>
      </w:r>
      <w:r w:rsidRPr="00867B2F">
        <w:t>.</w:t>
      </w:r>
      <w:r w:rsidRPr="00867B2F">
        <w:tab/>
        <w:t>Europaparlamentet betonar vikten av att säkerställa höga standarder när det gäller kvalitetskrav för säkerheter i lånearrangemang med ECB. Parlamentet erkänner att standarder för säkerheter kan användas som ett verktyg för penningpolitisk transmission.</w:t>
      </w:r>
    </w:p>
    <w:p w14:paraId="5B585943" w14:textId="19EF1870" w:rsidR="006C7E13" w:rsidRPr="00867B2F" w:rsidRDefault="006C7E13" w:rsidP="006C7E13">
      <w:pPr>
        <w:pStyle w:val="NormalHanging12a"/>
      </w:pPr>
      <w:r w:rsidRPr="00867B2F">
        <w:t>1</w:t>
      </w:r>
      <w:r w:rsidR="00610A04" w:rsidRPr="00867B2F">
        <w:t>7</w:t>
      </w:r>
      <w:r w:rsidRPr="00867B2F">
        <w:t>.</w:t>
      </w:r>
      <w:r w:rsidRPr="00867B2F">
        <w:tab/>
        <w:t>Europaparlamentet stöder ECB i dess ansträngningar att inkludera ägarbebodda bostäder i sin övervakning av prisindex av skäl som rör både representativitet och jämförbarhet mellan länderna i euroområdet, på grundval av ett harmoniserat och robust tillvägagångssätt.</w:t>
      </w:r>
    </w:p>
    <w:p w14:paraId="676535CE" w14:textId="77777777" w:rsidR="006C7E13" w:rsidRPr="00867B2F" w:rsidRDefault="006C7E13" w:rsidP="006C7E13">
      <w:pPr>
        <w:pStyle w:val="Normal12a"/>
      </w:pPr>
      <w:r w:rsidRPr="00867B2F">
        <w:rPr>
          <w:b/>
          <w:i/>
        </w:rPr>
        <w:t xml:space="preserve">Det sekundära målet: </w:t>
      </w:r>
      <w:r w:rsidRPr="00867B2F">
        <w:rPr>
          <w:b/>
        </w:rPr>
        <w:t>stödja den allmänna ekonomiska politiken i unionen</w:t>
      </w:r>
    </w:p>
    <w:p w14:paraId="30CE1CAB" w14:textId="04893345" w:rsidR="006C7E13" w:rsidRPr="00867B2F" w:rsidRDefault="006C7E13" w:rsidP="006C7E13">
      <w:pPr>
        <w:pStyle w:val="NormalHanging12a"/>
      </w:pPr>
      <w:r w:rsidRPr="00867B2F">
        <w:t>1</w:t>
      </w:r>
      <w:r w:rsidR="00610A04" w:rsidRPr="00867B2F">
        <w:t>8</w:t>
      </w:r>
      <w:r w:rsidRPr="00867B2F">
        <w:t>.</w:t>
      </w:r>
      <w:r w:rsidRPr="00867B2F">
        <w:tab/>
        <w:t>Europaparlamentet noterar att ECB, i enlighet med artikel 127.1 i EUF-fördraget, måste stödja unionens allmänna ekonomiska politik i syfte att bidra till uppnåendet av unionens mål enligt artikel 3 i EU-fördraget, så länge dess åtagande för prisstabilitet inte påverkas.</w:t>
      </w:r>
    </w:p>
    <w:p w14:paraId="6E2E971F" w14:textId="1E80827C" w:rsidR="006C7E13" w:rsidRPr="00867B2F" w:rsidRDefault="006C7E13" w:rsidP="006C7E13">
      <w:pPr>
        <w:pStyle w:val="NormalHanging12a"/>
      </w:pPr>
      <w:r w:rsidRPr="00867B2F">
        <w:t>1</w:t>
      </w:r>
      <w:r w:rsidR="00610A04" w:rsidRPr="00867B2F">
        <w:t>9</w:t>
      </w:r>
      <w:r w:rsidRPr="00867B2F">
        <w:t>.</w:t>
      </w:r>
      <w:r w:rsidRPr="00867B2F">
        <w:tab/>
        <w:t>Europaparlamentet påminner om att Eurosystemet har byggts på principen om monetär dominans.</w:t>
      </w:r>
    </w:p>
    <w:p w14:paraId="0C6879A6" w14:textId="431A8D2A" w:rsidR="006C7E13" w:rsidRPr="00867B2F" w:rsidRDefault="00610A04" w:rsidP="006C7E13">
      <w:pPr>
        <w:pStyle w:val="NormalHanging12a"/>
      </w:pPr>
      <w:r w:rsidRPr="00867B2F">
        <w:t>20</w:t>
      </w:r>
      <w:r w:rsidR="006C7E13" w:rsidRPr="00867B2F">
        <w:t>.</w:t>
      </w:r>
      <w:r w:rsidR="006C7E13" w:rsidRPr="00867B2F">
        <w:tab/>
        <w:t xml:space="preserve">Europaparlamentet betonar, när det gäller Ekonomiska och monetära unionen och EU:s ram för ekonomisk styrning, hur viktigt det är med sunda och hållbara offentliga </w:t>
      </w:r>
      <w:r w:rsidR="006C7E13" w:rsidRPr="00867B2F">
        <w:lastRenderedPageBreak/>
        <w:t>finanser för att stå emot en miljö med höga räntor, för att komplettera ECB:s insatser för att hålla inflationen låg, för att upprätthålla en stabil ekonomi och för att förbli motståndskraftig mot framtida ekonomiska och finansiella chocker.</w:t>
      </w:r>
    </w:p>
    <w:p w14:paraId="1F0F92AC" w14:textId="6CA64DFC" w:rsidR="006C7E13" w:rsidRPr="00867B2F" w:rsidRDefault="00610A04" w:rsidP="006C7E13">
      <w:pPr>
        <w:pStyle w:val="NormalHanging12a"/>
      </w:pPr>
      <w:r w:rsidRPr="00867B2F">
        <w:t>21</w:t>
      </w:r>
      <w:r w:rsidR="006C7E13" w:rsidRPr="00867B2F">
        <w:t>.</w:t>
      </w:r>
      <w:r w:rsidR="006C7E13" w:rsidRPr="00867B2F">
        <w:tab/>
        <w:t>Europaparlamentet noterar de isärgående Target2-saldona till följd av gränsöverskridande transaktioner. Parlamentet noterar de potentiella riskerna med att Target2-saldona håller på att bli strukturella och föreslår att icke-penningpolitiska justeringar bör övervägas.</w:t>
      </w:r>
    </w:p>
    <w:p w14:paraId="337AA142" w14:textId="430AB28F" w:rsidR="006C7E13" w:rsidRPr="00867B2F" w:rsidRDefault="006C7E13" w:rsidP="006C7E13">
      <w:pPr>
        <w:pStyle w:val="NormalHanging12a"/>
      </w:pPr>
      <w:r w:rsidRPr="00867B2F">
        <w:t>2</w:t>
      </w:r>
      <w:r w:rsidR="00610A04" w:rsidRPr="00867B2F">
        <w:t>2</w:t>
      </w:r>
      <w:r w:rsidRPr="00867B2F">
        <w:t>.</w:t>
      </w:r>
      <w:r w:rsidRPr="00867B2F">
        <w:tab/>
      </w:r>
      <w:r w:rsidR="00531FA2" w:rsidRPr="00867B2F">
        <w:t>Europaparlamentet understryker att ECB endast bör beakta klimatförändringarnas potentiella effekter ur ett prisstabilitetsperspektiv och inom ramen för sitt mandat.</w:t>
      </w:r>
    </w:p>
    <w:p w14:paraId="0289337A" w14:textId="64771E5D" w:rsidR="006C7E13" w:rsidRPr="00867B2F" w:rsidRDefault="006C7E13" w:rsidP="006C7E13">
      <w:pPr>
        <w:pStyle w:val="NormalHanging12a"/>
      </w:pPr>
      <w:r w:rsidRPr="00867B2F">
        <w:t>2</w:t>
      </w:r>
      <w:r w:rsidR="00610A04" w:rsidRPr="00867B2F">
        <w:t>3</w:t>
      </w:r>
      <w:r w:rsidRPr="00867B2F">
        <w:t>.</w:t>
      </w:r>
      <w:r w:rsidRPr="00867B2F">
        <w:tab/>
        <w:t>Europaparlamentet noterar att begreppet marknadsneutralitet är kopplat till principen om en öppen marknadsekonomi med fri konkurrens. Parlamentet uppmanar ECB att, samtidigt som dess oberoende respekteras, ta itu med marknadsmisslyckanden och säkerställa en effektiv resursfördelning på lång sikt, samtidigt som den förblir så opolitisk som möjligt och respekterar marknadsneutralitet. Parlamentet betonar att sådana beslut inte får fattas på bekostnad av uppnåendet av ECB:s mål.</w:t>
      </w:r>
    </w:p>
    <w:p w14:paraId="64888245" w14:textId="48D4B9AA" w:rsidR="006C7E13" w:rsidRPr="00867B2F" w:rsidRDefault="006C7E13" w:rsidP="006C7E13">
      <w:pPr>
        <w:pStyle w:val="NormalHanging12a"/>
      </w:pPr>
      <w:r w:rsidRPr="00867B2F">
        <w:t>2</w:t>
      </w:r>
      <w:r w:rsidR="00610A04" w:rsidRPr="00867B2F">
        <w:t>4</w:t>
      </w:r>
      <w:r w:rsidRPr="00867B2F">
        <w:t>.</w:t>
      </w:r>
      <w:r w:rsidRPr="00867B2F">
        <w:tab/>
        <w:t>Europaparlamentet konstaterar att ECB-penningpolitik som syftar till att fullgöra dess primära mandat är föremål för en proportionalitetsbedömning.</w:t>
      </w:r>
    </w:p>
    <w:p w14:paraId="63FA7EB0" w14:textId="77777777" w:rsidR="006C7E13" w:rsidRPr="00867B2F" w:rsidRDefault="006C7E13" w:rsidP="006C7E13">
      <w:pPr>
        <w:pStyle w:val="Normal12a"/>
      </w:pPr>
      <w:r w:rsidRPr="00867B2F">
        <w:rPr>
          <w:b/>
          <w:i/>
        </w:rPr>
        <w:t>Övriga aspekter</w:t>
      </w:r>
    </w:p>
    <w:p w14:paraId="27A481FD" w14:textId="5414CF06" w:rsidR="00610A04" w:rsidRPr="00867B2F" w:rsidRDefault="00610A04" w:rsidP="006C7E13">
      <w:pPr>
        <w:pStyle w:val="NormalHanging12a"/>
      </w:pPr>
      <w:r w:rsidRPr="00867B2F">
        <w:t>25.</w:t>
      </w:r>
      <w:r w:rsidRPr="00867B2F">
        <w:tab/>
        <w:t xml:space="preserve">Europaparlamentet påminner om att lika tillgång till betaltjänster är avgörande för deltagande i det ekonomiska livet. Parlamentet understryker att den ökande digitaliseringen av betalningar, om den uteslutande överlåts till privata aktörer och aktörer utanför EU, riskerar att skapa nya former av utestängning för både användare och handlare. Parlamentet betonar att en digital euro online och </w:t>
      </w:r>
      <w:proofErr w:type="spellStart"/>
      <w:r w:rsidRPr="00867B2F">
        <w:t>offline</w:t>
      </w:r>
      <w:proofErr w:type="spellEnd"/>
      <w:r w:rsidRPr="00867B2F">
        <w:t xml:space="preserve"> bör bidra till att skydda den allmänna tillgången till betalningar och säkerställa en bred acceptans bland handlare i hela EU, samtidigt som integritets- och dataskyddsstandarder respekteras fullt ut.</w:t>
      </w:r>
    </w:p>
    <w:p w14:paraId="1BDB0CD1" w14:textId="6BB6FED8" w:rsidR="006C7E13" w:rsidRPr="00867B2F" w:rsidRDefault="00610A04" w:rsidP="006C7E13">
      <w:pPr>
        <w:pStyle w:val="NormalHanging12a"/>
      </w:pPr>
      <w:r w:rsidRPr="00867B2F">
        <w:t>26</w:t>
      </w:r>
      <w:r w:rsidR="006C7E13" w:rsidRPr="00867B2F">
        <w:t>.</w:t>
      </w:r>
      <w:r w:rsidR="006C7E13" w:rsidRPr="00867B2F">
        <w:tab/>
      </w:r>
      <w:r w:rsidR="00BC491E" w:rsidRPr="00867B2F">
        <w:t>Parlamentet välkomnar de pågående diskussionerna om den digitala euron. Parlamentet understryker att i en situation med ökad geopolitisk osäkerhet och alltför stort beroende av betalningsinfrastrukturer utanför EU är införandet av en digital euro, som är utformad för att komplettera kontanttjänster och privata banktjänster, avgörande för att stärka EU:s monetära suveränitet, minska fragmenteringen av massbetalningar och stödja den inre marknadens integritet och motståndskraft.</w:t>
      </w:r>
    </w:p>
    <w:p w14:paraId="3D877076" w14:textId="665BA4E5" w:rsidR="006C7E13" w:rsidRPr="00867B2F" w:rsidRDefault="006C7E13" w:rsidP="006C7E13">
      <w:pPr>
        <w:pStyle w:val="NormalHanging12a"/>
      </w:pPr>
      <w:r w:rsidRPr="00867B2F">
        <w:t>2</w:t>
      </w:r>
      <w:r w:rsidR="00610A04" w:rsidRPr="00867B2F">
        <w:t>7</w:t>
      </w:r>
      <w:r w:rsidRPr="00867B2F">
        <w:t>.</w:t>
      </w:r>
      <w:r w:rsidRPr="00867B2F">
        <w:tab/>
        <w:t>Europaparlamentet välkomnar de pågående kortfristiga (</w:t>
      </w:r>
      <w:proofErr w:type="spellStart"/>
      <w:r w:rsidRPr="00867B2F">
        <w:t>Pontes</w:t>
      </w:r>
      <w:proofErr w:type="spellEnd"/>
      <w:r w:rsidRPr="00867B2F">
        <w:t>) och långsiktiga (Appia) spåren för projekten med distribuerade liggare för avveckling av centralbankspengar för stora bankmarknadsaktörer.</w:t>
      </w:r>
    </w:p>
    <w:p w14:paraId="0FF24419" w14:textId="64D1CBEB" w:rsidR="006C7E13" w:rsidRPr="00867B2F" w:rsidRDefault="006C7E13" w:rsidP="006C7E13">
      <w:pPr>
        <w:pStyle w:val="NormalHanging12a"/>
      </w:pPr>
      <w:r w:rsidRPr="00867B2F">
        <w:t>2</w:t>
      </w:r>
      <w:r w:rsidR="00610A04" w:rsidRPr="00867B2F">
        <w:t>8</w:t>
      </w:r>
      <w:r w:rsidRPr="00867B2F">
        <w:t>.</w:t>
      </w:r>
      <w:r w:rsidRPr="00867B2F">
        <w:tab/>
        <w:t>Europaparlamentet betonar vikten av att bevara kontanternas roll. Parlamentet noterar de pågående diskussionerna om förslaget om lagligt betalningsmedel.</w:t>
      </w:r>
    </w:p>
    <w:p w14:paraId="5C2B35C4" w14:textId="5F88D155" w:rsidR="006C7E13" w:rsidRPr="00867B2F" w:rsidRDefault="006C7E13" w:rsidP="006C7E13">
      <w:pPr>
        <w:pStyle w:val="NormalHanging12a"/>
      </w:pPr>
      <w:r w:rsidRPr="00867B2F">
        <w:t>2</w:t>
      </w:r>
      <w:r w:rsidR="00610A04" w:rsidRPr="00867B2F">
        <w:t>9</w:t>
      </w:r>
      <w:r w:rsidRPr="00867B2F">
        <w:t>.</w:t>
      </w:r>
      <w:r w:rsidRPr="00867B2F">
        <w:tab/>
        <w:t xml:space="preserve">Europaparlamentet uppmanar ECB att intensifiera övervakningen av kryptotillgångar, såsom </w:t>
      </w:r>
      <w:proofErr w:type="spellStart"/>
      <w:r w:rsidRPr="00867B2F">
        <w:t>stablecoins</w:t>
      </w:r>
      <w:proofErr w:type="spellEnd"/>
      <w:r w:rsidRPr="00867B2F">
        <w:t>.</w:t>
      </w:r>
    </w:p>
    <w:p w14:paraId="00BA935F" w14:textId="1ED3975A" w:rsidR="006C7E13" w:rsidRPr="00867B2F" w:rsidRDefault="00610A04" w:rsidP="006C7E13">
      <w:pPr>
        <w:pStyle w:val="NormalHanging12a"/>
      </w:pPr>
      <w:r w:rsidRPr="00867B2F">
        <w:t>30</w:t>
      </w:r>
      <w:r w:rsidR="006C7E13" w:rsidRPr="00867B2F">
        <w:t>.</w:t>
      </w:r>
      <w:r w:rsidR="006C7E13" w:rsidRPr="00867B2F">
        <w:tab/>
        <w:t xml:space="preserve">Europaparlamentet stöder ECB i dess ansträngningar att beakta eurons internationella roll, bland annat genom tillräckliga </w:t>
      </w:r>
      <w:proofErr w:type="spellStart"/>
      <w:r w:rsidR="006C7E13" w:rsidRPr="00867B2F">
        <w:t>valutaswappar</w:t>
      </w:r>
      <w:proofErr w:type="spellEnd"/>
      <w:r w:rsidR="006C7E13" w:rsidRPr="00867B2F">
        <w:t xml:space="preserve"> och repor.</w:t>
      </w:r>
    </w:p>
    <w:p w14:paraId="10B45DF6" w14:textId="366219A2" w:rsidR="006C7E13" w:rsidRPr="00867B2F" w:rsidRDefault="00610A04" w:rsidP="006C7E13">
      <w:pPr>
        <w:pStyle w:val="NormalHanging12a"/>
      </w:pPr>
      <w:r w:rsidRPr="00867B2F">
        <w:lastRenderedPageBreak/>
        <w:t>31</w:t>
      </w:r>
      <w:r w:rsidR="006C7E13" w:rsidRPr="00867B2F">
        <w:t>.</w:t>
      </w:r>
      <w:r w:rsidR="006C7E13" w:rsidRPr="00867B2F">
        <w:tab/>
        <w:t>Europaparlamentet välkomnar Republiken Bulgarien som den 21:a medlemmen i euroområdet sedan den 1 januari 2026.</w:t>
      </w:r>
    </w:p>
    <w:p w14:paraId="72854D8E" w14:textId="6C7E2FB2" w:rsidR="006C7E13" w:rsidRPr="00867B2F" w:rsidRDefault="00610A04" w:rsidP="006C7E13">
      <w:pPr>
        <w:pStyle w:val="NormalHanging12a"/>
      </w:pPr>
      <w:r w:rsidRPr="00867B2F">
        <w:t>32</w:t>
      </w:r>
      <w:r w:rsidR="006C7E13" w:rsidRPr="00867B2F">
        <w:t>.</w:t>
      </w:r>
      <w:r w:rsidR="006C7E13" w:rsidRPr="00867B2F">
        <w:tab/>
        <w:t>Europaparlamentet uttrycker oro över det tillfälliga avbrott i ECB:s bruttoavvecklingssystem i realtid T2 och T2S som ägde rum i februari 2025. Parlamentet uppmanar ECB att noga övervaka och säkerställa att avvecklingssystemen fungerar korrekt.</w:t>
      </w:r>
    </w:p>
    <w:p w14:paraId="7EFD25D9" w14:textId="3FF8A352" w:rsidR="006C7E13" w:rsidRPr="00867B2F" w:rsidRDefault="006C7E13" w:rsidP="006C7E13">
      <w:pPr>
        <w:pStyle w:val="NormalHanging12a"/>
      </w:pPr>
      <w:r w:rsidRPr="00867B2F">
        <w:t>3</w:t>
      </w:r>
      <w:r w:rsidR="00610A04" w:rsidRPr="00867B2F">
        <w:t>3</w:t>
      </w:r>
      <w:r w:rsidRPr="00867B2F">
        <w:t>.</w:t>
      </w:r>
      <w:r w:rsidRPr="00867B2F">
        <w:tab/>
        <w:t>Europaparlamentet uttrycker sin oro över de förluster som ECB gjorde både under 2023 och 2024 på grund av ränterisk. Parlamentet noterar att dessa förluster inte har komprometterat Eurosystemets operativa förmåga att genomföra sin penningpolitik.</w:t>
      </w:r>
    </w:p>
    <w:p w14:paraId="50A1F596" w14:textId="409E4ABE" w:rsidR="006C7E13" w:rsidRPr="00867B2F" w:rsidRDefault="006C7E13" w:rsidP="006C7E13">
      <w:pPr>
        <w:pStyle w:val="NormalHanging12a"/>
      </w:pPr>
      <w:r w:rsidRPr="00867B2F">
        <w:t>3</w:t>
      </w:r>
      <w:r w:rsidR="00610A04" w:rsidRPr="00867B2F">
        <w:t>4</w:t>
      </w:r>
      <w:r w:rsidRPr="00867B2F">
        <w:t>.</w:t>
      </w:r>
      <w:r w:rsidRPr="00867B2F">
        <w:tab/>
        <w:t>Europaparlamentet stöder ECB:s roll när det gäller att främja finansiell stabilitet inom den gemensamma tillsynsmekanismen och ECB:s funktion som långivare i sista hand till solventa institut, mot goda säkerheter och till straffbetonade räntesatser, för att skydda likviditet och förtroende under kriser.</w:t>
      </w:r>
    </w:p>
    <w:p w14:paraId="705749CA" w14:textId="13A63F95" w:rsidR="006C7E13" w:rsidRPr="00867B2F" w:rsidRDefault="006C7E13" w:rsidP="006C7E13">
      <w:pPr>
        <w:pStyle w:val="NormalHanging12a"/>
      </w:pPr>
      <w:r w:rsidRPr="00867B2F">
        <w:t>3</w:t>
      </w:r>
      <w:r w:rsidR="00610A04" w:rsidRPr="00867B2F">
        <w:t>5</w:t>
      </w:r>
      <w:r w:rsidRPr="00867B2F">
        <w:t>.</w:t>
      </w:r>
      <w:r w:rsidRPr="00867B2F">
        <w:tab/>
        <w:t>Europaparlamentet stöder ECB i dess insatser för att förbättra finanskunskaperna i EU.</w:t>
      </w:r>
    </w:p>
    <w:p w14:paraId="5FB6C377" w14:textId="6BE1E176" w:rsidR="006C7E13" w:rsidRPr="00867B2F" w:rsidRDefault="006C7E13" w:rsidP="006C7E13">
      <w:pPr>
        <w:pStyle w:val="NormalHanging12a"/>
      </w:pPr>
      <w:r w:rsidRPr="00867B2F">
        <w:t>3</w:t>
      </w:r>
      <w:r w:rsidR="00610A04" w:rsidRPr="00867B2F">
        <w:t>6</w:t>
      </w:r>
      <w:r w:rsidRPr="00867B2F">
        <w:t>.</w:t>
      </w:r>
      <w:r w:rsidRPr="00867B2F">
        <w:tab/>
        <w:t>Europaparlamentet välkomnar ECB:s engagemang för förenklingsinsatser, såsom inrättandet av ECB:s högnivågrupp för förenkling. Parlamentet pekar på behovet av en hög ambitionsnivå i arbetsgruppens arbete och uppföljningen av detta och välkomnar ECB:s ingående diskussioner med parlamentet.</w:t>
      </w:r>
    </w:p>
    <w:p w14:paraId="01759A74" w14:textId="53935DC2" w:rsidR="006C7E13" w:rsidRPr="00867B2F" w:rsidRDefault="006C7E13" w:rsidP="006C7E13">
      <w:pPr>
        <w:pStyle w:val="NormalHanging12a"/>
      </w:pPr>
      <w:r w:rsidRPr="00867B2F">
        <w:t>3</w:t>
      </w:r>
      <w:r w:rsidR="00610A04" w:rsidRPr="00867B2F">
        <w:t>7</w:t>
      </w:r>
      <w:r w:rsidRPr="00867B2F">
        <w:t>.</w:t>
      </w:r>
      <w:r w:rsidRPr="00867B2F">
        <w:tab/>
        <w:t>Europaparlamentet uppmanar ECB att främja en öppen och konstruktiv intern dialog. Parlamentet efterlyser en ytterligare förbättring av ramarna för personalrepresentation och ECB:s interna ram för visselblåsning.</w:t>
      </w:r>
    </w:p>
    <w:p w14:paraId="17B30F09" w14:textId="5780B8E9" w:rsidR="006C7E13" w:rsidRPr="00867B2F" w:rsidRDefault="006C7E13" w:rsidP="006C7E13">
      <w:pPr>
        <w:pStyle w:val="NormalHanging12a"/>
      </w:pPr>
      <w:r w:rsidRPr="00867B2F">
        <w:t>3</w:t>
      </w:r>
      <w:r w:rsidR="00610A04" w:rsidRPr="00867B2F">
        <w:t>8</w:t>
      </w:r>
      <w:r w:rsidRPr="00867B2F">
        <w:t>.</w:t>
      </w:r>
      <w:r w:rsidRPr="00867B2F">
        <w:tab/>
        <w:t>Europaparlamentet upprepar att nomineringarna till ECB:s direktion bör vara könsbalanserade, merit- och kompetensbaserade, med slutlistor som överlämnas till parlamentet, och att personer av alla kön bör ha lika möjligheter att tjänstgöra som chefer för sina respektive nationella centralbanker.</w:t>
      </w:r>
    </w:p>
    <w:p w14:paraId="4B549D45" w14:textId="0042AFE5" w:rsidR="006C7E13" w:rsidRPr="00867B2F" w:rsidRDefault="006C7E13" w:rsidP="006C7E13">
      <w:pPr>
        <w:pStyle w:val="NormalHanging12a"/>
      </w:pPr>
      <w:r w:rsidRPr="00867B2F">
        <w:t>3</w:t>
      </w:r>
      <w:r w:rsidR="00610A04" w:rsidRPr="00867B2F">
        <w:t>9</w:t>
      </w:r>
      <w:r w:rsidRPr="00867B2F">
        <w:t>.</w:t>
      </w:r>
      <w:r w:rsidRPr="00867B2F">
        <w:tab/>
        <w:t>Europaparlamentet uppmanar ECBS att fortsätta och stärka sina dialoger med de nationella parlamenten, vilket enligt parlamentet skulle stärka ECBS legitimitet och policyinriktningar.</w:t>
      </w:r>
    </w:p>
    <w:p w14:paraId="08222C9C" w14:textId="77777777" w:rsidR="006C7E13" w:rsidRPr="00867B2F" w:rsidRDefault="006C7E13" w:rsidP="006C7E13">
      <w:pPr>
        <w:pStyle w:val="NormalCenter12a"/>
      </w:pPr>
      <w:r w:rsidRPr="00867B2F">
        <w:t>°</w:t>
      </w:r>
    </w:p>
    <w:p w14:paraId="221611E0" w14:textId="77777777" w:rsidR="006C7E13" w:rsidRPr="00867B2F" w:rsidRDefault="006C7E13" w:rsidP="006C7E13">
      <w:pPr>
        <w:pStyle w:val="NormalCenter12a"/>
      </w:pPr>
      <w:r w:rsidRPr="00867B2F">
        <w:t>°</w:t>
      </w:r>
      <w:r w:rsidRPr="00867B2F">
        <w:tab/>
        <w:t>°</w:t>
      </w:r>
    </w:p>
    <w:p w14:paraId="711983F5" w14:textId="756A17EA" w:rsidR="00E365E1" w:rsidRPr="00312DDF" w:rsidRDefault="00610A04" w:rsidP="00867B2F">
      <w:pPr>
        <w:pStyle w:val="NormalHanging12a"/>
      </w:pPr>
      <w:r w:rsidRPr="00867B2F">
        <w:t>40</w:t>
      </w:r>
      <w:r w:rsidR="006C7E13" w:rsidRPr="00867B2F">
        <w:t>.</w:t>
      </w:r>
      <w:r w:rsidR="006C7E13" w:rsidRPr="00867B2F">
        <w:tab/>
        <w:t>Europaparlamentet uppdrar åt talmannen att översända denna resolution till rådet och kommissionen.</w:t>
      </w:r>
    </w:p>
    <w:sectPr w:rsidR="00E365E1" w:rsidRPr="00312DDF" w:rsidSect="00312D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B998" w14:textId="77777777" w:rsidR="00B27243" w:rsidRPr="00312DDF" w:rsidRDefault="00B27243">
      <w:r w:rsidRPr="00312DDF">
        <w:separator/>
      </w:r>
    </w:p>
  </w:endnote>
  <w:endnote w:type="continuationSeparator" w:id="0">
    <w:p w14:paraId="33D75F37" w14:textId="77777777" w:rsidR="00B27243" w:rsidRPr="00312DDF" w:rsidRDefault="00B27243">
      <w:r w:rsidRPr="00312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5732D" w14:textId="77777777" w:rsidR="00064002" w:rsidRPr="00312D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007A" w14:textId="77777777" w:rsidR="00064002" w:rsidRPr="00312D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6237" w14:textId="77777777" w:rsidR="00064002" w:rsidRPr="00312D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9ADDD" w14:textId="77777777" w:rsidR="00B27243" w:rsidRPr="00312DDF" w:rsidRDefault="00B27243">
      <w:r w:rsidRPr="00312DDF">
        <w:separator/>
      </w:r>
    </w:p>
  </w:footnote>
  <w:footnote w:type="continuationSeparator" w:id="0">
    <w:p w14:paraId="71D5706E" w14:textId="77777777" w:rsidR="00B27243" w:rsidRPr="00312DDF" w:rsidRDefault="00B27243">
      <w:r w:rsidRPr="00312DDF">
        <w:continuationSeparator/>
      </w:r>
    </w:p>
  </w:footnote>
  <w:footnote w:id="1">
    <w:p w14:paraId="61ADFF95" w14:textId="42C53785" w:rsidR="009F0088" w:rsidRPr="00867B2F" w:rsidRDefault="009F0088" w:rsidP="00867B2F">
      <w:pPr>
        <w:pStyle w:val="FootnoteText"/>
        <w:ind w:left="567" w:hanging="567"/>
        <w:rPr>
          <w:lang w:val="sv-SE"/>
        </w:rPr>
      </w:pPr>
      <w:r>
        <w:rPr>
          <w:rStyle w:val="FootnoteReference"/>
        </w:rPr>
        <w:footnoteRef/>
      </w:r>
      <w:r w:rsidRPr="00867B2F">
        <w:rPr>
          <w:lang w:val="en-GB"/>
        </w:rPr>
        <w:t xml:space="preserve"> </w:t>
      </w:r>
      <w:r w:rsidRPr="00867B2F">
        <w:rPr>
          <w:lang w:val="en-GB"/>
        </w:rPr>
        <w:tab/>
      </w:r>
      <w:r w:rsidRPr="001F467B">
        <w:rPr>
          <w:sz w:val="24"/>
          <w:lang w:val="en-GB"/>
        </w:rPr>
        <w:t xml:space="preserve">Briefing – </w:t>
      </w:r>
      <w:r w:rsidRPr="001F467B">
        <w:rPr>
          <w:i/>
          <w:sz w:val="24"/>
          <w:lang w:val="en-GB"/>
        </w:rPr>
        <w:t xml:space="preserve">Turning point or continuity? </w:t>
      </w:r>
      <w:r w:rsidRPr="00312DDF">
        <w:rPr>
          <w:i/>
          <w:sz w:val="24"/>
          <w:lang w:val="sv-SE"/>
        </w:rPr>
        <w:t xml:space="preserve">The ECB ’s 2025 </w:t>
      </w:r>
      <w:proofErr w:type="spellStart"/>
      <w:r w:rsidRPr="00312DDF">
        <w:rPr>
          <w:i/>
          <w:sz w:val="24"/>
          <w:lang w:val="sv-SE"/>
        </w:rPr>
        <w:t>strategy</w:t>
      </w:r>
      <w:proofErr w:type="spellEnd"/>
      <w:r w:rsidRPr="00312DDF">
        <w:rPr>
          <w:i/>
          <w:sz w:val="24"/>
          <w:lang w:val="sv-SE"/>
        </w:rPr>
        <w:t xml:space="preserve"> </w:t>
      </w:r>
      <w:proofErr w:type="spellStart"/>
      <w:r w:rsidRPr="00312DDF">
        <w:rPr>
          <w:i/>
          <w:sz w:val="24"/>
          <w:lang w:val="sv-SE"/>
        </w:rPr>
        <w:t>review</w:t>
      </w:r>
      <w:proofErr w:type="spellEnd"/>
      <w:r w:rsidRPr="00312DDF">
        <w:rPr>
          <w:sz w:val="24"/>
          <w:lang w:val="sv-SE"/>
        </w:rPr>
        <w:t>, Europaparlamentet, Generaldirektoratet för ekonomi, omställning och industri, enheten för granskning av ekonomisk styrning och EMU (EGOV), oktober 2025.</w:t>
      </w:r>
    </w:p>
  </w:footnote>
  <w:footnote w:id="2">
    <w:p w14:paraId="76736492" w14:textId="550D0CF8" w:rsidR="009F0088" w:rsidRPr="00867B2F" w:rsidRDefault="009F0088" w:rsidP="00867B2F">
      <w:pPr>
        <w:pStyle w:val="FootnoteText"/>
        <w:ind w:left="567" w:hanging="567"/>
        <w:rPr>
          <w:lang w:val="sv-SE"/>
        </w:rPr>
      </w:pPr>
      <w:r>
        <w:rPr>
          <w:rStyle w:val="FootnoteReference"/>
        </w:rPr>
        <w:footnoteRef/>
      </w:r>
      <w:r w:rsidRPr="00867B2F">
        <w:rPr>
          <w:lang w:val="sv-SE"/>
        </w:rPr>
        <w:t xml:space="preserve"> </w:t>
      </w:r>
      <w:r w:rsidRPr="00867B2F">
        <w:rPr>
          <w:lang w:val="sv-SE"/>
        </w:rPr>
        <w:tab/>
      </w:r>
      <w:r w:rsidRPr="00312DDF">
        <w:rPr>
          <w:sz w:val="24"/>
          <w:lang w:val="sv-SE"/>
        </w:rPr>
        <w:t>In-</w:t>
      </w:r>
      <w:proofErr w:type="spellStart"/>
      <w:r w:rsidRPr="00312DDF">
        <w:rPr>
          <w:sz w:val="24"/>
          <w:lang w:val="sv-SE"/>
        </w:rPr>
        <w:t>depth</w:t>
      </w:r>
      <w:proofErr w:type="spellEnd"/>
      <w:r w:rsidRPr="00312DDF">
        <w:rPr>
          <w:sz w:val="24"/>
          <w:lang w:val="sv-SE"/>
        </w:rPr>
        <w:t xml:space="preserve"> </w:t>
      </w:r>
      <w:proofErr w:type="spellStart"/>
      <w:r w:rsidRPr="00312DDF">
        <w:rPr>
          <w:sz w:val="24"/>
          <w:lang w:val="sv-SE"/>
        </w:rPr>
        <w:t>analysis</w:t>
      </w:r>
      <w:proofErr w:type="spellEnd"/>
      <w:r w:rsidRPr="00312DDF">
        <w:rPr>
          <w:sz w:val="24"/>
          <w:lang w:val="sv-SE"/>
        </w:rPr>
        <w:t xml:space="preserve"> – </w:t>
      </w:r>
      <w:r w:rsidRPr="00312DDF">
        <w:rPr>
          <w:i/>
          <w:sz w:val="24"/>
          <w:lang w:val="sv-SE"/>
        </w:rPr>
        <w:t xml:space="preserve">The </w:t>
      </w:r>
      <w:proofErr w:type="spellStart"/>
      <w:r w:rsidRPr="00312DDF">
        <w:rPr>
          <w:i/>
          <w:sz w:val="24"/>
          <w:lang w:val="sv-SE"/>
        </w:rPr>
        <w:t>silent</w:t>
      </w:r>
      <w:proofErr w:type="spellEnd"/>
      <w:r w:rsidRPr="00312DDF">
        <w:rPr>
          <w:i/>
          <w:sz w:val="24"/>
          <w:lang w:val="sv-SE"/>
        </w:rPr>
        <w:t xml:space="preserve"> hand </w:t>
      </w:r>
      <w:proofErr w:type="spellStart"/>
      <w:r w:rsidRPr="00312DDF">
        <w:rPr>
          <w:i/>
          <w:sz w:val="24"/>
          <w:lang w:val="sv-SE"/>
        </w:rPr>
        <w:t>of</w:t>
      </w:r>
      <w:proofErr w:type="spellEnd"/>
      <w:r w:rsidRPr="00312DDF">
        <w:rPr>
          <w:i/>
          <w:sz w:val="24"/>
          <w:lang w:val="sv-SE"/>
        </w:rPr>
        <w:t xml:space="preserve"> central </w:t>
      </w:r>
      <w:proofErr w:type="spellStart"/>
      <w:r w:rsidRPr="00312DDF">
        <w:rPr>
          <w:i/>
          <w:sz w:val="24"/>
          <w:lang w:val="sv-SE"/>
        </w:rPr>
        <w:t>banking</w:t>
      </w:r>
      <w:proofErr w:type="spellEnd"/>
      <w:r w:rsidRPr="00312DDF">
        <w:rPr>
          <w:i/>
          <w:sz w:val="24"/>
          <w:lang w:val="sv-SE"/>
        </w:rPr>
        <w:t xml:space="preserve">: </w:t>
      </w:r>
      <w:proofErr w:type="spellStart"/>
      <w:r w:rsidRPr="00312DDF">
        <w:rPr>
          <w:i/>
          <w:sz w:val="24"/>
          <w:lang w:val="sv-SE"/>
        </w:rPr>
        <w:t>collateral</w:t>
      </w:r>
      <w:proofErr w:type="spellEnd"/>
      <w:r w:rsidRPr="00312DDF">
        <w:rPr>
          <w:i/>
          <w:sz w:val="24"/>
          <w:lang w:val="sv-SE"/>
        </w:rPr>
        <w:t xml:space="preserve"> </w:t>
      </w:r>
      <w:proofErr w:type="spellStart"/>
      <w:r w:rsidRPr="00312DDF">
        <w:rPr>
          <w:i/>
          <w:sz w:val="24"/>
          <w:lang w:val="sv-SE"/>
        </w:rPr>
        <w:t>framework</w:t>
      </w:r>
      <w:proofErr w:type="spellEnd"/>
      <w:r w:rsidRPr="00312DDF">
        <w:rPr>
          <w:sz w:val="24"/>
          <w:lang w:val="sv-SE"/>
        </w:rPr>
        <w:t>, Europaparlamentet, Generaldirektoratet för ekonomi, omställning och industrifrågor, EGOV, June 2025.</w:t>
      </w:r>
    </w:p>
  </w:footnote>
  <w:footnote w:id="3">
    <w:p w14:paraId="42991507" w14:textId="17C7CD87" w:rsidR="009F0088" w:rsidRPr="00867B2F" w:rsidRDefault="009F0088" w:rsidP="00867B2F">
      <w:pPr>
        <w:pStyle w:val="FootnoteText"/>
        <w:ind w:left="567" w:hanging="567"/>
        <w:rPr>
          <w:lang w:val="en-GB"/>
        </w:rPr>
      </w:pPr>
      <w:r>
        <w:rPr>
          <w:rStyle w:val="FootnoteReference"/>
        </w:rPr>
        <w:footnoteRef/>
      </w:r>
      <w:r w:rsidRPr="00867B2F">
        <w:rPr>
          <w:lang w:val="en-GB"/>
        </w:rPr>
        <w:t xml:space="preserve"> </w:t>
      </w:r>
      <w:r>
        <w:rPr>
          <w:lang w:val="en-GB"/>
        </w:rPr>
        <w:tab/>
      </w:r>
      <w:r w:rsidRPr="001F467B">
        <w:rPr>
          <w:sz w:val="24"/>
          <w:lang w:val="en-GB"/>
        </w:rPr>
        <w:t>Cochrane, J.H. et al.</w:t>
      </w:r>
      <w:proofErr w:type="gramStart"/>
      <w:r w:rsidRPr="001F467B">
        <w:rPr>
          <w:sz w:val="24"/>
          <w:lang w:val="en-GB"/>
        </w:rPr>
        <w:t>, ”Crisis</w:t>
      </w:r>
      <w:proofErr w:type="gramEnd"/>
      <w:r w:rsidRPr="001F467B">
        <w:rPr>
          <w:sz w:val="24"/>
          <w:lang w:val="en-GB"/>
        </w:rPr>
        <w:t xml:space="preserve"> Cycle: Challenges, Evolution, and Future of the Euro”, Princeton University Press, 2025.</w:t>
      </w:r>
    </w:p>
  </w:footnote>
  <w:footnote w:id="4">
    <w:p w14:paraId="7BAC3080" w14:textId="1A8F09F7" w:rsidR="00AE5F10" w:rsidRPr="00AE5F10" w:rsidRDefault="00AE5F10" w:rsidP="00AE5F10">
      <w:pPr>
        <w:pStyle w:val="FootnoteText"/>
        <w:ind w:left="567" w:hanging="567"/>
        <w:rPr>
          <w:sz w:val="24"/>
          <w:szCs w:val="24"/>
          <w:lang w:val="en-GB"/>
        </w:rPr>
      </w:pPr>
      <w:r w:rsidRPr="00AE5F10">
        <w:rPr>
          <w:rStyle w:val="FootnoteReference"/>
          <w:sz w:val="24"/>
          <w:szCs w:val="24"/>
        </w:rPr>
        <w:footnoteRef/>
      </w:r>
      <w:r w:rsidRPr="00AE5F10">
        <w:rPr>
          <w:sz w:val="24"/>
          <w:szCs w:val="24"/>
          <w:lang w:val="en-GB"/>
        </w:rPr>
        <w:t xml:space="preserve"> </w:t>
      </w:r>
      <w:r w:rsidRPr="00AE5F10">
        <w:rPr>
          <w:sz w:val="24"/>
          <w:szCs w:val="24"/>
          <w:lang w:val="en-GB"/>
        </w:rPr>
        <w:tab/>
        <w:t>ECB-</w:t>
      </w:r>
      <w:proofErr w:type="spellStart"/>
      <w:r w:rsidRPr="00AE5F10">
        <w:rPr>
          <w:sz w:val="24"/>
          <w:szCs w:val="24"/>
          <w:lang w:val="en-GB"/>
        </w:rPr>
        <w:t>bloggen</w:t>
      </w:r>
      <w:proofErr w:type="spellEnd"/>
      <w:proofErr w:type="gramStart"/>
      <w:r w:rsidRPr="00AE5F10">
        <w:rPr>
          <w:sz w:val="24"/>
          <w:szCs w:val="24"/>
          <w:lang w:val="en-GB"/>
        </w:rPr>
        <w:t>, ”When</w:t>
      </w:r>
      <w:proofErr w:type="gramEnd"/>
      <w:r w:rsidRPr="00AE5F10">
        <w:rPr>
          <w:sz w:val="24"/>
          <w:szCs w:val="24"/>
          <w:lang w:val="en-GB"/>
        </w:rPr>
        <w:t xml:space="preserve"> groceries bite, the role of food prices for inflation in the euro area”, 25 </w:t>
      </w:r>
      <w:proofErr w:type="spellStart"/>
      <w:r w:rsidRPr="00AE5F10">
        <w:rPr>
          <w:sz w:val="24"/>
          <w:szCs w:val="24"/>
          <w:lang w:val="en-GB"/>
        </w:rPr>
        <w:t>september</w:t>
      </w:r>
      <w:proofErr w:type="spellEnd"/>
      <w:r w:rsidRPr="00AE5F10">
        <w:rPr>
          <w:sz w:val="24"/>
          <w:szCs w:val="24"/>
          <w:lang w:val="en-GB"/>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1AAD6" w14:textId="77777777" w:rsidR="00064002" w:rsidRPr="00312D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4A63" w14:textId="77777777" w:rsidR="00064002" w:rsidRPr="00312D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C28C" w14:textId="77777777" w:rsidR="00064002" w:rsidRPr="00312D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575276">
    <w:abstractNumId w:val="9"/>
  </w:num>
  <w:num w:numId="2" w16cid:durableId="1020358740">
    <w:abstractNumId w:val="9"/>
  </w:num>
  <w:num w:numId="3" w16cid:durableId="1759445327">
    <w:abstractNumId w:val="7"/>
  </w:num>
  <w:num w:numId="4" w16cid:durableId="1052079377">
    <w:abstractNumId w:val="7"/>
  </w:num>
  <w:num w:numId="5" w16cid:durableId="819346086">
    <w:abstractNumId w:val="6"/>
  </w:num>
  <w:num w:numId="6" w16cid:durableId="1672440518">
    <w:abstractNumId w:val="6"/>
  </w:num>
  <w:num w:numId="7" w16cid:durableId="178355913">
    <w:abstractNumId w:val="5"/>
  </w:num>
  <w:num w:numId="8" w16cid:durableId="215243133">
    <w:abstractNumId w:val="5"/>
  </w:num>
  <w:num w:numId="9" w16cid:durableId="1286693034">
    <w:abstractNumId w:val="4"/>
  </w:num>
  <w:num w:numId="10" w16cid:durableId="626010531">
    <w:abstractNumId w:val="4"/>
  </w:num>
  <w:num w:numId="11" w16cid:durableId="1083797289">
    <w:abstractNumId w:val="8"/>
  </w:num>
  <w:num w:numId="12" w16cid:durableId="1736465619">
    <w:abstractNumId w:val="8"/>
  </w:num>
  <w:num w:numId="13" w16cid:durableId="1561280675">
    <w:abstractNumId w:val="3"/>
  </w:num>
  <w:num w:numId="14" w16cid:durableId="2013533364">
    <w:abstractNumId w:val="3"/>
  </w:num>
  <w:num w:numId="15" w16cid:durableId="1262840356">
    <w:abstractNumId w:val="2"/>
  </w:num>
  <w:num w:numId="16" w16cid:durableId="264965572">
    <w:abstractNumId w:val="2"/>
  </w:num>
  <w:num w:numId="17" w16cid:durableId="1457092960">
    <w:abstractNumId w:val="1"/>
  </w:num>
  <w:num w:numId="18" w16cid:durableId="431173402">
    <w:abstractNumId w:val="1"/>
  </w:num>
  <w:num w:numId="19" w16cid:durableId="916940255">
    <w:abstractNumId w:val="0"/>
  </w:num>
  <w:num w:numId="20" w16cid:durableId="1700005267">
    <w:abstractNumId w:val="0"/>
  </w:num>
  <w:num w:numId="21" w16cid:durableId="1949197072">
    <w:abstractNumId w:val="9"/>
  </w:num>
  <w:num w:numId="22" w16cid:durableId="727071894">
    <w:abstractNumId w:val="7"/>
  </w:num>
  <w:num w:numId="23" w16cid:durableId="343747055">
    <w:abstractNumId w:val="6"/>
  </w:num>
  <w:num w:numId="24" w16cid:durableId="1086460219">
    <w:abstractNumId w:val="5"/>
  </w:num>
  <w:num w:numId="25" w16cid:durableId="775563624">
    <w:abstractNumId w:val="4"/>
  </w:num>
  <w:num w:numId="26" w16cid:durableId="88504460">
    <w:abstractNumId w:val="8"/>
  </w:num>
  <w:num w:numId="27" w16cid:durableId="920675813">
    <w:abstractNumId w:val="3"/>
  </w:num>
  <w:num w:numId="28" w16cid:durableId="172037803">
    <w:abstractNumId w:val="2"/>
  </w:num>
  <w:num w:numId="29" w16cid:durableId="891624613">
    <w:abstractNumId w:val="1"/>
  </w:num>
  <w:num w:numId="30" w16cid:durableId="712731950">
    <w:abstractNumId w:val="0"/>
  </w:num>
  <w:num w:numId="31" w16cid:durableId="473639625">
    <w:abstractNumId w:val="9"/>
  </w:num>
  <w:num w:numId="32" w16cid:durableId="2071953148">
    <w:abstractNumId w:val="7"/>
  </w:num>
  <w:num w:numId="33" w16cid:durableId="331106079">
    <w:abstractNumId w:val="6"/>
  </w:num>
  <w:num w:numId="34" w16cid:durableId="474571283">
    <w:abstractNumId w:val="5"/>
  </w:num>
  <w:num w:numId="35" w16cid:durableId="1669794985">
    <w:abstractNumId w:val="4"/>
  </w:num>
  <w:num w:numId="36" w16cid:durableId="1002509198">
    <w:abstractNumId w:val="8"/>
  </w:num>
  <w:num w:numId="37" w16cid:durableId="217128527">
    <w:abstractNumId w:val="3"/>
  </w:num>
  <w:num w:numId="38" w16cid:durableId="1260480779">
    <w:abstractNumId w:val="2"/>
  </w:num>
  <w:num w:numId="39" w16cid:durableId="218246569">
    <w:abstractNumId w:val="1"/>
  </w:num>
  <w:num w:numId="40" w16cid:durableId="1828590960">
    <w:abstractNumId w:val="0"/>
  </w:num>
  <w:num w:numId="41" w16cid:durableId="1574123546">
    <w:abstractNumId w:val="10"/>
  </w:num>
  <w:num w:numId="42" w16cid:durableId="1769154175">
    <w:abstractNumId w:val="10"/>
  </w:num>
  <w:num w:numId="43" w16cid:durableId="62679536">
    <w:abstractNumId w:val="10"/>
  </w:num>
  <w:num w:numId="44" w16cid:durableId="1988170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SV"/>
    <w:docVar w:name="dvnumam" w:val="0"/>
    <w:docVar w:name="dvpe" w:val="778.306"/>
    <w:docVar w:name="dvrapporteur" w:val="Föredragande: "/>
    <w:docVar w:name="dvtitre" w:val="Europaparlamentets resolution av den xx xx 2026 om Europeiska centralbanken – årsrapport 2025(2025/2182(INI))"/>
  </w:docVars>
  <w:rsids>
    <w:rsidRoot w:val="00B27243"/>
    <w:rsid w:val="00002272"/>
    <w:rsid w:val="00064002"/>
    <w:rsid w:val="000677B9"/>
    <w:rsid w:val="0007183B"/>
    <w:rsid w:val="000831BA"/>
    <w:rsid w:val="000A42CC"/>
    <w:rsid w:val="000E7DD9"/>
    <w:rsid w:val="0010095E"/>
    <w:rsid w:val="00125B37"/>
    <w:rsid w:val="00187494"/>
    <w:rsid w:val="001F32AE"/>
    <w:rsid w:val="001F467B"/>
    <w:rsid w:val="002767FF"/>
    <w:rsid w:val="002B18FE"/>
    <w:rsid w:val="002B5493"/>
    <w:rsid w:val="00312DDF"/>
    <w:rsid w:val="00343214"/>
    <w:rsid w:val="00361C00"/>
    <w:rsid w:val="00395FA1"/>
    <w:rsid w:val="003B7197"/>
    <w:rsid w:val="003E15D4"/>
    <w:rsid w:val="00410449"/>
    <w:rsid w:val="00411CCE"/>
    <w:rsid w:val="0041666E"/>
    <w:rsid w:val="00421060"/>
    <w:rsid w:val="00423C9A"/>
    <w:rsid w:val="00457878"/>
    <w:rsid w:val="0046015C"/>
    <w:rsid w:val="00471C19"/>
    <w:rsid w:val="004867E3"/>
    <w:rsid w:val="00494A28"/>
    <w:rsid w:val="004C0004"/>
    <w:rsid w:val="004C5D52"/>
    <w:rsid w:val="00503CBC"/>
    <w:rsid w:val="0050519A"/>
    <w:rsid w:val="005072A1"/>
    <w:rsid w:val="00514517"/>
    <w:rsid w:val="00531FA2"/>
    <w:rsid w:val="00545827"/>
    <w:rsid w:val="00560270"/>
    <w:rsid w:val="005C2568"/>
    <w:rsid w:val="005F1B17"/>
    <w:rsid w:val="006037C0"/>
    <w:rsid w:val="00610A04"/>
    <w:rsid w:val="006631B6"/>
    <w:rsid w:val="00680577"/>
    <w:rsid w:val="006C7E13"/>
    <w:rsid w:val="006F74FA"/>
    <w:rsid w:val="00731ADD"/>
    <w:rsid w:val="0073453D"/>
    <w:rsid w:val="00734777"/>
    <w:rsid w:val="00747932"/>
    <w:rsid w:val="00751A4A"/>
    <w:rsid w:val="00756632"/>
    <w:rsid w:val="00762C74"/>
    <w:rsid w:val="00786EC0"/>
    <w:rsid w:val="007D1690"/>
    <w:rsid w:val="007E22AD"/>
    <w:rsid w:val="00817416"/>
    <w:rsid w:val="00842779"/>
    <w:rsid w:val="00865F67"/>
    <w:rsid w:val="00867B2F"/>
    <w:rsid w:val="00881A7B"/>
    <w:rsid w:val="008840E5"/>
    <w:rsid w:val="00887B3E"/>
    <w:rsid w:val="008B55F1"/>
    <w:rsid w:val="008C2AC6"/>
    <w:rsid w:val="00930C23"/>
    <w:rsid w:val="0093193B"/>
    <w:rsid w:val="00942005"/>
    <w:rsid w:val="009509D8"/>
    <w:rsid w:val="00950B64"/>
    <w:rsid w:val="00981893"/>
    <w:rsid w:val="009F0088"/>
    <w:rsid w:val="00A1687D"/>
    <w:rsid w:val="00A43E52"/>
    <w:rsid w:val="00A4678D"/>
    <w:rsid w:val="00A778C7"/>
    <w:rsid w:val="00AB441E"/>
    <w:rsid w:val="00AB6293"/>
    <w:rsid w:val="00AE0928"/>
    <w:rsid w:val="00AE5F10"/>
    <w:rsid w:val="00AF3B82"/>
    <w:rsid w:val="00B103A5"/>
    <w:rsid w:val="00B12E95"/>
    <w:rsid w:val="00B22876"/>
    <w:rsid w:val="00B27243"/>
    <w:rsid w:val="00B558F0"/>
    <w:rsid w:val="00BC491E"/>
    <w:rsid w:val="00BD48FE"/>
    <w:rsid w:val="00BD7BD8"/>
    <w:rsid w:val="00BE6ADC"/>
    <w:rsid w:val="00C05BFE"/>
    <w:rsid w:val="00C23CD4"/>
    <w:rsid w:val="00C61C0C"/>
    <w:rsid w:val="00C85FF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3124F"/>
  <w15:chartTrackingRefBased/>
  <w15:docId w15:val="{F4264020-7968-40BB-98CD-95E7818A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C7E13"/>
    <w:pPr>
      <w:widowControl/>
      <w:spacing w:after="240"/>
    </w:pPr>
    <w:rPr>
      <w:szCs w:val="24"/>
      <w:lang w:eastAsia="en-US"/>
    </w:rPr>
  </w:style>
  <w:style w:type="paragraph" w:customStyle="1" w:styleId="NormalHanging12a">
    <w:name w:val="NormalHanging12a"/>
    <w:basedOn w:val="Normal"/>
    <w:rsid w:val="006C7E13"/>
    <w:pPr>
      <w:widowControl/>
      <w:spacing w:after="240"/>
      <w:ind w:left="566" w:hanging="566"/>
    </w:pPr>
    <w:rPr>
      <w:szCs w:val="24"/>
      <w:lang w:eastAsia="en-US"/>
    </w:rPr>
  </w:style>
  <w:style w:type="paragraph" w:customStyle="1" w:styleId="Normal12">
    <w:name w:val="Normal12"/>
    <w:basedOn w:val="Normal"/>
    <w:rsid w:val="006C7E13"/>
    <w:pPr>
      <w:widowControl/>
      <w:spacing w:after="240"/>
    </w:pPr>
    <w:rPr>
      <w:szCs w:val="24"/>
      <w:lang w:eastAsia="en-US"/>
    </w:rPr>
  </w:style>
  <w:style w:type="paragraph" w:customStyle="1" w:styleId="NormalHanging">
    <w:name w:val="NormalHanging"/>
    <w:basedOn w:val="Normal"/>
    <w:rsid w:val="006C7E13"/>
    <w:pPr>
      <w:widowControl/>
      <w:spacing w:after="240"/>
      <w:ind w:left="566" w:hanging="566"/>
    </w:pPr>
    <w:rPr>
      <w:szCs w:val="24"/>
      <w:lang w:eastAsia="en-US"/>
    </w:rPr>
  </w:style>
  <w:style w:type="paragraph" w:customStyle="1" w:styleId="NormalCenter12a">
    <w:name w:val="NormalCenter12a"/>
    <w:basedOn w:val="Normal"/>
    <w:rsid w:val="006C7E13"/>
    <w:pPr>
      <w:widowControl/>
      <w:spacing w:after="240"/>
      <w:jc w:val="center"/>
    </w:pPr>
    <w:rPr>
      <w:szCs w:val="24"/>
      <w:lang w:eastAsia="en-US"/>
    </w:rPr>
  </w:style>
  <w:style w:type="paragraph" w:styleId="Revision">
    <w:name w:val="Revision"/>
    <w:hidden/>
    <w:uiPriority w:val="99"/>
    <w:semiHidden/>
    <w:rsid w:val="0046015C"/>
    <w:rPr>
      <w:sz w:val="24"/>
      <w:lang w:val="sv-SE"/>
    </w:rPr>
  </w:style>
  <w:style w:type="character" w:styleId="CommentReference">
    <w:name w:val="annotation reference"/>
    <w:basedOn w:val="DefaultParagraphFont"/>
    <w:rsid w:val="00503CBC"/>
    <w:rPr>
      <w:sz w:val="16"/>
      <w:szCs w:val="16"/>
    </w:rPr>
  </w:style>
  <w:style w:type="paragraph" w:styleId="CommentText">
    <w:name w:val="annotation text"/>
    <w:basedOn w:val="Normal"/>
    <w:link w:val="CommentTextChar"/>
    <w:rsid w:val="00503CBC"/>
    <w:rPr>
      <w:sz w:val="20"/>
    </w:rPr>
  </w:style>
  <w:style w:type="character" w:customStyle="1" w:styleId="CommentTextChar">
    <w:name w:val="Comment Text Char"/>
    <w:basedOn w:val="DefaultParagraphFont"/>
    <w:link w:val="CommentText"/>
    <w:rsid w:val="00503CBC"/>
    <w:rPr>
      <w:lang w:val="sv-SE"/>
    </w:rPr>
  </w:style>
  <w:style w:type="paragraph" w:styleId="CommentSubject">
    <w:name w:val="annotation subject"/>
    <w:basedOn w:val="CommentText"/>
    <w:next w:val="CommentText"/>
    <w:link w:val="CommentSubjectChar"/>
    <w:rsid w:val="00503CBC"/>
    <w:rPr>
      <w:b/>
      <w:bCs/>
    </w:rPr>
  </w:style>
  <w:style w:type="character" w:customStyle="1" w:styleId="CommentSubjectChar">
    <w:name w:val="Comment Subject Char"/>
    <w:basedOn w:val="CommentTextChar"/>
    <w:link w:val="CommentSubject"/>
    <w:rsid w:val="00503CB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1946</Words>
  <Characters>12864</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2026-03-17T08:37:00Z</dcterms:created>
  <dcterms:modified xsi:type="dcterms:W3CDTF">2026-03-17T08:37:00Z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A10-0002/2026</vt:lpwstr>
  </property>
  <property fmtid="{D5CDD505-2E9C-101B-9397-08002B2CF9AE}" pid="4" name="&lt;Type&gt;">
    <vt:lpwstr>RR</vt:lpwstr>
  </property>
</Properties>
</file>