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693031" w14:paraId="6CE4C9F3" w14:textId="77777777" w:rsidTr="00425111">
        <w:trPr>
          <w:trHeight w:hRule="exact" w:val="1418"/>
        </w:trPr>
        <w:tc>
          <w:tcPr>
            <w:tcW w:w="6804" w:type="dxa"/>
            <w:shd w:val="clear" w:color="auto" w:fill="auto"/>
            <w:vAlign w:val="center"/>
          </w:tcPr>
          <w:p w14:paraId="10D07B8D" w14:textId="77777777" w:rsidR="00757DD5" w:rsidRPr="00693031" w:rsidRDefault="00D3482E" w:rsidP="00425111">
            <w:pPr>
              <w:pStyle w:val="EPName"/>
              <w:rPr>
                <w:lang w:val="en-GB"/>
              </w:rPr>
            </w:pPr>
            <w:r w:rsidRPr="00693031">
              <w:rPr>
                <w:lang w:val="en-GB"/>
              </w:rPr>
              <w:t xml:space="preserve">Parlement </w:t>
            </w:r>
            <w:proofErr w:type="spellStart"/>
            <w:r w:rsidRPr="00693031">
              <w:rPr>
                <w:lang w:val="en-GB"/>
              </w:rPr>
              <w:t>européen</w:t>
            </w:r>
            <w:proofErr w:type="spellEnd"/>
          </w:p>
          <w:p w14:paraId="29208772" w14:textId="77777777" w:rsidR="00757DD5" w:rsidRPr="00693031" w:rsidRDefault="00D3482E" w:rsidP="00425111">
            <w:pPr>
              <w:pStyle w:val="EPTerm"/>
              <w:rPr>
                <w:rStyle w:val="HideTWBExt"/>
                <w:vanish w:val="0"/>
                <w:lang w:val="en-GB"/>
              </w:rPr>
            </w:pPr>
            <w:r w:rsidRPr="00693031">
              <w:rPr>
                <w:lang w:val="en-GB"/>
              </w:rPr>
              <w:t>2024-2029</w:t>
            </w:r>
          </w:p>
        </w:tc>
        <w:tc>
          <w:tcPr>
            <w:tcW w:w="2268" w:type="dxa"/>
            <w:shd w:val="clear" w:color="auto" w:fill="auto"/>
          </w:tcPr>
          <w:p w14:paraId="5FF8F53B" w14:textId="77777777" w:rsidR="00757DD5" w:rsidRPr="00693031" w:rsidRDefault="00172070" w:rsidP="00425111">
            <w:pPr>
              <w:pStyle w:val="EPLogo"/>
            </w:pPr>
            <w:r w:rsidRPr="00693031">
              <w:rPr>
                <w:noProof/>
              </w:rPr>
              <w:drawing>
                <wp:inline distT="0" distB="0" distL="0" distR="0" wp14:anchorId="1CEB432C" wp14:editId="087CA9BB">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2024503D" w14:textId="77777777" w:rsidR="008E7632" w:rsidRPr="00693031" w:rsidRDefault="008E7632" w:rsidP="008E7632">
      <w:pPr>
        <w:pStyle w:val="LineTop"/>
        <w:rPr>
          <w:lang w:val="en-GB"/>
        </w:rPr>
      </w:pPr>
    </w:p>
    <w:p w14:paraId="2C26E970" w14:textId="77777777" w:rsidR="008E7632" w:rsidRPr="00693031" w:rsidRDefault="00D3482E" w:rsidP="008E7632">
      <w:pPr>
        <w:pStyle w:val="ZSessionDoc"/>
        <w:rPr>
          <w:b/>
          <w:i w:val="0"/>
          <w:lang w:val="fr-BE"/>
        </w:rPr>
      </w:pPr>
      <w:r w:rsidRPr="00693031">
        <w:rPr>
          <w:b/>
          <w:i w:val="0"/>
          <w:lang w:val="fr-BE"/>
        </w:rPr>
        <w:t>TEXTES ADOPTÉS</w:t>
      </w:r>
    </w:p>
    <w:p w14:paraId="6BD626C8" w14:textId="77777777" w:rsidR="008E7632" w:rsidRPr="00693031" w:rsidRDefault="00D3482E" w:rsidP="008E7632">
      <w:pPr>
        <w:pStyle w:val="LineBottom"/>
        <w:rPr>
          <w:lang w:val="fr-BE"/>
        </w:rPr>
      </w:pPr>
      <w:r w:rsidRPr="00693031">
        <w:rPr>
          <w:rFonts w:cs="Arial"/>
          <w:i/>
          <w:sz w:val="20"/>
          <w:szCs w:val="22"/>
          <w:lang w:val="fr-BE"/>
        </w:rPr>
        <w:t xml:space="preserve"> </w:t>
      </w:r>
    </w:p>
    <w:p w14:paraId="119AB03C" w14:textId="590B7BC8" w:rsidR="009C4014" w:rsidRPr="00693031" w:rsidRDefault="00D3482E" w:rsidP="008E7632">
      <w:pPr>
        <w:pStyle w:val="ATHeading1"/>
        <w:spacing w:before="480"/>
        <w:rPr>
          <w:lang w:val="fr-BE"/>
        </w:rPr>
      </w:pPr>
      <w:bookmarkStart w:id="0" w:name="TA_Heading"/>
      <w:r w:rsidRPr="00693031">
        <w:t>P10_TA(2026)</w:t>
      </w:r>
      <w:bookmarkStart w:id="1" w:name="TANumber"/>
      <w:bookmarkEnd w:id="0"/>
      <w:r w:rsidRPr="00693031">
        <w:t>00</w:t>
      </w:r>
      <w:r w:rsidR="009641B0">
        <w:t>35</w:t>
      </w:r>
      <w:bookmarkEnd w:id="1"/>
    </w:p>
    <w:p w14:paraId="76679EB9" w14:textId="633A1012" w:rsidR="00D3482E" w:rsidRPr="00693031" w:rsidRDefault="00251EE4" w:rsidP="00D3482E">
      <w:pPr>
        <w:pStyle w:val="ATHeading2"/>
        <w:rPr>
          <w:lang w:val="fr-BE"/>
        </w:rPr>
      </w:pPr>
      <w:bookmarkStart w:id="2" w:name="title"/>
      <w:r>
        <w:rPr>
          <w:lang w:val="fr-BE"/>
        </w:rPr>
        <w:t>Règlement relatif à la m</w:t>
      </w:r>
      <w:r w:rsidR="00D3482E" w:rsidRPr="00693031">
        <w:rPr>
          <w:lang w:val="fr-BE"/>
        </w:rPr>
        <w:t>ise en oeuvre de la coopération renforcée pour l'établissement d'un prêt de soutien à l'Ukraine pour 2026 et 2027</w:t>
      </w:r>
    </w:p>
    <w:bookmarkStart w:id="3" w:name="Etoiles"/>
    <w:bookmarkEnd w:id="3"/>
    <w:bookmarkEnd w:id="2"/>
    <w:p w14:paraId="5B22CA8D" w14:textId="77777777" w:rsidR="009C4014" w:rsidRPr="00693031" w:rsidRDefault="009C4014" w:rsidP="009C4014">
      <w:pPr>
        <w:rPr>
          <w:i/>
          <w:vanish/>
          <w:lang w:val="fr-BE"/>
        </w:rPr>
      </w:pPr>
      <w:r w:rsidRPr="00693031">
        <w:rPr>
          <w:i/>
        </w:rPr>
        <w:fldChar w:fldCharType="begin"/>
      </w:r>
      <w:r w:rsidRPr="00693031">
        <w:rPr>
          <w:i/>
          <w:lang w:val="fr-BE"/>
        </w:rPr>
        <w:instrText xml:space="preserve"> TC"</w:instrText>
      </w:r>
      <w:bookmarkStart w:id="4" w:name="DocNumber"/>
      <w:r w:rsidR="00D3482E" w:rsidRPr="00693031">
        <w:rPr>
          <w:i/>
          <w:lang w:val="fr-BE"/>
        </w:rPr>
        <w:instrText>(C10-0005/2026)</w:instrText>
      </w:r>
      <w:bookmarkEnd w:id="4"/>
      <w:r w:rsidRPr="00693031">
        <w:rPr>
          <w:i/>
          <w:lang w:val="fr-BE"/>
        </w:rPr>
        <w:instrText xml:space="preserve">"\l3 \n&gt; \* MERGEFORMAT </w:instrText>
      </w:r>
      <w:r w:rsidRPr="00693031">
        <w:rPr>
          <w:i/>
        </w:rPr>
        <w:fldChar w:fldCharType="end"/>
      </w:r>
    </w:p>
    <w:p w14:paraId="60C16B13" w14:textId="23EF0CBB" w:rsidR="00D3482E" w:rsidRPr="00693031" w:rsidRDefault="00D3482E" w:rsidP="009C4014">
      <w:pPr>
        <w:rPr>
          <w:vanish/>
          <w:lang w:val="fr-BE"/>
        </w:rPr>
      </w:pPr>
      <w:bookmarkStart w:id="5" w:name="Commission"/>
      <w:r w:rsidRPr="00693031">
        <w:rPr>
          <w:vanish/>
          <w:lang w:val="fr-BE"/>
        </w:rPr>
        <w:t>Commission de la sécurité et de la défens</w:t>
      </w:r>
      <w:r w:rsidR="004309D0">
        <w:rPr>
          <w:vanish/>
          <w:lang w:val="fr-BE"/>
        </w:rPr>
        <w:t xml:space="preserve">e, </w:t>
      </w:r>
      <w:r w:rsidR="004309D0" w:rsidRPr="004309D0">
        <w:rPr>
          <w:vanish/>
          <w:lang w:val="fr-BE"/>
        </w:rPr>
        <w:t>Commission du commerce international, Commission des budgets</w:t>
      </w:r>
    </w:p>
    <w:p w14:paraId="773596AF" w14:textId="77777777" w:rsidR="009C4014" w:rsidRPr="00693031" w:rsidRDefault="00D3482E" w:rsidP="009C4014">
      <w:pPr>
        <w:rPr>
          <w:vanish/>
          <w:lang w:val="fr-BE"/>
        </w:rPr>
      </w:pPr>
      <w:bookmarkStart w:id="6" w:name="PE"/>
      <w:bookmarkEnd w:id="5"/>
      <w:r w:rsidRPr="00693031">
        <w:rPr>
          <w:vanish/>
          <w:lang w:val="fr-BE"/>
        </w:rPr>
        <w:t>PE782.936</w:t>
      </w:r>
      <w:bookmarkEnd w:id="6"/>
    </w:p>
    <w:p w14:paraId="16441B03" w14:textId="07FDEBA4" w:rsidR="00B154A7" w:rsidRPr="00693031" w:rsidRDefault="00B154A7" w:rsidP="00B154A7">
      <w:pPr>
        <w:pStyle w:val="ATHeading3"/>
        <w:rPr>
          <w:lang w:val="fr-BE"/>
        </w:rPr>
      </w:pPr>
      <w:bookmarkStart w:id="7" w:name="Sujet"/>
      <w:r w:rsidRPr="00693031">
        <w:t>Résolution législative du Parlement européen du 11 février 2026 sur la proposition de la directive du Parlement européen et du Conseil mettant en œuvre une coopération renforcée concernant l’établissement du prêt de soutien à l’Ukraine pour 2026 et 2027</w:t>
      </w:r>
      <w:r w:rsidR="00A928EC" w:rsidRPr="00693031">
        <w:t xml:space="preserve"> </w:t>
      </w:r>
      <w:r w:rsidR="00A928EC" w:rsidRPr="00693031">
        <w:rPr>
          <w:lang w:val="fr-BE"/>
        </w:rPr>
        <w:t>(COM(2026)0020 – C10</w:t>
      </w:r>
      <w:r w:rsidR="00A928EC" w:rsidRPr="00693031">
        <w:rPr>
          <w:lang w:val="fr-BE"/>
        </w:rPr>
        <w:noBreakHyphen/>
        <w:t>0005/2026 – 2026/0008(COD))</w:t>
      </w:r>
    </w:p>
    <w:p w14:paraId="5DE2AF29" w14:textId="065885E7" w:rsidR="009C4014" w:rsidRPr="00693031" w:rsidRDefault="00D3482E" w:rsidP="00D3482E">
      <w:pPr>
        <w:pStyle w:val="ATHeading3"/>
        <w:rPr>
          <w:lang w:val="fr-BE"/>
        </w:rPr>
      </w:pPr>
      <w:bookmarkStart w:id="8" w:name="References"/>
      <w:bookmarkEnd w:id="7"/>
      <w:r w:rsidRPr="00693031">
        <w:t>(Procédure législative ordinaire: première lecture - coopération renforcée)</w:t>
      </w:r>
      <w:bookmarkEnd w:id="8"/>
    </w:p>
    <w:p w14:paraId="5C668DD6" w14:textId="77777777" w:rsidR="006E5420" w:rsidRPr="00693031" w:rsidRDefault="00D3482E" w:rsidP="008B1C2E">
      <w:pPr>
        <w:pStyle w:val="Normal12"/>
        <w:spacing w:before="360"/>
        <w:rPr>
          <w:i/>
          <w:szCs w:val="24"/>
          <w:lang w:val="fr-BE"/>
        </w:rPr>
      </w:pPr>
      <w:bookmarkStart w:id="9" w:name="TextBodyBegin"/>
      <w:bookmarkEnd w:id="9"/>
      <w:r w:rsidRPr="00693031">
        <w:rPr>
          <w:i/>
          <w:szCs w:val="24"/>
          <w:lang w:val="fr-BE"/>
        </w:rPr>
        <w:t>Le Parlement européen,</w:t>
      </w:r>
    </w:p>
    <w:p w14:paraId="5CCBEC2A" w14:textId="1A4085A1" w:rsidR="00B154A7" w:rsidRPr="00693031" w:rsidRDefault="00B154A7" w:rsidP="00B154A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r w:rsidRPr="00693031">
        <w:t>–</w:t>
      </w:r>
      <w:r w:rsidRPr="00693031">
        <w:tab/>
        <w:t>vu la proposition de la Commission au Parlement européen et au Conseil (COM(2026)0020),</w:t>
      </w:r>
    </w:p>
    <w:p w14:paraId="162FEC7D" w14:textId="4BF5B96D" w:rsidR="00B154A7" w:rsidRPr="00693031" w:rsidRDefault="00B154A7" w:rsidP="00B154A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r w:rsidRPr="00693031">
        <w:t>–</w:t>
      </w:r>
      <w:r w:rsidRPr="00693031">
        <w:tab/>
        <w:t>vu l’article 294, paragraphe 2, et l’article 212, du traité sur le fonctionnement de l’Union européenne, conformément auxquels la proposition lui a été présentée par la Commission (C10</w:t>
      </w:r>
      <w:r w:rsidRPr="00693031">
        <w:noBreakHyphen/>
        <w:t>0005/2026),</w:t>
      </w:r>
    </w:p>
    <w:p w14:paraId="60F52EAC" w14:textId="75A2CAF2" w:rsidR="00B154A7" w:rsidRPr="00693031" w:rsidRDefault="00B154A7" w:rsidP="00B154A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r w:rsidRPr="00693031">
        <w:t>–</w:t>
      </w:r>
      <w:r w:rsidRPr="00693031">
        <w:tab/>
        <w:t xml:space="preserve">vu sa position du </w:t>
      </w:r>
      <w:r w:rsidR="00A928EC" w:rsidRPr="00693031">
        <w:t>21</w:t>
      </w:r>
      <w:r w:rsidRPr="00693031">
        <w:t xml:space="preserve"> j</w:t>
      </w:r>
      <w:r w:rsidR="00A928EC" w:rsidRPr="00693031">
        <w:t>anvier</w:t>
      </w:r>
      <w:r w:rsidRPr="00693031">
        <w:t xml:space="preserve"> 202</w:t>
      </w:r>
      <w:r w:rsidR="00A928EC" w:rsidRPr="00693031">
        <w:t>6</w:t>
      </w:r>
      <w:r w:rsidR="00A928EC" w:rsidRPr="00693031">
        <w:rPr>
          <w:rStyle w:val="FootnoteReference"/>
        </w:rPr>
        <w:footnoteReference w:id="1"/>
      </w:r>
      <w:r w:rsidRPr="00693031">
        <w:t xml:space="preserve">, par laquelle il a donné son approbation au projet de décision du Conseil autorisant une coopération renforcée </w:t>
      </w:r>
      <w:r w:rsidR="00A928EC" w:rsidRPr="00693031">
        <w:t>concernant l’établissement d’un prêt pour l’Ukraine,</w:t>
      </w:r>
    </w:p>
    <w:p w14:paraId="4782BD06" w14:textId="55FBBBE3" w:rsidR="00B154A7" w:rsidRPr="00693031" w:rsidRDefault="00B154A7" w:rsidP="00B154A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shd w:val="pct12" w:color="auto" w:fill="FFFFFF"/>
        </w:rPr>
      </w:pPr>
      <w:r w:rsidRPr="00693031">
        <w:t>–</w:t>
      </w:r>
      <w:r w:rsidRPr="00693031">
        <w:tab/>
      </w:r>
      <w:r w:rsidRPr="00693031">
        <w:rPr>
          <w:spacing w:val="-2"/>
        </w:rPr>
        <w:t xml:space="preserve">vu la décision </w:t>
      </w:r>
      <w:r w:rsidR="004309D0">
        <w:rPr>
          <w:spacing w:val="-2"/>
        </w:rPr>
        <w:t xml:space="preserve">(UE) </w:t>
      </w:r>
      <w:r w:rsidRPr="00693031">
        <w:rPr>
          <w:spacing w:val="-2"/>
        </w:rPr>
        <w:t>20</w:t>
      </w:r>
      <w:r w:rsidR="00A928EC" w:rsidRPr="00693031">
        <w:rPr>
          <w:spacing w:val="-2"/>
        </w:rPr>
        <w:t>26/258</w:t>
      </w:r>
      <w:r w:rsidRPr="00693031">
        <w:rPr>
          <w:spacing w:val="-2"/>
        </w:rPr>
        <w:t xml:space="preserve"> du Conseil du </w:t>
      </w:r>
      <w:r w:rsidR="00A928EC" w:rsidRPr="00693031">
        <w:rPr>
          <w:spacing w:val="-2"/>
        </w:rPr>
        <w:t>29 janvier 2026</w:t>
      </w:r>
      <w:r w:rsidRPr="00693031">
        <w:rPr>
          <w:spacing w:val="-2"/>
        </w:rPr>
        <w:t xml:space="preserve"> autorisant une coopération renforcée </w:t>
      </w:r>
      <w:r w:rsidR="00A928EC" w:rsidRPr="00693031">
        <w:rPr>
          <w:spacing w:val="-2"/>
        </w:rPr>
        <w:t xml:space="preserve">concernant </w:t>
      </w:r>
      <w:r w:rsidR="00A928EC" w:rsidRPr="00693031">
        <w:t>l’établissement d’un prêt pour l’Ukraine</w:t>
      </w:r>
      <w:r w:rsidR="00A928EC" w:rsidRPr="00693031">
        <w:rPr>
          <w:rStyle w:val="FootnoteReference"/>
          <w:spacing w:val="-2"/>
        </w:rPr>
        <w:footnoteReference w:id="2"/>
      </w:r>
    </w:p>
    <w:p w14:paraId="47903A19" w14:textId="77777777" w:rsidR="00B154A7" w:rsidRPr="00693031" w:rsidRDefault="00B154A7" w:rsidP="00B154A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r w:rsidRPr="00693031">
        <w:t>–</w:t>
      </w:r>
      <w:r w:rsidRPr="00693031">
        <w:tab/>
        <w:t>vu l’article 294, paragraphe 3, du traité sur le fonctionnement de l’Union européenne,</w:t>
      </w:r>
    </w:p>
    <w:p w14:paraId="781C0332" w14:textId="2EE65B91" w:rsidR="00B154A7" w:rsidRPr="00693031" w:rsidRDefault="00B154A7" w:rsidP="00B154A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szCs w:val="24"/>
        </w:rPr>
      </w:pPr>
      <w:r w:rsidRPr="00693031">
        <w:rPr>
          <w:lang w:val="fr-BE"/>
        </w:rPr>
        <w:t>–</w:t>
      </w:r>
      <w:r w:rsidRPr="00693031">
        <w:rPr>
          <w:lang w:val="fr-BE"/>
        </w:rPr>
        <w:tab/>
      </w:r>
      <w:r w:rsidRPr="00693031">
        <w:t>vu</w:t>
      </w:r>
      <w:r w:rsidRPr="00693031">
        <w:rPr>
          <w:szCs w:val="24"/>
        </w:rPr>
        <w:t xml:space="preserve"> l’engagement pris par le représentant du Conseil, par lettre du </w:t>
      </w:r>
      <w:r w:rsidR="00A928EC" w:rsidRPr="00693031">
        <w:rPr>
          <w:szCs w:val="24"/>
        </w:rPr>
        <w:t>4 février 2026</w:t>
      </w:r>
      <w:r w:rsidRPr="00693031">
        <w:rPr>
          <w:szCs w:val="24"/>
        </w:rPr>
        <w:t>, d'approuver la position du Parlement européen, conformément à l'article 294, paragraphe 4, du traité sur le fonctionnement de l'Union européenne,</w:t>
      </w:r>
    </w:p>
    <w:p w14:paraId="65B385EE" w14:textId="014C13D8" w:rsidR="00B154A7" w:rsidRPr="00693031" w:rsidRDefault="00B154A7" w:rsidP="00B154A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line="360" w:lineRule="auto"/>
        <w:ind w:left="567" w:hanging="567"/>
      </w:pPr>
      <w:r w:rsidRPr="00693031">
        <w:rPr>
          <w:lang w:val="fr-BE"/>
        </w:rPr>
        <w:lastRenderedPageBreak/>
        <w:t>–</w:t>
      </w:r>
      <w:r w:rsidRPr="00693031">
        <w:rPr>
          <w:lang w:val="fr-BE"/>
        </w:rPr>
        <w:tab/>
        <w:t xml:space="preserve">vu l’article 60, l’article 93, paragraphe 3, et l’article 170 de son règlement intérieur, </w:t>
      </w:r>
    </w:p>
    <w:p w14:paraId="3325E38A" w14:textId="77777777" w:rsidR="00B154A7" w:rsidRPr="00693031" w:rsidRDefault="00B154A7" w:rsidP="00B154A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r w:rsidRPr="00693031">
        <w:t>1.</w:t>
      </w:r>
      <w:r w:rsidRPr="00693031">
        <w:tab/>
        <w:t>arrête la position en première lecture figurant ci-après;</w:t>
      </w:r>
    </w:p>
    <w:p w14:paraId="4F96E412" w14:textId="07EC50F3" w:rsidR="00B154A7" w:rsidRPr="00693031" w:rsidRDefault="00B154A7" w:rsidP="00B154A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r w:rsidRPr="00693031">
        <w:t>2</w:t>
      </w:r>
      <w:r w:rsidR="00E31329">
        <w:t>.</w:t>
      </w:r>
      <w:r w:rsidRPr="00693031">
        <w:tab/>
        <w:t>demande à la Commission de le saisir à nouveau, si elle remplace, modifie de manière substantielle ou entend modifier de manière substantielle sa proposition;</w:t>
      </w:r>
    </w:p>
    <w:p w14:paraId="6AB8768E" w14:textId="77777777" w:rsidR="00B154A7" w:rsidRPr="00693031" w:rsidRDefault="00B154A7" w:rsidP="00B154A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r w:rsidRPr="00693031">
        <w:t>3.</w:t>
      </w:r>
      <w:r w:rsidRPr="00693031">
        <w:tab/>
        <w:t>charge sa Présidente de transmettre la position du Parlement au Conseil et à la Commission ainsi qu’aux parlements nationaux.</w:t>
      </w:r>
    </w:p>
    <w:p w14:paraId="2BE6C1BF" w14:textId="77777777" w:rsidR="00B154A7" w:rsidRPr="00693031" w:rsidRDefault="00B154A7">
      <w:pPr>
        <w:rPr>
          <w:szCs w:val="24"/>
        </w:rPr>
        <w:sectPr w:rsidR="00B154A7" w:rsidRPr="00693031"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p>
    <w:p w14:paraId="683D005D" w14:textId="325196D5" w:rsidR="00B154A7" w:rsidRPr="00693031" w:rsidRDefault="00B154A7" w:rsidP="00B154A7">
      <w:pPr>
        <w:spacing w:after="240"/>
        <w:rPr>
          <w:b/>
        </w:rPr>
      </w:pPr>
      <w:r w:rsidRPr="00693031">
        <w:rPr>
          <w:b/>
        </w:rPr>
        <w:lastRenderedPageBreak/>
        <w:t>P10_TC1-COD(2026)0008</w:t>
      </w:r>
    </w:p>
    <w:p w14:paraId="5369D264" w14:textId="5E92DCE6" w:rsidR="00A928EC" w:rsidRDefault="00B154A7" w:rsidP="00AF50DE">
      <w:pPr>
        <w:pStyle w:val="Normal12"/>
        <w:spacing w:after="0"/>
        <w:rPr>
          <w:rFonts w:eastAsia="Calibri"/>
          <w:b/>
          <w:szCs w:val="22"/>
          <w:lang w:val="fr-BE" w:eastAsia="en-US"/>
        </w:rPr>
      </w:pPr>
      <w:r w:rsidRPr="00693031">
        <w:rPr>
          <w:b/>
          <w:lang w:val="fr-BE"/>
        </w:rPr>
        <w:t xml:space="preserve">Position du Parlement européen arrêtée en première lecture le 11 février 2026 en vue de l’adoption du règlement (UE) 2026/... du Parlement européen et du Conseil </w:t>
      </w:r>
      <w:bookmarkStart w:id="10" w:name="DQC_RangeToBeChecked"/>
      <w:r w:rsidR="00A928EC" w:rsidRPr="00693031">
        <w:rPr>
          <w:rFonts w:eastAsia="Calibri"/>
          <w:b/>
          <w:szCs w:val="22"/>
          <w:lang w:val="fr-BE" w:eastAsia="en-US"/>
        </w:rPr>
        <w:t>mettant en œuvre une coopération renforcée concernant l'établissement du prêt de soutien à l'Ukraine pour 2026 et 2027</w:t>
      </w:r>
    </w:p>
    <w:p w14:paraId="2C899AE0" w14:textId="07A20155" w:rsidR="00AF50DE" w:rsidRPr="00AF50DE" w:rsidRDefault="00AF50DE" w:rsidP="00AF50DE">
      <w:pPr>
        <w:pStyle w:val="Datedadoption"/>
        <w:spacing w:after="240" w:line="240" w:lineRule="auto"/>
        <w:jc w:val="left"/>
        <w:rPr>
          <w:rFonts w:eastAsia="Calibri"/>
          <w:b w:val="0"/>
          <w:szCs w:val="22"/>
        </w:rPr>
      </w:pPr>
      <w:r w:rsidRPr="0070765D">
        <w:rPr>
          <w:b w:val="0"/>
          <w:i/>
          <w:szCs w:val="24"/>
        </w:rPr>
        <w:t>(Étant donné l'accord intervenu entre le Parlement et le Conseil, la position du Parlement correspond à l'acte législatif final, le règlement (UE) 202</w:t>
      </w:r>
      <w:r>
        <w:rPr>
          <w:b w:val="0"/>
          <w:i/>
          <w:szCs w:val="24"/>
        </w:rPr>
        <w:t>6</w:t>
      </w:r>
      <w:r w:rsidRPr="0070765D">
        <w:rPr>
          <w:b w:val="0"/>
          <w:i/>
          <w:szCs w:val="24"/>
        </w:rPr>
        <w:t>/</w:t>
      </w:r>
      <w:r>
        <w:rPr>
          <w:b w:val="0"/>
          <w:i/>
          <w:szCs w:val="24"/>
        </w:rPr>
        <w:t>467</w:t>
      </w:r>
      <w:r w:rsidRPr="0070765D">
        <w:rPr>
          <w:b w:val="0"/>
          <w:i/>
          <w:szCs w:val="24"/>
        </w:rPr>
        <w:t>.)</w:t>
      </w:r>
    </w:p>
    <w:bookmarkEnd w:id="10"/>
    <w:sectPr w:rsidR="00AF50DE" w:rsidRPr="00AF50DE" w:rsidSect="00B154A7">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13057" w14:textId="77777777" w:rsidR="00D3482E" w:rsidRDefault="00D3482E" w:rsidP="009C4014">
      <w:r>
        <w:separator/>
      </w:r>
    </w:p>
  </w:endnote>
  <w:endnote w:type="continuationSeparator" w:id="0">
    <w:p w14:paraId="4E5FA675" w14:textId="77777777" w:rsidR="00D3482E" w:rsidRDefault="00D3482E"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8E200"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A9220"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45BCF"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76751" w14:textId="77777777" w:rsidR="00D3482E" w:rsidRDefault="00D3482E" w:rsidP="009C4014">
      <w:r>
        <w:separator/>
      </w:r>
    </w:p>
  </w:footnote>
  <w:footnote w:type="continuationSeparator" w:id="0">
    <w:p w14:paraId="74E55637" w14:textId="77777777" w:rsidR="00D3482E" w:rsidRDefault="00D3482E" w:rsidP="009C4014">
      <w:r>
        <w:continuationSeparator/>
      </w:r>
    </w:p>
  </w:footnote>
  <w:footnote w:id="1">
    <w:p w14:paraId="01FAEFD8" w14:textId="022AB3B0" w:rsidR="00A928EC" w:rsidRPr="00A928EC" w:rsidRDefault="00A928EC">
      <w:pPr>
        <w:pStyle w:val="FootnoteText"/>
        <w:rPr>
          <w:sz w:val="24"/>
          <w:szCs w:val="24"/>
          <w:lang w:val="fr-BE"/>
        </w:rPr>
      </w:pPr>
      <w:r w:rsidRPr="00A928EC">
        <w:rPr>
          <w:rStyle w:val="FootnoteReference"/>
          <w:sz w:val="24"/>
          <w:szCs w:val="24"/>
        </w:rPr>
        <w:footnoteRef/>
      </w:r>
      <w:r w:rsidRPr="00A928EC">
        <w:rPr>
          <w:sz w:val="24"/>
          <w:szCs w:val="24"/>
        </w:rPr>
        <w:t xml:space="preserve"> </w:t>
      </w:r>
      <w:r w:rsidRPr="00A928EC">
        <w:rPr>
          <w:sz w:val="24"/>
          <w:szCs w:val="24"/>
          <w:lang w:val="fr-BE"/>
        </w:rPr>
        <w:tab/>
        <w:t>Textes adoptés de cette date, P10_TA(2026)0010.</w:t>
      </w:r>
    </w:p>
  </w:footnote>
  <w:footnote w:id="2">
    <w:p w14:paraId="2B53BFD7" w14:textId="6377B42E" w:rsidR="00A928EC" w:rsidRPr="00A928EC" w:rsidRDefault="00A928EC">
      <w:pPr>
        <w:pStyle w:val="FootnoteText"/>
        <w:rPr>
          <w:sz w:val="24"/>
          <w:szCs w:val="24"/>
          <w:lang w:val="fi-FI"/>
        </w:rPr>
      </w:pPr>
      <w:r w:rsidRPr="00A928EC">
        <w:rPr>
          <w:rStyle w:val="FootnoteReference"/>
          <w:sz w:val="24"/>
          <w:szCs w:val="24"/>
        </w:rPr>
        <w:footnoteRef/>
      </w:r>
      <w:r w:rsidRPr="00A928EC">
        <w:rPr>
          <w:sz w:val="24"/>
          <w:szCs w:val="24"/>
          <w:lang w:val="fi-FI"/>
        </w:rPr>
        <w:t xml:space="preserve"> </w:t>
      </w:r>
      <w:r w:rsidRPr="00A928EC">
        <w:rPr>
          <w:sz w:val="24"/>
          <w:szCs w:val="24"/>
          <w:lang w:val="fi-FI"/>
        </w:rPr>
        <w:tab/>
        <w:t xml:space="preserve">JO L, 2026/258, 2.2.2026, ELI: </w:t>
      </w:r>
      <w:r w:rsidR="00E31329">
        <w:fldChar w:fldCharType="begin"/>
      </w:r>
      <w:r w:rsidR="00E31329" w:rsidRPr="00E31329">
        <w:rPr>
          <w:lang w:val="fi-FI"/>
        </w:rPr>
        <w:instrText>HYPERLINK "http://data.europa.eu/eli/dec/2026/258/oj"</w:instrText>
      </w:r>
      <w:r w:rsidR="00E31329">
        <w:fldChar w:fldCharType="separate"/>
      </w:r>
      <w:r w:rsidRPr="00A928EC">
        <w:rPr>
          <w:rStyle w:val="Hyperlink"/>
          <w:sz w:val="24"/>
          <w:szCs w:val="24"/>
          <w:lang w:val="fi-FI"/>
        </w:rPr>
        <w:t>http://data.europa.eu/eli/dec/2026/258/oj</w:t>
      </w:r>
      <w:r w:rsidR="00E31329">
        <w:rPr>
          <w:rStyle w:val="Hyperlink"/>
          <w:sz w:val="24"/>
          <w:szCs w:val="24"/>
          <w:lang w:val="fi-FI"/>
        </w:rPr>
        <w:fldChar w:fldCharType="end"/>
      </w:r>
      <w:r w:rsidRPr="00A928EC">
        <w:rPr>
          <w:rStyle w:val="Hyperlink"/>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468C9"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6592D"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73701"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191144759">
    <w:abstractNumId w:val="3"/>
  </w:num>
  <w:num w:numId="2" w16cid:durableId="1410537127">
    <w:abstractNumId w:val="2"/>
  </w:num>
  <w:num w:numId="3" w16cid:durableId="1869760508">
    <w:abstractNumId w:val="1"/>
  </w:num>
  <w:num w:numId="4" w16cid:durableId="1193609844">
    <w:abstractNumId w:val="0"/>
  </w:num>
  <w:num w:numId="5" w16cid:durableId="453444446">
    <w:abstractNumId w:val="6"/>
  </w:num>
  <w:num w:numId="6" w16cid:durableId="390420652">
    <w:abstractNumId w:val="5"/>
  </w:num>
  <w:num w:numId="7" w16cid:durableId="1032850206">
    <w:abstractNumId w:val="4"/>
  </w:num>
  <w:num w:numId="8" w16cid:durableId="237135027">
    <w:abstractNumId w:val="7"/>
  </w:num>
  <w:num w:numId="9" w16cid:durableId="1824784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82E"/>
    <w:rsid w:val="00013B2A"/>
    <w:rsid w:val="000A2FBD"/>
    <w:rsid w:val="000C2BFE"/>
    <w:rsid w:val="000F27A9"/>
    <w:rsid w:val="000F6208"/>
    <w:rsid w:val="00125CBC"/>
    <w:rsid w:val="00172070"/>
    <w:rsid w:val="00185E15"/>
    <w:rsid w:val="001B5663"/>
    <w:rsid w:val="001D4BBF"/>
    <w:rsid w:val="001D63A8"/>
    <w:rsid w:val="0020288A"/>
    <w:rsid w:val="00237393"/>
    <w:rsid w:val="00251EE4"/>
    <w:rsid w:val="002924A9"/>
    <w:rsid w:val="002A1D4E"/>
    <w:rsid w:val="002B4BCF"/>
    <w:rsid w:val="002F1925"/>
    <w:rsid w:val="00300C61"/>
    <w:rsid w:val="00312A38"/>
    <w:rsid w:val="003202DD"/>
    <w:rsid w:val="003775B9"/>
    <w:rsid w:val="00397B2A"/>
    <w:rsid w:val="003E1189"/>
    <w:rsid w:val="003F4DFE"/>
    <w:rsid w:val="00425111"/>
    <w:rsid w:val="004309D0"/>
    <w:rsid w:val="00451C48"/>
    <w:rsid w:val="0047030E"/>
    <w:rsid w:val="004B7CDC"/>
    <w:rsid w:val="004E6A17"/>
    <w:rsid w:val="004F2EA7"/>
    <w:rsid w:val="00520780"/>
    <w:rsid w:val="00525ED0"/>
    <w:rsid w:val="00534CAB"/>
    <w:rsid w:val="00547BB1"/>
    <w:rsid w:val="00591365"/>
    <w:rsid w:val="005A2421"/>
    <w:rsid w:val="005B23C9"/>
    <w:rsid w:val="005F0CA1"/>
    <w:rsid w:val="005F35F8"/>
    <w:rsid w:val="00603B14"/>
    <w:rsid w:val="006656E5"/>
    <w:rsid w:val="00666512"/>
    <w:rsid w:val="00683F78"/>
    <w:rsid w:val="00693031"/>
    <w:rsid w:val="006A1E82"/>
    <w:rsid w:val="006A7C85"/>
    <w:rsid w:val="006A7CE5"/>
    <w:rsid w:val="006B1646"/>
    <w:rsid w:val="006E5420"/>
    <w:rsid w:val="006F135E"/>
    <w:rsid w:val="00751383"/>
    <w:rsid w:val="00757DD5"/>
    <w:rsid w:val="00760EC5"/>
    <w:rsid w:val="007713FD"/>
    <w:rsid w:val="00774A9B"/>
    <w:rsid w:val="007906DB"/>
    <w:rsid w:val="007B16FE"/>
    <w:rsid w:val="007C3388"/>
    <w:rsid w:val="008512F3"/>
    <w:rsid w:val="00857458"/>
    <w:rsid w:val="00873A0F"/>
    <w:rsid w:val="00895FA0"/>
    <w:rsid w:val="008B1C2E"/>
    <w:rsid w:val="008D7C16"/>
    <w:rsid w:val="008E7632"/>
    <w:rsid w:val="008F0108"/>
    <w:rsid w:val="008F7F1C"/>
    <w:rsid w:val="00907FE0"/>
    <w:rsid w:val="009641B0"/>
    <w:rsid w:val="009865B7"/>
    <w:rsid w:val="009B7E10"/>
    <w:rsid w:val="009C4014"/>
    <w:rsid w:val="009F28EF"/>
    <w:rsid w:val="00A1739E"/>
    <w:rsid w:val="00A928EC"/>
    <w:rsid w:val="00AF50DE"/>
    <w:rsid w:val="00B154A7"/>
    <w:rsid w:val="00B54C72"/>
    <w:rsid w:val="00B85C1E"/>
    <w:rsid w:val="00C15516"/>
    <w:rsid w:val="00C16C81"/>
    <w:rsid w:val="00C57739"/>
    <w:rsid w:val="00C65BE8"/>
    <w:rsid w:val="00CB451F"/>
    <w:rsid w:val="00CC4897"/>
    <w:rsid w:val="00D202A4"/>
    <w:rsid w:val="00D3482E"/>
    <w:rsid w:val="00D91669"/>
    <w:rsid w:val="00DF097A"/>
    <w:rsid w:val="00DF53A8"/>
    <w:rsid w:val="00E039BF"/>
    <w:rsid w:val="00E11822"/>
    <w:rsid w:val="00E31329"/>
    <w:rsid w:val="00E73B02"/>
    <w:rsid w:val="00E74BF3"/>
    <w:rsid w:val="00EC36FB"/>
    <w:rsid w:val="00EF3610"/>
    <w:rsid w:val="00F177A4"/>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1DC630"/>
  <w15:chartTrackingRefBased/>
  <w15:docId w15:val="{8245A233-2F80-4CCD-B605-A38AFF974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semiHidden/>
    <w:rPr>
      <w:b w:val="0"/>
      <w:vertAlign w:val="superscript"/>
    </w:rPr>
  </w:style>
  <w:style w:type="paragraph" w:styleId="FootnoteText">
    <w:name w:val="footnote text"/>
    <w:basedOn w:val="Normal"/>
    <w:link w:val="FootnoteTextChar"/>
    <w:uiPriority w:val="99"/>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basedOn w:val="DefaultParagraphFont"/>
    <w:link w:val="FootnoteText"/>
    <w:uiPriority w:val="99"/>
    <w:semiHidden/>
    <w:rsid w:val="00B154A7"/>
    <w:rPr>
      <w:sz w:val="22"/>
      <w:lang w:val="fr-FR"/>
    </w:rPr>
  </w:style>
  <w:style w:type="paragraph" w:styleId="EndnoteText">
    <w:name w:val="endnote text"/>
    <w:basedOn w:val="Normal"/>
    <w:link w:val="EndnoteTextChar"/>
    <w:rsid w:val="00A928EC"/>
    <w:rPr>
      <w:sz w:val="20"/>
    </w:rPr>
  </w:style>
  <w:style w:type="character" w:customStyle="1" w:styleId="EndnoteTextChar">
    <w:name w:val="Endnote Text Char"/>
    <w:basedOn w:val="DefaultParagraphFont"/>
    <w:link w:val="EndnoteText"/>
    <w:rsid w:val="00A928EC"/>
    <w:rPr>
      <w:lang w:val="fr-FR"/>
    </w:rPr>
  </w:style>
  <w:style w:type="character" w:styleId="EndnoteReference">
    <w:name w:val="endnote reference"/>
    <w:basedOn w:val="DefaultParagraphFont"/>
    <w:rsid w:val="00A928EC"/>
    <w:rPr>
      <w:vertAlign w:val="superscript"/>
    </w:rPr>
  </w:style>
  <w:style w:type="character" w:styleId="Hyperlink">
    <w:name w:val="Hyperlink"/>
    <w:basedOn w:val="DefaultParagraphFont"/>
    <w:unhideWhenUsed/>
    <w:rsid w:val="00A928EC"/>
    <w:rPr>
      <w:color w:val="0563C1" w:themeColor="hyperlink"/>
      <w:u w:val="single"/>
    </w:rPr>
  </w:style>
  <w:style w:type="paragraph" w:styleId="Revision">
    <w:name w:val="Revision"/>
    <w:hidden/>
    <w:uiPriority w:val="99"/>
    <w:semiHidden/>
    <w:rsid w:val="00251EE4"/>
    <w:rPr>
      <w:sz w:val="24"/>
      <w:lang w:val="fr-FR"/>
    </w:rPr>
  </w:style>
  <w:style w:type="paragraph" w:customStyle="1" w:styleId="Datedadoption">
    <w:name w:val="Date d'adoption"/>
    <w:basedOn w:val="Normal"/>
    <w:next w:val="Normal"/>
    <w:rsid w:val="00AF50DE"/>
    <w:pPr>
      <w:spacing w:before="360" w:line="360" w:lineRule="auto"/>
      <w:jc w:val="center"/>
    </w:pPr>
    <w:rPr>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989489">
      <w:bodyDiv w:val="1"/>
      <w:marLeft w:val="0"/>
      <w:marRight w:val="0"/>
      <w:marTop w:val="0"/>
      <w:marBottom w:val="0"/>
      <w:divBdr>
        <w:top w:val="none" w:sz="0" w:space="0" w:color="auto"/>
        <w:left w:val="none" w:sz="0" w:space="0" w:color="auto"/>
        <w:bottom w:val="none" w:sz="0" w:space="0" w:color="auto"/>
        <w:right w:val="none" w:sz="0" w:space="0" w:color="auto"/>
      </w:divBdr>
    </w:div>
    <w:div w:id="1793862837">
      <w:bodyDiv w:val="1"/>
      <w:marLeft w:val="0"/>
      <w:marRight w:val="0"/>
      <w:marTop w:val="0"/>
      <w:marBottom w:val="0"/>
      <w:divBdr>
        <w:top w:val="none" w:sz="0" w:space="0" w:color="auto"/>
        <w:left w:val="none" w:sz="0" w:space="0" w:color="auto"/>
        <w:bottom w:val="none" w:sz="0" w:space="0" w:color="auto"/>
        <w:right w:val="none" w:sz="0" w:space="0" w:color="auto"/>
      </w:divBdr>
    </w:div>
    <w:div w:id="1884438317">
      <w:bodyDiv w:val="1"/>
      <w:marLeft w:val="0"/>
      <w:marRight w:val="0"/>
      <w:marTop w:val="0"/>
      <w:marBottom w:val="0"/>
      <w:divBdr>
        <w:top w:val="none" w:sz="0" w:space="0" w:color="auto"/>
        <w:left w:val="none" w:sz="0" w:space="0" w:color="auto"/>
        <w:bottom w:val="none" w:sz="0" w:space="0" w:color="auto"/>
        <w:right w:val="none" w:sz="0" w:space="0" w:color="auto"/>
      </w:divBdr>
    </w:div>
    <w:div w:id="195697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3</Pages>
  <Words>358</Words>
  <Characters>2278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DELECROIX Dorothee</dc:creator>
  <cp:keywords/>
  <cp:lastModifiedBy>DELECROIX Dorothee</cp:lastModifiedBy>
  <cp:revision>2</cp:revision>
  <cp:lastPrinted>2014-08-07T13:15:00Z</cp:lastPrinted>
  <dcterms:created xsi:type="dcterms:W3CDTF">2026-03-24T09:20:00Z</dcterms:created>
  <dcterms:modified xsi:type="dcterms:W3CDTF">2026-03-24T09:20:00Z</dcterms:modified>
</cp:coreProperties>
</file>