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7A41" w14:paraId="5C7602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FF84BB" w14:textId="77777777" w:rsidR="00751A4A" w:rsidRPr="00EA7A41" w:rsidRDefault="00E93225" w:rsidP="0010095E">
            <w:pPr>
              <w:pStyle w:val="EPName"/>
            </w:pPr>
            <w:r w:rsidRPr="00EA7A41">
              <w:t>Evropský parlament</w:t>
            </w:r>
          </w:p>
          <w:p w14:paraId="7C93A025" w14:textId="77777777" w:rsidR="00751A4A" w:rsidRPr="00EA7A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7A41">
              <w:t>2024</w:t>
            </w:r>
            <w:r w:rsidR="00817416" w:rsidRPr="00EA7A41">
              <w:t>-202</w:t>
            </w:r>
            <w:r w:rsidRPr="00EA7A41">
              <w:t>9</w:t>
            </w:r>
          </w:p>
        </w:tc>
        <w:tc>
          <w:tcPr>
            <w:tcW w:w="2268" w:type="dxa"/>
            <w:shd w:val="clear" w:color="auto" w:fill="auto"/>
          </w:tcPr>
          <w:p w14:paraId="46739DB5" w14:textId="77777777" w:rsidR="00751A4A" w:rsidRPr="00EA7A41" w:rsidRDefault="00187494" w:rsidP="0010095E">
            <w:pPr>
              <w:pStyle w:val="EPLogo"/>
            </w:pPr>
            <w:r w:rsidRPr="00EA7A41">
              <w:rPr>
                <w:noProof/>
                <w:lang w:eastAsia="ja-JP"/>
              </w:rPr>
              <w:drawing>
                <wp:inline distT="0" distB="0" distL="0" distR="0" wp14:anchorId="072E2900" wp14:editId="10E798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5412A2" w14:textId="77777777" w:rsidR="00D058B8" w:rsidRPr="00EA7A41" w:rsidRDefault="00D058B8" w:rsidP="004C5D52">
      <w:pPr>
        <w:pStyle w:val="LineTop"/>
      </w:pPr>
    </w:p>
    <w:p w14:paraId="525BA200" w14:textId="77777777" w:rsidR="00680577" w:rsidRPr="00EA7A41" w:rsidRDefault="00E93225" w:rsidP="00680577">
      <w:pPr>
        <w:pStyle w:val="EPBodyTA1"/>
      </w:pPr>
      <w:r w:rsidRPr="00EA7A41">
        <w:t>PŘIJATÉ TEXTY</w:t>
      </w:r>
    </w:p>
    <w:p w14:paraId="2062A8FA" w14:textId="77777777" w:rsidR="00D058B8" w:rsidRPr="00EA7A41" w:rsidRDefault="00D058B8" w:rsidP="00D058B8">
      <w:pPr>
        <w:pStyle w:val="LineBottom"/>
      </w:pPr>
    </w:p>
    <w:p w14:paraId="03F94389" w14:textId="7ED875FA" w:rsidR="00E93225" w:rsidRPr="00EA7A41" w:rsidRDefault="00E93225" w:rsidP="00E93225">
      <w:pPr>
        <w:pStyle w:val="ATHeading1"/>
      </w:pPr>
      <w:bookmarkStart w:id="0" w:name="TANumber"/>
      <w:r w:rsidRPr="00EA7A41">
        <w:t>P10_TA(2026)00</w:t>
      </w:r>
      <w:r w:rsidR="00A61EEE">
        <w:t>38</w:t>
      </w:r>
      <w:bookmarkEnd w:id="0"/>
    </w:p>
    <w:p w14:paraId="0CA0818A" w14:textId="77777777" w:rsidR="00E93225" w:rsidRPr="00EA7A41" w:rsidRDefault="00E93225" w:rsidP="00E93225">
      <w:pPr>
        <w:pStyle w:val="ATHeading2"/>
      </w:pPr>
      <w:bookmarkStart w:id="1" w:name="title"/>
      <w:r w:rsidRPr="00EA7A41">
        <w:t>Uvolnění prostředků z Evropského fondu pro přizpůsobení se globalizaci: žádost EGF/2025/006 BE/ Audi – Belgie</w:t>
      </w:r>
      <w:bookmarkEnd w:id="1"/>
    </w:p>
    <w:p w14:paraId="04964967" w14:textId="77777777" w:rsidR="00E93225" w:rsidRPr="00EA7A41" w:rsidRDefault="00E93225" w:rsidP="00E93225">
      <w:pPr>
        <w:rPr>
          <w:i/>
          <w:vanish/>
        </w:rPr>
      </w:pPr>
      <w:r w:rsidRPr="00EA7A41">
        <w:rPr>
          <w:i/>
        </w:rPr>
        <w:fldChar w:fldCharType="begin"/>
      </w:r>
      <w:r w:rsidRPr="00EA7A41">
        <w:rPr>
          <w:i/>
        </w:rPr>
        <w:instrText xml:space="preserve"> TC"(</w:instrText>
      </w:r>
      <w:bookmarkStart w:id="2" w:name="DocNumber"/>
      <w:r w:rsidRPr="00EA7A41">
        <w:rPr>
          <w:i/>
        </w:rPr>
        <w:instrText>A10-0006/2026</w:instrText>
      </w:r>
      <w:bookmarkEnd w:id="2"/>
      <w:r w:rsidRPr="00EA7A41">
        <w:rPr>
          <w:i/>
        </w:rPr>
        <w:instrText xml:space="preserve"> - Zpravodaj: Nicolae Ștefănuță)"\l3 \n&gt; \* MERGEFORMAT </w:instrText>
      </w:r>
      <w:r w:rsidRPr="00EA7A41">
        <w:rPr>
          <w:i/>
        </w:rPr>
        <w:fldChar w:fldCharType="end"/>
      </w:r>
    </w:p>
    <w:p w14:paraId="148AA5B9" w14:textId="77777777" w:rsidR="00E93225" w:rsidRPr="00EA7A41" w:rsidRDefault="00E93225" w:rsidP="00E93225">
      <w:pPr>
        <w:rPr>
          <w:vanish/>
        </w:rPr>
      </w:pPr>
      <w:bookmarkStart w:id="3" w:name="Commission"/>
      <w:r w:rsidRPr="00EA7A41">
        <w:rPr>
          <w:vanish/>
        </w:rPr>
        <w:t>Rozpočtový výbor</w:t>
      </w:r>
      <w:bookmarkEnd w:id="3"/>
    </w:p>
    <w:p w14:paraId="2604719E" w14:textId="77777777" w:rsidR="00E93225" w:rsidRPr="00EA7A41" w:rsidRDefault="00E93225" w:rsidP="00E93225">
      <w:pPr>
        <w:rPr>
          <w:vanish/>
        </w:rPr>
      </w:pPr>
      <w:bookmarkStart w:id="4" w:name="PE"/>
      <w:r w:rsidRPr="00EA7A41">
        <w:rPr>
          <w:vanish/>
        </w:rPr>
        <w:t>PE782.226</w:t>
      </w:r>
      <w:bookmarkEnd w:id="4"/>
    </w:p>
    <w:p w14:paraId="138771D9" w14:textId="77777777" w:rsidR="00E93225" w:rsidRPr="00EA7A41" w:rsidRDefault="00E93225" w:rsidP="00E93225">
      <w:pPr>
        <w:pStyle w:val="ATHeading3"/>
      </w:pPr>
      <w:bookmarkStart w:id="5" w:name="Sujet"/>
      <w:r w:rsidRPr="00EA7A41">
        <w:t>Usnesení Evropského parlamentu ze dne 11. února 2026 o návrhu rozhodnutí Evropského parlamentu a Rady o uvolnění prostředků z Evropského fondu pro přizpůsobení se globalizaci na pomoc propuštěným pracovníkům na základě žádosti Belgie – EGF/2025/006 BE/Audi</w:t>
      </w:r>
      <w:bookmarkEnd w:id="5"/>
      <w:r w:rsidRPr="00EA7A41">
        <w:t xml:space="preserve"> </w:t>
      </w:r>
      <w:bookmarkStart w:id="6" w:name="References"/>
      <w:r w:rsidRPr="00EA7A41">
        <w:t>(</w:t>
      </w:r>
      <w:proofErr w:type="gramStart"/>
      <w:r w:rsidRPr="00EA7A41">
        <w:t>COM(</w:t>
      </w:r>
      <w:proofErr w:type="gramEnd"/>
      <w:r w:rsidRPr="00EA7A41">
        <w:t>2026)0002 – C10-0002/2026 – 2026/0001(BUD))</w:t>
      </w:r>
      <w:bookmarkEnd w:id="6"/>
    </w:p>
    <w:p w14:paraId="1EA62D3E" w14:textId="77777777" w:rsidR="00ED5909" w:rsidRPr="00EA7A41" w:rsidRDefault="00ED5909" w:rsidP="00ED5909">
      <w:pPr>
        <w:pStyle w:val="EPComma"/>
        <w:rPr>
          <w:noProof/>
        </w:rPr>
      </w:pPr>
      <w:r w:rsidRPr="00EA7A41">
        <w:rPr>
          <w:i/>
        </w:rPr>
        <w:t>Evropský parlament</w:t>
      </w:r>
      <w:r w:rsidRPr="00EA7A41">
        <w:t>,</w:t>
      </w:r>
    </w:p>
    <w:p w14:paraId="682267EE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–</w:t>
      </w:r>
      <w:r w:rsidRPr="00EA7A41">
        <w:tab/>
        <w:t>s ohledem na návrh Komise předložený Evropskému parlamentu a Radě (</w:t>
      </w:r>
      <w:proofErr w:type="gramStart"/>
      <w:r w:rsidRPr="00EA7A41">
        <w:t>COM(</w:t>
      </w:r>
      <w:proofErr w:type="gramEnd"/>
      <w:r w:rsidRPr="00EA7A41">
        <w:t>2026)0002 – C10</w:t>
      </w:r>
      <w:r w:rsidRPr="00EA7A41">
        <w:noBreakHyphen/>
        <w:t>0002/2026),</w:t>
      </w:r>
    </w:p>
    <w:p w14:paraId="0AFA0F73" w14:textId="7CF058C1" w:rsidR="00ED5909" w:rsidRPr="00EA7A41" w:rsidRDefault="00ED5909" w:rsidP="00ED5909">
      <w:pPr>
        <w:pStyle w:val="NormalHanging12a"/>
        <w:rPr>
          <w:noProof/>
        </w:rPr>
      </w:pPr>
      <w:r w:rsidRPr="00EA7A41">
        <w:t>–</w:t>
      </w:r>
      <w:r w:rsidRPr="00EA7A41">
        <w:tab/>
        <w:t>s ohledem na nařízení Evropského parlamentu a Rady (EU) 2021/691 ze dne 28. dubna 2021 o Evropském fondu pro přizpůsobení se globalizaci na pomoc propuštěným pracovníkům (EFG) a o zrušení nařízení (E</w:t>
      </w:r>
      <w:r w:rsidR="003D0FA8">
        <w:t>U</w:t>
      </w:r>
      <w:r w:rsidRPr="00EA7A41">
        <w:t>) č. 1309/2013</w:t>
      </w:r>
      <w:r w:rsidRPr="00EA7A41">
        <w:rPr>
          <w:rStyle w:val="FootnoteReference"/>
        </w:rPr>
        <w:footnoteReference w:id="1"/>
      </w:r>
      <w:r w:rsidR="00B02E80">
        <w:t xml:space="preserve"> (dále jen „nařízení o EFG“)</w:t>
      </w:r>
      <w:r w:rsidRPr="00EA7A41">
        <w:t>,</w:t>
      </w:r>
    </w:p>
    <w:p w14:paraId="362F572A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–</w:t>
      </w:r>
      <w:r w:rsidRPr="00EA7A41">
        <w:tab/>
        <w:t>s ohledem na nařízení Rady (EU, Euratom) 2020/2093 ze dne 17. prosince 2020, kterým se stanoví víceletý finanční rámec na období 2021–2027</w:t>
      </w:r>
      <w:r w:rsidRPr="00EA7A41">
        <w:rPr>
          <w:noProof/>
          <w:vertAlign w:val="superscript"/>
        </w:rPr>
        <w:footnoteReference w:id="2"/>
      </w:r>
      <w:r w:rsidRPr="00EA7A41">
        <w:t>, ve znění nařízení (EU, Euratom) 2024/765</w:t>
      </w:r>
      <w:r w:rsidRPr="00EA7A41">
        <w:rPr>
          <w:noProof/>
          <w:vertAlign w:val="superscript"/>
        </w:rPr>
        <w:footnoteReference w:id="3"/>
      </w:r>
      <w:r w:rsidRPr="00EA7A41">
        <w:t xml:space="preserve"> (dále jen „nařízení o VFR“), a zejména na článek 8 tohoto nařízení,</w:t>
      </w:r>
    </w:p>
    <w:p w14:paraId="512FBC6D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–</w:t>
      </w:r>
      <w:r w:rsidRPr="00EA7A41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 o nových vlastních zdrojích</w:t>
      </w:r>
      <w:r w:rsidRPr="00EA7A41">
        <w:rPr>
          <w:rStyle w:val="FootnoteReference"/>
          <w:noProof/>
        </w:rPr>
        <w:footnoteReference w:id="4"/>
      </w:r>
      <w:r w:rsidRPr="00EA7A41">
        <w:t>, včetně plánu zavádění nových vlastních zdrojů, a zejména na bod 9 této dohody,</w:t>
      </w:r>
    </w:p>
    <w:p w14:paraId="2F5C7718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–</w:t>
      </w:r>
      <w:r w:rsidRPr="00EA7A41">
        <w:tab/>
        <w:t>s ohledem na evropský pilíř sociálních práv,</w:t>
      </w:r>
    </w:p>
    <w:p w14:paraId="095190DD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lastRenderedPageBreak/>
        <w:t>–</w:t>
      </w:r>
      <w:r w:rsidRPr="00EA7A41">
        <w:tab/>
        <w:t>s ohledem na stanovisko Výboru pro zaměstnanost a sociální věci,</w:t>
      </w:r>
    </w:p>
    <w:p w14:paraId="192F2A28" w14:textId="77777777" w:rsidR="00ED5909" w:rsidRPr="00EA7A41" w:rsidRDefault="00ED5909" w:rsidP="00ED5909">
      <w:pPr>
        <w:pStyle w:val="NormalHanging12a"/>
      </w:pPr>
      <w:r w:rsidRPr="00EA7A41">
        <w:t>–</w:t>
      </w:r>
      <w:r w:rsidRPr="00EA7A41">
        <w:tab/>
        <w:t>s ohledem na zprávu Rozpočtového výboru (A10</w:t>
      </w:r>
      <w:r w:rsidRPr="00EA7A41">
        <w:noBreakHyphen/>
        <w:t>0006/2026),</w:t>
      </w:r>
    </w:p>
    <w:p w14:paraId="4170F907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A.</w:t>
      </w:r>
      <w:r w:rsidRPr="00EA7A41">
        <w:tab/>
        <w:t>vzhledem k tomu, že Unie vytvořila legislativní a rozpočtové nástroje s cílem poskytovat dodatečnou podporu pracovníkům, kteří jsou postiženi důsledky významných strukturálních událostí a změn ve schématu světového obchodu, a pomáhat jim při opětovném začleňování na trh práce; vzhledem k tomu, že tato pomoc jim je poskytována v podobě finanční podpory;</w:t>
      </w:r>
    </w:p>
    <w:p w14:paraId="260E59BC" w14:textId="0E337699" w:rsidR="00ED5909" w:rsidRPr="00EA7A41" w:rsidRDefault="00ED5909" w:rsidP="00ED5909">
      <w:pPr>
        <w:pStyle w:val="NormalHanging12a"/>
      </w:pPr>
      <w:r w:rsidRPr="00EA7A41">
        <w:t>B.</w:t>
      </w:r>
      <w:r w:rsidRPr="00EA7A41">
        <w:tab/>
        <w:t>vzhledem k tomu, že Belgie předložila žádost EGF/2025/006 BE/Audi o finanční příspěvek z fondu EFG v souvislosti s propuštěním 3 414 pracovníků</w:t>
      </w:r>
      <w:r w:rsidRPr="00EA7A41">
        <w:rPr>
          <w:vertAlign w:val="superscript"/>
        </w:rPr>
        <w:footnoteReference w:id="5"/>
      </w:r>
      <w:r w:rsidRPr="00EA7A41">
        <w:t xml:space="preserve"> v hospodářském odvětví, které je v rámci klasifikace NACE Revize 2 řazeno do oddílu 29 (Výroba motorových vozidel, přívěsů a návěsů), v regionech Bruxelles </w:t>
      </w:r>
      <w:proofErr w:type="spellStart"/>
      <w:r w:rsidRPr="00EA7A41">
        <w:t>Capitale</w:t>
      </w:r>
      <w:proofErr w:type="spellEnd"/>
      <w:r w:rsidRPr="00EA7A41">
        <w:t xml:space="preserve"> (BE10), Provincie </w:t>
      </w:r>
      <w:proofErr w:type="spellStart"/>
      <w:r w:rsidRPr="00EA7A41">
        <w:t>Oost-Vlaanderen</w:t>
      </w:r>
      <w:proofErr w:type="spellEnd"/>
      <w:r w:rsidRPr="00EA7A41">
        <w:t xml:space="preserve"> (BE23) a Provincie </w:t>
      </w:r>
      <w:proofErr w:type="spellStart"/>
      <w:r w:rsidRPr="00EA7A41">
        <w:t>Hainaut</w:t>
      </w:r>
      <w:proofErr w:type="spellEnd"/>
      <w:r w:rsidRPr="00EA7A41">
        <w:t xml:space="preserve"> (BE32), přičemž v referenčním období od 28. února 2025 do 28. června 2025 bylo propuštěno 3 148 pracovníků, což zahrnuje 2 580 pracovníků, kteří byli propuštěni ze společnosti Audi S.A./</w:t>
      </w:r>
      <w:proofErr w:type="spellStart"/>
      <w:r w:rsidRPr="00EA7A41">
        <w:t>n.V</w:t>
      </w:r>
      <w:proofErr w:type="spellEnd"/>
      <w:r w:rsidRPr="00EA7A41">
        <w:t>. (Audi) a jejích dceřiných společností, 568 pracovníků, kteří byli propuštěni z pěti dodavatelských podniků a navazujících výrobních podniků, a 266 pracovníků propuštěných před referenčním obdobím nebo po něm;</w:t>
      </w:r>
    </w:p>
    <w:p w14:paraId="0F95531F" w14:textId="67597790" w:rsidR="00ED5909" w:rsidRPr="00EA7A41" w:rsidRDefault="00ED5909" w:rsidP="00ED5909">
      <w:pPr>
        <w:pStyle w:val="NormalHanging12a"/>
      </w:pPr>
      <w:r w:rsidRPr="00EA7A41">
        <w:t>C.</w:t>
      </w:r>
      <w:r w:rsidRPr="00EA7A41">
        <w:tab/>
        <w:t>vzhledem k tomu, že žádost je založena na kritériích pro pomoc stanovených v čl. 4 odst. 2 písm. a) nařízení o EFG; vzhledem k tomu, že v případě 266 pracovníků, kteří byli propuštěni před čtyřměsíčním referenčním obdobím nebo po něm, lze prokázat jednoznačnou příčinnou souvislost s událostí, jež vedla k propouštění pracovníků během referenčního období, jak vyžaduje čl. 6 odst. 2 nařízení o EFG;</w:t>
      </w:r>
    </w:p>
    <w:p w14:paraId="6EA28D39" w14:textId="6E4CC10D" w:rsidR="00ED5909" w:rsidRPr="00EA7A41" w:rsidRDefault="00ED5909" w:rsidP="00ED5909">
      <w:pPr>
        <w:pStyle w:val="NormalHanging12a"/>
      </w:pPr>
      <w:r w:rsidRPr="00EA7A41">
        <w:t>D.</w:t>
      </w:r>
      <w:r w:rsidRPr="00EA7A41">
        <w:tab/>
        <w:t>vzhledem k tomu, že v dotyčném závodě společnosti Audi se vyráběl pouze jeden model, přičemž výroba byla zastavena dříve, než se plánovalo, a to z důvodu vysokých výrobních nákladů spojených s umístěním závodu; vzhledem k tomu, že výrobní závod byl uzavřen dne 28. února 2025;</w:t>
      </w:r>
    </w:p>
    <w:p w14:paraId="6D10B00D" w14:textId="77777777" w:rsidR="00ED5909" w:rsidRPr="00EA7A41" w:rsidRDefault="00ED5909" w:rsidP="00ED5909">
      <w:pPr>
        <w:pStyle w:val="NormalHanging12a"/>
      </w:pPr>
      <w:r w:rsidRPr="00EA7A41">
        <w:t>E.</w:t>
      </w:r>
      <w:r w:rsidRPr="00EA7A41">
        <w:tab/>
        <w:t>vzhledem k tomu, že Belgie zajišťuje vnitrostátní předběžné financování a spolufinancování příslušných opatření;</w:t>
      </w:r>
    </w:p>
    <w:p w14:paraId="343ED5BD" w14:textId="77777777" w:rsidR="00ED5909" w:rsidRPr="00EA7A41" w:rsidRDefault="00ED5909" w:rsidP="00ED5909">
      <w:pPr>
        <w:pStyle w:val="NormalHanging12a"/>
      </w:pPr>
      <w:r w:rsidRPr="00EA7A41">
        <w:t>F.</w:t>
      </w:r>
      <w:r w:rsidRPr="00EA7A41">
        <w:tab/>
        <w:t>vzhledem k tomu, že příslušné podniky splnily požadavky stanovené v unijních a vnitrostátních právních předpisech, které se týkají hromadného propouštění;</w:t>
      </w:r>
    </w:p>
    <w:p w14:paraId="699A869B" w14:textId="77777777" w:rsidR="00ED5909" w:rsidRPr="00EA7A41" w:rsidRDefault="00ED5909" w:rsidP="00ED5909">
      <w:pPr>
        <w:pStyle w:val="NormalHanging12a"/>
      </w:pPr>
      <w:r w:rsidRPr="00EA7A41">
        <w:t>G.</w:t>
      </w:r>
      <w:r w:rsidRPr="00EA7A41">
        <w:tab/>
        <w:t>vzhledem k tomu, že finanční příspěvky z fondu EFG by měly primárně směřovat na aktivní opatření politiky v oblasti trhu práce a na individualizované služby, jejichž cílem je rychle začlenit příjemce pomoci do důstojného a udržitelného zaměstnání, nabídnout jim rekvalifikační kurzy, které by jim usnadnily znovu se začlenit na pracovní trh, a zároveň je připravit na ekologičtější a </w:t>
      </w:r>
      <w:proofErr w:type="spellStart"/>
      <w:r w:rsidRPr="00EA7A41">
        <w:t>digitalizovanější</w:t>
      </w:r>
      <w:proofErr w:type="spellEnd"/>
      <w:r w:rsidRPr="00EA7A41">
        <w:t xml:space="preserve"> evropské hospodářství;</w:t>
      </w:r>
    </w:p>
    <w:p w14:paraId="682AC511" w14:textId="77777777" w:rsidR="00ED5909" w:rsidRPr="00EA7A41" w:rsidRDefault="00ED5909" w:rsidP="00ED5909">
      <w:pPr>
        <w:pStyle w:val="NormalHanging12a"/>
      </w:pPr>
      <w:r w:rsidRPr="00EA7A41">
        <w:t>H.</w:t>
      </w:r>
      <w:r w:rsidRPr="00EA7A41">
        <w:tab/>
        <w:t>vzhledem k tomu, že fond EFG nesmí překročit maximální roční částku 30 milionů EUR (v cenách roku 2018)</w:t>
      </w:r>
      <w:r w:rsidRPr="00EA7A41">
        <w:rPr>
          <w:rStyle w:val="FootnoteReference"/>
        </w:rPr>
        <w:footnoteReference w:id="6"/>
      </w:r>
      <w:r w:rsidRPr="00EA7A41">
        <w:t xml:space="preserve">; </w:t>
      </w:r>
    </w:p>
    <w:p w14:paraId="4BD7186F" w14:textId="041F114A" w:rsidR="00ED5909" w:rsidRPr="00EA7A41" w:rsidRDefault="00ED5909" w:rsidP="00ED5909">
      <w:pPr>
        <w:pStyle w:val="NormalHanging12a"/>
      </w:pPr>
      <w:r w:rsidRPr="00EA7A41">
        <w:t>1.</w:t>
      </w:r>
      <w:r w:rsidRPr="00EA7A41">
        <w:tab/>
        <w:t xml:space="preserve">souhlasí s Komisí, že podmínky stanovené </w:t>
      </w:r>
      <w:r w:rsidR="00794F8E">
        <w:t xml:space="preserve">v </w:t>
      </w:r>
      <w:r w:rsidRPr="00EA7A41">
        <w:t xml:space="preserve">nařízení o EFG, a zejména v čl. 4 odst. 2 písm. a) tohoto nařízení, byly splněny, a Belgie má proto podle uvedeného nařízení </w:t>
      </w:r>
      <w:r w:rsidRPr="00EA7A41">
        <w:lastRenderedPageBreak/>
        <w:t>nárok na finanční příspěvek ve výši 7 527 625 EUR, což představuje 85 % celkových nákladů, které činí 8 856 030 EUR a zahrnují výdaje na individualizované služby ve výši 8 738 968 EUR a výdaje na přípravnou, řídicí, informační, propagační, kontrolní a vykazovací činnost ve výši 117 062 EUR;</w:t>
      </w:r>
    </w:p>
    <w:p w14:paraId="15D12C73" w14:textId="527100E8" w:rsidR="00ED5909" w:rsidRPr="00EA7A41" w:rsidRDefault="00ED5909" w:rsidP="00ED5909">
      <w:pPr>
        <w:pStyle w:val="NormalHanging12a"/>
      </w:pPr>
      <w:r w:rsidRPr="00EA7A41">
        <w:t>2.</w:t>
      </w:r>
      <w:r w:rsidRPr="00EA7A41">
        <w:tab/>
        <w:t xml:space="preserve">konstatuje, že belgické orgány podaly žádost dne 18. září 2025 a že poté, co Belgie poskytla další informace, dokončila Komise dne 9. ledna 2026 posouzení daného případu a tentýž den o tom informovala Parlament; zdůrazňuje, že je důležité zkrátit dobu mezi podáním žádosti o pomoc z fondu EFG a rozhodnutím o financování a zároveň v plné míře ochránit práva </w:t>
      </w:r>
      <w:r w:rsidR="00CB24C2">
        <w:t>P</w:t>
      </w:r>
      <w:r w:rsidRPr="00EA7A41">
        <w:t>arlamentu jako jedné složky rozpočtového orgánu;</w:t>
      </w:r>
    </w:p>
    <w:p w14:paraId="14A2EE41" w14:textId="77777777" w:rsidR="00ED5909" w:rsidRPr="00EA7A41" w:rsidRDefault="00ED5909" w:rsidP="00ED5909">
      <w:pPr>
        <w:pStyle w:val="NormalHanging12a"/>
      </w:pPr>
      <w:r w:rsidRPr="00EA7A41">
        <w:t>3.</w:t>
      </w:r>
      <w:r w:rsidRPr="00EA7A41">
        <w:tab/>
        <w:t>konstatuje, že žádost se týká pracovníků, jejichž činnost skončila v podniku Audi a u pěti dodavatelských a navazujících výrobních podniků a že všichni tito pracovníci budou cílovými příjemci;</w:t>
      </w:r>
    </w:p>
    <w:p w14:paraId="499AE91D" w14:textId="543CAE87" w:rsidR="00ED5909" w:rsidRPr="00EA7A41" w:rsidRDefault="00ED5909" w:rsidP="00ED5909">
      <w:pPr>
        <w:pStyle w:val="NormalHanging12a"/>
      </w:pPr>
      <w:r w:rsidRPr="00EA7A41">
        <w:t>4.</w:t>
      </w:r>
      <w:r w:rsidRPr="00EA7A41">
        <w:tab/>
        <w:t xml:space="preserve">bere na vědomí, že nárůst počtu úpadků v posledních dvou letech výrazně zvýšil míru nezaměstnanosti v některých regionech Belgie, zejména v Bruselu a </w:t>
      </w:r>
      <w:proofErr w:type="spellStart"/>
      <w:r w:rsidRPr="00EA7A41">
        <w:t>Henegavsku</w:t>
      </w:r>
      <w:proofErr w:type="spellEnd"/>
      <w:r w:rsidRPr="00EA7A41">
        <w:t xml:space="preserve"> (Valonsko); zdůrazňuje, že riziko nezaměstnanosti souvisí s úrovní vzdělání a každé druhé osobě s nízkým vzděláním a každé třetí osobě se středním vzděláním hrozí vyšší riziko nezaměstnanosti, přičemž tyto skupiny představují 83 % propuštěných pracovníků; vyjadřuje politování nad tím, že propouštění situaci ještě zhorší; vyzývá belgické orgány, aby přijaly opatření ke snížení počtu konkurzů, aby se zabránilo strukturálnímu a regionálnímu úpadku, a kroky k řešení sociálních nerovností, které mají za následek vyloučení pracovní síly, jako je genderová nerovnost a nízká úroveň vzdělání;</w:t>
      </w:r>
    </w:p>
    <w:p w14:paraId="56EDCB89" w14:textId="3A25D32F" w:rsidR="00ED5909" w:rsidRPr="00EA7A41" w:rsidRDefault="00ED5909" w:rsidP="00ED5909">
      <w:pPr>
        <w:pStyle w:val="NormalHanging12a"/>
        <w:rPr>
          <w:noProof/>
        </w:rPr>
      </w:pPr>
      <w:r w:rsidRPr="00EA7A41">
        <w:t>5.</w:t>
      </w:r>
      <w:r w:rsidRPr="00EA7A41">
        <w:tab/>
        <w:t>konstatuje, že celosvětový trh výroby a prodeje automobilů, zejména elektromobilů, se vyznačuje stále agresivnější celosvětovou hospodářskou soutěží; poukazuje na rostoucí výzvy, jimž čelí evropští výrobci automobilů při uvádění inovativních a cenově dostupných modelů na trh v segmentech orientovaných na budoucnost, jako jsou bateriová elektrická vozidla;</w:t>
      </w:r>
      <w:r w:rsidR="00EA7A41" w:rsidRPr="00EA7A41">
        <w:t xml:space="preserve"> </w:t>
      </w:r>
      <w:r w:rsidRPr="00EA7A41">
        <w:t>vyjadřuje politování nad tím, že společnost Audi ukončila svou činnost v Belgii navzdory tomu, že nadále generovala zisk, a že se výroba přesune do Číny a Mexika, což vedlo k propuštění 3 414 pracovníků; se znepokojením konstatuje, že náročné výrobní podmínky, mj. omezený přístup k levnějším čistým zdrojům energie a jejich nedostatečné zavádění přispěly k přemístění výrobních zařízení společnosti Audi mimo Unii;</w:t>
      </w:r>
    </w:p>
    <w:p w14:paraId="7BA623FA" w14:textId="77777777" w:rsidR="00ED5909" w:rsidRPr="00EA7A41" w:rsidRDefault="00ED5909" w:rsidP="00ED5909">
      <w:pPr>
        <w:pStyle w:val="NormalHanging12a"/>
        <w:rPr>
          <w:bCs/>
          <w:iCs/>
        </w:rPr>
      </w:pPr>
      <w:r w:rsidRPr="00EA7A41">
        <w:t>6.</w:t>
      </w:r>
      <w:r w:rsidRPr="00EA7A41">
        <w:tab/>
        <w:t>zdůrazňuje, že uzavření závodu po více než 70 letech provozu, bez ohledu na to, že vyráběl elektrická vozidla, ukazuje, že výzvy, jimž evropský průmysl čelí, jsou strukturální povahy, a nikoli pouze technologické;</w:t>
      </w:r>
    </w:p>
    <w:p w14:paraId="2FBF2C86" w14:textId="77777777" w:rsidR="00ED5909" w:rsidRPr="00EA7A41" w:rsidRDefault="00ED5909" w:rsidP="00ED5909">
      <w:pPr>
        <w:pStyle w:val="NormalHanging12a"/>
      </w:pPr>
      <w:r w:rsidRPr="00EA7A41">
        <w:t xml:space="preserve">7. </w:t>
      </w:r>
      <w:r w:rsidRPr="00EA7A41">
        <w:tab/>
        <w:t>poukazuje na to, že je důležité nalézt trvalé řešení pro nové využití uzavřené továrny s cílem vytvořit kvalitní pracovní místa v regionu; naléhavě vyzývá belgické orgány, aby podnikly nezbytné kroky s cílem usnadnit otevření nového výrobního závodu v bývalé továrně společnosti Audi;</w:t>
      </w:r>
    </w:p>
    <w:p w14:paraId="541BF083" w14:textId="77777777" w:rsidR="00ED5909" w:rsidRPr="00EA7A41" w:rsidRDefault="00ED5909" w:rsidP="00ED5909">
      <w:pPr>
        <w:pStyle w:val="NormalHanging12a"/>
        <w:rPr>
          <w:bCs/>
          <w:iCs/>
        </w:rPr>
      </w:pPr>
      <w:r w:rsidRPr="00EA7A41">
        <w:t>8.</w:t>
      </w:r>
      <w:r w:rsidRPr="00EA7A41">
        <w:tab/>
        <w:t xml:space="preserve">zdůrazňuje, že kvalifikace a dovednosti propuštěných pracovníků jsou i nadále klíčem k tomu, aby evropské hospodářství obstálo i v budoucnu a dokončilo ekologickou transformaci a zároveň si zachovalo silnou průmyslovou základnu; domnívá se proto, že uvolnění prostředků z fondu EFG musí být součástí širší politické reakce na všech politických úrovních, aby se zajistilo, že dotyční pracovníci najdou odpovídající </w:t>
      </w:r>
      <w:r w:rsidRPr="00EA7A41">
        <w:lastRenderedPageBreak/>
        <w:t>příležitosti v souladu se svou kvalifikací a dovednostmi;</w:t>
      </w:r>
    </w:p>
    <w:p w14:paraId="4EE6B7A4" w14:textId="77777777" w:rsidR="00ED5909" w:rsidRPr="00EA7A41" w:rsidRDefault="00ED5909" w:rsidP="00ED5909">
      <w:pPr>
        <w:pStyle w:val="NormalHanging12a"/>
      </w:pPr>
      <w:r w:rsidRPr="00EA7A41">
        <w:t>9.</w:t>
      </w:r>
      <w:r w:rsidRPr="00EA7A41">
        <w:tab/>
        <w:t>připomíná, že po dohodě s odbory a sociálními partnery sestávají individualizované služby, které mají být poskytnuty všem pracovníkům, z těchto opatření: poradenských a informačních služeb a služeb při zprostředkování zaměstnání; odborné přípravy, včetně získání dovedností v oblasti IT; dne pracovních příležitostí; příspěvku na zahájení podnikání a pobídek k účasti na činnosti související s hledáním zaměstnání; zdůrazňuje, že je důležité podporovat kvalitní pracovní místa orientovaná na budoucnost s cílem zajistit dlouhodobou hospodářskou a sociální odolnost;</w:t>
      </w:r>
    </w:p>
    <w:p w14:paraId="041FF78F" w14:textId="77777777" w:rsidR="00ED5909" w:rsidRPr="00EA7A41" w:rsidRDefault="00ED5909" w:rsidP="00ED5909">
      <w:pPr>
        <w:pStyle w:val="NormalHanging12a"/>
        <w:rPr>
          <w:bCs/>
          <w:iCs/>
        </w:rPr>
      </w:pPr>
      <w:r w:rsidRPr="00EA7A41">
        <w:t>10.</w:t>
      </w:r>
      <w:r w:rsidRPr="00EA7A41">
        <w:tab/>
        <w:t>zdůrazňuje, že belgické orgány musejí zajistit viditelnost finančních prostředků Unie a poukazovat na jejich přínos tím, že příjemcům, regionálním a místním orgánům, sociálním partnerům a širší veřejnosti poskytnou účinné a cílené informace;</w:t>
      </w:r>
    </w:p>
    <w:p w14:paraId="5968C86B" w14:textId="77777777" w:rsidR="00ED5909" w:rsidRPr="00EA7A41" w:rsidRDefault="00ED5909" w:rsidP="00ED5909">
      <w:pPr>
        <w:pStyle w:val="NormalHanging12a"/>
      </w:pPr>
      <w:r w:rsidRPr="00EA7A41">
        <w:t>11.</w:t>
      </w:r>
      <w:r w:rsidRPr="00EA7A41">
        <w:tab/>
        <w:t>vyzývá k důkladnému závěrečnému hodnocení prováděných opatření, mj. k poskytnutí jasných informací o tom, jak byly finanční prostředky využity a zda bylo pomocí nich skutečně dosaženo cílů, pro něž byl fond EFG vytvořen, včetně údajů o počtu pracovníků, kteří byli úspěšně znovu začleněni do zaměstnání, o příslušném časovém harmonogramu, o tom, jaké zaměstnání si našli, a o pracovnících, kteří dokončili opatření v oblasti odborné přípravy a zvyšování kvalifikace;</w:t>
      </w:r>
    </w:p>
    <w:p w14:paraId="23DD95CD" w14:textId="77777777" w:rsidR="00ED5909" w:rsidRPr="00EA7A41" w:rsidRDefault="00ED5909" w:rsidP="00ED5909">
      <w:pPr>
        <w:pStyle w:val="NormalHanging12a"/>
      </w:pPr>
      <w:r w:rsidRPr="00EA7A41">
        <w:t>12.</w:t>
      </w:r>
      <w:r w:rsidRPr="00EA7A41">
        <w:tab/>
        <w:t>konstatuje, že Belgie začala poskytovat individualizované služby cílovým příjemcům dne 17. února 2025, a že období způsobilosti pro finanční příspěvek z fondu EFG tudíž trvá od tohoto data do 24 měsíců ode dne vstupu rozhodnutí o financování v platnost;</w:t>
      </w:r>
    </w:p>
    <w:p w14:paraId="06C8A6A7" w14:textId="77777777" w:rsidR="00ED5909" w:rsidRPr="00EA7A41" w:rsidRDefault="00ED5909" w:rsidP="00ED5909">
      <w:pPr>
        <w:pStyle w:val="NormalHanging12a"/>
        <w:rPr>
          <w:sz w:val="23"/>
          <w:szCs w:val="23"/>
        </w:rPr>
      </w:pPr>
      <w:r w:rsidRPr="00EA7A41">
        <w:t>13.</w:t>
      </w:r>
      <w:r w:rsidRPr="00EA7A41">
        <w:tab/>
        <w:t>konstatuje, že Belgii začaly vznikat administrativní výdaje spojené s vynakládáním prostředků z fondu EFG dne 9. července 2024, a že tyto výdaje jsou proto způsobilé pro finanční příspěvek z tohoto fondu od tohoto data do 31 měsíců ode dne vstupu rozhodnutí o financování v platnost;</w:t>
      </w:r>
    </w:p>
    <w:p w14:paraId="5AAE0B97" w14:textId="77777777" w:rsidR="00ED5909" w:rsidRPr="00EA7A41" w:rsidRDefault="00ED5909" w:rsidP="00ED5909">
      <w:pPr>
        <w:pStyle w:val="NormalHanging12a"/>
      </w:pPr>
      <w:r w:rsidRPr="00EA7A41">
        <w:t>14.</w:t>
      </w:r>
      <w:r w:rsidRPr="00EA7A41">
        <w:tab/>
        <w:t>konstatuje, že belgické orgány potvrdily, že při přístupu k navrhovaným opatřením a při jejich provádění budou dodržovat zásady rovného zacházení a zákazu diskriminace a že zamezí dvojímu financování;</w:t>
      </w:r>
    </w:p>
    <w:p w14:paraId="61FF7F2A" w14:textId="77777777" w:rsidR="00ED5909" w:rsidRPr="00EA7A41" w:rsidRDefault="00ED5909" w:rsidP="00ED5909">
      <w:pPr>
        <w:pStyle w:val="NormalHanging12a"/>
      </w:pPr>
      <w:r w:rsidRPr="00EA7A41">
        <w:t>15.</w:t>
      </w:r>
      <w:r w:rsidRPr="00EA7A41">
        <w:tab/>
        <w:t>opakuje, že pomoc z fondu EFG nesmí nahrazovat opatření, za něž na základě vnitrostátních právních předpisů nebo kolektivních smluv odpovídají podniky;</w:t>
      </w:r>
    </w:p>
    <w:p w14:paraId="21BE49E6" w14:textId="77777777" w:rsidR="00ED5909" w:rsidRPr="00EA7A41" w:rsidRDefault="00ED5909" w:rsidP="00ED5909">
      <w:pPr>
        <w:pStyle w:val="NormalHanging12a"/>
        <w:rPr>
          <w:bCs/>
          <w:iCs/>
        </w:rPr>
      </w:pPr>
      <w:r w:rsidRPr="00EA7A41">
        <w:t>16.</w:t>
      </w:r>
      <w:r w:rsidRPr="00EA7A41">
        <w:tab/>
        <w:t xml:space="preserve">připomíná, že fond EFG je nástrojem solidarity a spravedlivé transformace a že přesto, že poskytuje podporu po ztrátě zaměstnání, nemůže nahradit aktivní, promyšlenou, koordinovanou průmyslovou politiku Unie zaměřenou na zachování evropské základny zaměstnanosti v průmyslu, sociálního zabezpečení a dlouhodobé hospodářské a sociální odolnosti a zabránit strukturálnímu úpadku regionů; zdůrazňuje, že prvořadým úkolem Unie musí být zejména předcházet uzavírání podniků tím, že vytvoří podmínky pro cenově dostupnou, čistou a spolehlivou energii, aby byla průmyslová výroba i nadále konkurenceschopná, a zároveň bude investovat do rozvoje dovedností vysoce kvalifikovaných pracovníků i pracovníků v průmyslu; poukazuje navíc na to, že je naléhavě nutné, aby se Unie promyšleně a koordinovaně snažila o zvýšení konkurenceschopnosti, a to v úzké spolupráci s členskými státy, aby byla zachována evropská základna zaměstnanosti v průmyslu a sociální zabezpečení, a vyzdvihuje, že rozsáhlému propouštění a tím i nutnosti použití prostředků z fondu EFG může účinně zabránit pouze silné a odolné evropské hospodářství; </w:t>
      </w:r>
    </w:p>
    <w:p w14:paraId="1C25B5A7" w14:textId="77777777" w:rsidR="00ED5909" w:rsidRPr="00EA7A41" w:rsidRDefault="00ED5909" w:rsidP="00ED5909">
      <w:pPr>
        <w:pStyle w:val="NormalHanging12a"/>
      </w:pPr>
      <w:r w:rsidRPr="00EA7A41">
        <w:lastRenderedPageBreak/>
        <w:t>17.</w:t>
      </w:r>
      <w:r w:rsidRPr="00EA7A41">
        <w:tab/>
        <w:t>schvaluje rozhodnutí uvedené v příloze k tomuto usnesení;</w:t>
      </w:r>
    </w:p>
    <w:p w14:paraId="6DB68AE0" w14:textId="77777777" w:rsidR="00ED5909" w:rsidRPr="00EA7A41" w:rsidRDefault="00ED5909" w:rsidP="00ED5909">
      <w:pPr>
        <w:pStyle w:val="NormalHanging12a"/>
      </w:pPr>
      <w:r w:rsidRPr="00EA7A41">
        <w:t>18.</w:t>
      </w:r>
      <w:r w:rsidRPr="00EA7A41">
        <w:tab/>
        <w:t>pověřuje svou předsedkyni, aby podepsala toto rozhodnutí společně s předsedou Rady a aby zajistila jeho zveřejnění v </w:t>
      </w:r>
      <w:r w:rsidRPr="00FF2486">
        <w:rPr>
          <w:i/>
          <w:iCs/>
        </w:rPr>
        <w:t>Úředním věstníku Evropské unie</w:t>
      </w:r>
      <w:r w:rsidRPr="00EA7A41">
        <w:t>;</w:t>
      </w:r>
    </w:p>
    <w:p w14:paraId="0EFAB0F5" w14:textId="77777777" w:rsidR="00ED5909" w:rsidRPr="00EA7A41" w:rsidRDefault="00ED5909" w:rsidP="00ED5909">
      <w:pPr>
        <w:pStyle w:val="NormalHanging12a"/>
        <w:rPr>
          <w:noProof/>
        </w:rPr>
      </w:pPr>
      <w:r w:rsidRPr="00EA7A41">
        <w:t>19.</w:t>
      </w:r>
      <w:r w:rsidRPr="00EA7A41">
        <w:tab/>
        <w:t>pověřuje svou předsedkyni, aby předala toto usnesení včetně přílohy Radě a Komisi.</w:t>
      </w:r>
    </w:p>
    <w:p w14:paraId="42636AF7" w14:textId="77777777" w:rsidR="00ED5909" w:rsidRPr="00EA7A41" w:rsidRDefault="00ED5909" w:rsidP="00ED5909">
      <w:pPr>
        <w:rPr>
          <w:noProof/>
        </w:rPr>
      </w:pPr>
    </w:p>
    <w:p w14:paraId="7B0B55E7" w14:textId="77777777" w:rsidR="00ED5909" w:rsidRPr="00EA7A41" w:rsidRDefault="00ED5909" w:rsidP="00ED5909">
      <w:pPr>
        <w:pStyle w:val="PageHeading"/>
        <w:jc w:val="left"/>
        <w:rPr>
          <w:noProof/>
        </w:rPr>
        <w:sectPr w:rsidR="00ED5909" w:rsidRPr="00EA7A41" w:rsidSect="00D969A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139CBC" w14:textId="77777777" w:rsidR="00D8661F" w:rsidRPr="00D8661F" w:rsidRDefault="00ED5909" w:rsidP="00ED5909">
      <w:pPr>
        <w:pStyle w:val="PageHeading"/>
        <w:rPr>
          <w:rFonts w:ascii="Times New Roman" w:hAnsi="Times New Roman" w:cs="Times New Roman"/>
        </w:rPr>
      </w:pPr>
      <w:bookmarkStart w:id="7" w:name="_Toc219293092"/>
      <w:bookmarkStart w:id="8" w:name="_Toc221172796"/>
      <w:r w:rsidRPr="00D8661F">
        <w:rPr>
          <w:rFonts w:ascii="Times New Roman" w:hAnsi="Times New Roman" w:cs="Times New Roman"/>
        </w:rPr>
        <w:lastRenderedPageBreak/>
        <w:t>PŘÍLOHA</w:t>
      </w:r>
    </w:p>
    <w:p w14:paraId="7CEB6664" w14:textId="4F57603B" w:rsidR="00ED5909" w:rsidRPr="00D8661F" w:rsidRDefault="00ED5909" w:rsidP="00ED5909">
      <w:pPr>
        <w:pStyle w:val="PageHeading"/>
        <w:rPr>
          <w:rFonts w:ascii="Times New Roman" w:hAnsi="Times New Roman" w:cs="Times New Roman"/>
          <w:noProof/>
        </w:rPr>
      </w:pPr>
      <w:r w:rsidRPr="00D8661F">
        <w:rPr>
          <w:rFonts w:ascii="Times New Roman" w:hAnsi="Times New Roman" w:cs="Times New Roman"/>
        </w:rPr>
        <w:t>ROZHODNUTÍ EVROPSKÉHO PARLAMENTU A RADY</w:t>
      </w:r>
      <w:bookmarkEnd w:id="7"/>
      <w:bookmarkEnd w:id="8"/>
    </w:p>
    <w:p w14:paraId="6DC404AF" w14:textId="49D4F22F" w:rsidR="00ED5909" w:rsidRDefault="00CE2232" w:rsidP="00D8661F">
      <w:pPr>
        <w:pStyle w:val="NormalBold24a"/>
        <w:jc w:val="center"/>
        <w:rPr>
          <w:rFonts w:eastAsia="Calibri"/>
          <w:noProof/>
          <w:szCs w:val="22"/>
          <w:lang w:eastAsia="en-US"/>
        </w:rPr>
      </w:pPr>
      <w:r w:rsidRPr="00D8661F">
        <w:rPr>
          <w:rFonts w:eastAsia="Calibri"/>
          <w:noProof/>
          <w:szCs w:val="22"/>
          <w:lang w:eastAsia="en-US"/>
        </w:rPr>
        <w:t>o uvolnění prostředků z Evropského fondu pro přizpůsobení se globalizaci</w:t>
      </w:r>
      <w:r w:rsidRPr="00175753">
        <w:rPr>
          <w:rFonts w:eastAsia="Calibri"/>
          <w:noProof/>
          <w:szCs w:val="22"/>
          <w:lang w:eastAsia="en-US"/>
        </w:rPr>
        <w:t xml:space="preserve"> na pomoc propuštěným pracovníkům na základě žádosti Belgie – EGF/2025/006 BE/Audi</w:t>
      </w:r>
    </w:p>
    <w:p w14:paraId="29B1C861" w14:textId="740CC078" w:rsidR="00D8661F" w:rsidRPr="00D8661F" w:rsidRDefault="00D8661F" w:rsidP="001143D1">
      <w:pPr>
        <w:pStyle w:val="NormalBold24a"/>
        <w:rPr>
          <w:b w:val="0"/>
          <w:bCs w:val="0"/>
        </w:rPr>
      </w:pPr>
      <w:r w:rsidRPr="00D8661F">
        <w:rPr>
          <w:b w:val="0"/>
          <w:bCs w:val="0"/>
          <w:i/>
          <w:lang w:eastAsia="de-DE"/>
        </w:rPr>
        <w:t>(Znění této přílohy se zde neuvádí, jelikož odpovídá znění konečného aktu, rozhodnutí (EU) 202</w:t>
      </w:r>
      <w:r>
        <w:rPr>
          <w:b w:val="0"/>
          <w:bCs w:val="0"/>
          <w:i/>
          <w:lang w:eastAsia="de-DE"/>
        </w:rPr>
        <w:t>6</w:t>
      </w:r>
      <w:r w:rsidRPr="00D8661F">
        <w:rPr>
          <w:b w:val="0"/>
          <w:bCs w:val="0"/>
          <w:i/>
          <w:lang w:eastAsia="de-DE"/>
        </w:rPr>
        <w:t>/</w:t>
      </w:r>
      <w:r>
        <w:rPr>
          <w:b w:val="0"/>
          <w:bCs w:val="0"/>
          <w:i/>
          <w:lang w:eastAsia="de-DE"/>
        </w:rPr>
        <w:t>4</w:t>
      </w:r>
      <w:r w:rsidRPr="00D8661F">
        <w:rPr>
          <w:b w:val="0"/>
          <w:bCs w:val="0"/>
          <w:i/>
          <w:lang w:eastAsia="de-DE"/>
        </w:rPr>
        <w:t>5</w:t>
      </w:r>
      <w:r>
        <w:rPr>
          <w:b w:val="0"/>
          <w:bCs w:val="0"/>
          <w:i/>
          <w:lang w:eastAsia="de-DE"/>
        </w:rPr>
        <w:t>4</w:t>
      </w:r>
      <w:r w:rsidRPr="00D8661F">
        <w:rPr>
          <w:b w:val="0"/>
          <w:bCs w:val="0"/>
          <w:i/>
          <w:lang w:eastAsia="de-DE"/>
        </w:rPr>
        <w:t>.)</w:t>
      </w:r>
    </w:p>
    <w:sectPr w:rsidR="00D8661F" w:rsidRPr="00D8661F" w:rsidSect="00D969A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1575" w14:textId="77777777" w:rsidR="00E93225" w:rsidRPr="00D969AB" w:rsidRDefault="00E93225">
      <w:r w:rsidRPr="00D969AB">
        <w:separator/>
      </w:r>
    </w:p>
  </w:endnote>
  <w:endnote w:type="continuationSeparator" w:id="0">
    <w:p w14:paraId="01990F55" w14:textId="77777777" w:rsidR="00E93225" w:rsidRPr="00D969AB" w:rsidRDefault="00E93225">
      <w:r w:rsidRPr="00D969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59381" w14:textId="77777777" w:rsidR="00ED5909" w:rsidRPr="00D969AB" w:rsidRDefault="00ED5909" w:rsidP="009C1FB6">
    <w:pPr>
      <w:pStyle w:val="EPFooter"/>
    </w:pPr>
    <w:r w:rsidRPr="00D969AB">
      <w:t>PE</w:t>
    </w:r>
    <w:r w:rsidRPr="00D969AB">
      <w:rPr>
        <w:rStyle w:val="HideTWBExt"/>
      </w:rPr>
      <w:t>&lt;NoPE&gt;</w:t>
    </w:r>
    <w:r w:rsidRPr="00D969AB">
      <w:t>782.226</w:t>
    </w:r>
    <w:r w:rsidRPr="00D969AB">
      <w:rPr>
        <w:rStyle w:val="HideTWBExt"/>
      </w:rPr>
      <w:t>&lt;/NoPE&gt;&lt;Version&gt;</w:t>
    </w:r>
    <w:r w:rsidRPr="00D969AB">
      <w:t>v02-00</w:t>
    </w:r>
    <w:r w:rsidRPr="00D969AB">
      <w:rPr>
        <w:rStyle w:val="HideTWBExt"/>
      </w:rPr>
      <w:t>&lt;/Version&gt;</w:t>
    </w:r>
    <w:r w:rsidRPr="00D969AB">
      <w:tab/>
    </w:r>
    <w:r w:rsidRPr="00D969AB">
      <w:fldChar w:fldCharType="begin"/>
    </w:r>
    <w:r w:rsidRPr="00D969AB">
      <w:instrText xml:space="preserve"> PAGE  \* MERGEFORMAT </w:instrText>
    </w:r>
    <w:r w:rsidRPr="00D969AB">
      <w:fldChar w:fldCharType="separate"/>
    </w:r>
    <w:r w:rsidRPr="00D969AB">
      <w:rPr>
        <w:noProof/>
      </w:rPr>
      <w:t>1</w:t>
    </w:r>
    <w:r w:rsidRPr="00D969AB">
      <w:fldChar w:fldCharType="end"/>
    </w:r>
    <w:r w:rsidRPr="00D969AB">
      <w:t>/</w:t>
    </w:r>
    <w:fldSimple w:instr=" NUMPAGES  \* MERGEFORMAT ">
      <w:r w:rsidRPr="00D969AB">
        <w:rPr>
          <w:noProof/>
        </w:rPr>
        <w:t>2</w:t>
      </w:r>
    </w:fldSimple>
    <w:r w:rsidRPr="00D969AB">
      <w:tab/>
    </w:r>
    <w:r w:rsidRPr="00D969AB">
      <w:rPr>
        <w:rStyle w:val="HideTWBExt"/>
      </w:rPr>
      <w:t>&lt;PathFdR&gt;</w:t>
    </w:r>
    <w:r w:rsidRPr="00D969AB">
      <w:t>RR\1336415CS.docx</w:t>
    </w:r>
    <w:r w:rsidRPr="00D969AB">
      <w:rPr>
        <w:rStyle w:val="HideTWBExt"/>
      </w:rPr>
      <w:t>&lt;/PathFdR&gt;</w:t>
    </w:r>
  </w:p>
  <w:p w14:paraId="2218720A" w14:textId="77777777" w:rsidR="00ED5909" w:rsidRPr="00D969AB" w:rsidRDefault="00ED5909" w:rsidP="009C1FB6">
    <w:pPr>
      <w:pStyle w:val="EPFooter2"/>
    </w:pPr>
    <w:r w:rsidRPr="00D969A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73984" w14:textId="77777777" w:rsidR="00ED5909" w:rsidRPr="00D969AB" w:rsidRDefault="00ED5909" w:rsidP="009C1FB6">
    <w:pPr>
      <w:pStyle w:val="EPFooter"/>
    </w:pPr>
    <w:r w:rsidRPr="00D969AB">
      <w:rPr>
        <w:rStyle w:val="HideTWBExt"/>
      </w:rPr>
      <w:t>&lt;PathFdR&gt;</w:t>
    </w:r>
    <w:r w:rsidRPr="00D969AB">
      <w:t>RR\1336415CS.docx</w:t>
    </w:r>
    <w:r w:rsidRPr="00D969AB">
      <w:rPr>
        <w:rStyle w:val="HideTWBExt"/>
      </w:rPr>
      <w:t>&lt;/PathFdR&gt;</w:t>
    </w:r>
    <w:r w:rsidRPr="00D969AB">
      <w:tab/>
    </w:r>
    <w:r w:rsidRPr="00D969AB">
      <w:tab/>
      <w:t>PE</w:t>
    </w:r>
    <w:r w:rsidRPr="00D969AB">
      <w:rPr>
        <w:rStyle w:val="HideTWBExt"/>
      </w:rPr>
      <w:t>&lt;NoPE&gt;</w:t>
    </w:r>
    <w:r w:rsidRPr="00D969AB">
      <w:t>782.226</w:t>
    </w:r>
    <w:r w:rsidRPr="00D969AB">
      <w:rPr>
        <w:rStyle w:val="HideTWBExt"/>
      </w:rPr>
      <w:t>&lt;/NoPE&gt;&lt;Version&gt;</w:t>
    </w:r>
    <w:r w:rsidRPr="00D969AB">
      <w:t>v02-00</w:t>
    </w:r>
    <w:r w:rsidRPr="00D969AB">
      <w:rPr>
        <w:rStyle w:val="HideTWBExt"/>
      </w:rPr>
      <w:t>&lt;/Version&gt;</w:t>
    </w:r>
  </w:p>
  <w:p w14:paraId="053656A5" w14:textId="77777777" w:rsidR="00ED5909" w:rsidRPr="00D969AB" w:rsidRDefault="00ED5909" w:rsidP="009C1FB6">
    <w:pPr>
      <w:pStyle w:val="EPFooter2"/>
    </w:pPr>
    <w:r w:rsidRPr="00D969AB">
      <w:t>CS</w:t>
    </w:r>
    <w:r w:rsidRPr="00D969AB">
      <w:tab/>
    </w:r>
    <w:r w:rsidRPr="00D969AB">
      <w:rPr>
        <w:b w:val="0"/>
        <w:i/>
        <w:color w:val="C0C0C0"/>
        <w:sz w:val="22"/>
      </w:rPr>
      <w:t>Jednotná v rozmanitosti</w:t>
    </w:r>
    <w:r w:rsidRPr="00D969A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0CFC" w14:textId="77777777" w:rsidR="00064002" w:rsidRPr="00D969A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05C2" w14:textId="77777777" w:rsidR="00064002" w:rsidRPr="00D969A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D74C" w14:textId="77777777" w:rsidR="00064002" w:rsidRPr="00D969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018FD" w14:textId="77777777" w:rsidR="00E93225" w:rsidRPr="00D969AB" w:rsidRDefault="00E93225">
      <w:r w:rsidRPr="00D969AB">
        <w:separator/>
      </w:r>
    </w:p>
  </w:footnote>
  <w:footnote w:type="continuationSeparator" w:id="0">
    <w:p w14:paraId="441E5A44" w14:textId="77777777" w:rsidR="00E93225" w:rsidRPr="00D969AB" w:rsidRDefault="00E93225">
      <w:r w:rsidRPr="00D969AB">
        <w:continuationSeparator/>
      </w:r>
    </w:p>
  </w:footnote>
  <w:footnote w:id="1">
    <w:p w14:paraId="0D581807" w14:textId="057C62D1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lang w:val="cs-CZ"/>
        </w:rPr>
        <w:t xml:space="preserve"> </w:t>
      </w:r>
      <w:r w:rsidR="00D969AB" w:rsidRPr="00D969AB">
        <w:rPr>
          <w:sz w:val="24"/>
          <w:lang w:val="cs-CZ"/>
        </w:rPr>
        <w:tab/>
      </w:r>
      <w:proofErr w:type="spellStart"/>
      <w:r w:rsidRPr="00D969AB">
        <w:rPr>
          <w:sz w:val="24"/>
          <w:lang w:val="cs-CZ"/>
        </w:rPr>
        <w:t>Úř</w:t>
      </w:r>
      <w:proofErr w:type="spellEnd"/>
      <w:r w:rsidRPr="00D969AB">
        <w:rPr>
          <w:sz w:val="24"/>
          <w:lang w:val="cs-CZ"/>
        </w:rPr>
        <w:t xml:space="preserve">. </w:t>
      </w:r>
      <w:proofErr w:type="spellStart"/>
      <w:r w:rsidRPr="00D969AB">
        <w:rPr>
          <w:sz w:val="24"/>
          <w:lang w:val="cs-CZ"/>
        </w:rPr>
        <w:t>věst</w:t>
      </w:r>
      <w:proofErr w:type="spellEnd"/>
      <w:r w:rsidRPr="00D969AB">
        <w:rPr>
          <w:sz w:val="24"/>
          <w:lang w:val="cs-CZ"/>
        </w:rPr>
        <w:t xml:space="preserve">. L 153, 3.5.2021, s. 48, ELI: </w:t>
      </w:r>
      <w:hyperlink r:id="rId1" w:history="1">
        <w:r w:rsidRPr="00D969AB">
          <w:rPr>
            <w:rStyle w:val="Hyperlink"/>
            <w:sz w:val="24"/>
            <w:lang w:val="cs-CZ"/>
          </w:rPr>
          <w:t>http://data.europa.eu/eli/reg/2021/691/oj</w:t>
        </w:r>
      </w:hyperlink>
      <w:r w:rsidRPr="00D969AB">
        <w:rPr>
          <w:sz w:val="24"/>
          <w:lang w:val="cs-CZ"/>
        </w:rPr>
        <w:t>.</w:t>
      </w:r>
    </w:p>
  </w:footnote>
  <w:footnote w:id="2">
    <w:p w14:paraId="079E7BC5" w14:textId="41A79D70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lang w:val="cs-CZ"/>
        </w:rPr>
        <w:t xml:space="preserve"> </w:t>
      </w:r>
      <w:r w:rsidR="00D969AB" w:rsidRPr="00D969AB">
        <w:rPr>
          <w:sz w:val="24"/>
          <w:lang w:val="cs-CZ"/>
        </w:rPr>
        <w:tab/>
      </w:r>
      <w:proofErr w:type="spellStart"/>
      <w:r w:rsidRPr="00D969AB">
        <w:rPr>
          <w:sz w:val="24"/>
          <w:lang w:val="cs-CZ"/>
        </w:rPr>
        <w:t>Úř</w:t>
      </w:r>
      <w:proofErr w:type="spellEnd"/>
      <w:r w:rsidRPr="00D969AB">
        <w:rPr>
          <w:sz w:val="24"/>
          <w:lang w:val="cs-CZ"/>
        </w:rPr>
        <w:t xml:space="preserve">. </w:t>
      </w:r>
      <w:proofErr w:type="spellStart"/>
      <w:r w:rsidRPr="00D969AB">
        <w:rPr>
          <w:sz w:val="24"/>
          <w:lang w:val="cs-CZ"/>
        </w:rPr>
        <w:t>věst</w:t>
      </w:r>
      <w:proofErr w:type="spellEnd"/>
      <w:r w:rsidRPr="00D969AB">
        <w:rPr>
          <w:sz w:val="24"/>
          <w:lang w:val="cs-CZ"/>
        </w:rPr>
        <w:t xml:space="preserve">. L 433 I, 22.12.2020, s. 11, ELI: </w:t>
      </w:r>
      <w:hyperlink r:id="rId2" w:history="1">
        <w:r w:rsidRPr="00D969AB">
          <w:rPr>
            <w:rStyle w:val="Hyperlink"/>
            <w:sz w:val="24"/>
            <w:lang w:val="cs-CZ"/>
          </w:rPr>
          <w:t>http://data.europa.eu/eli/reg/2020/2093/oj</w:t>
        </w:r>
      </w:hyperlink>
      <w:r w:rsidRPr="00D969AB">
        <w:rPr>
          <w:sz w:val="24"/>
          <w:lang w:val="cs-CZ"/>
        </w:rPr>
        <w:t>.</w:t>
      </w:r>
    </w:p>
  </w:footnote>
  <w:footnote w:id="3">
    <w:p w14:paraId="65FEE305" w14:textId="664586FB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shd w:val="clear" w:color="auto" w:fill="FFFFFF"/>
          <w:lang w:val="cs-CZ"/>
        </w:rPr>
        <w:t xml:space="preserve"> </w:t>
      </w:r>
      <w:r w:rsidR="00D969AB" w:rsidRPr="00D969AB">
        <w:rPr>
          <w:sz w:val="24"/>
          <w:shd w:val="clear" w:color="auto" w:fill="FFFFFF"/>
          <w:lang w:val="cs-CZ"/>
        </w:rPr>
        <w:tab/>
      </w:r>
      <w:r w:rsidRPr="00D969AB">
        <w:rPr>
          <w:sz w:val="24"/>
          <w:shd w:val="clear" w:color="auto" w:fill="FFFFFF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proofErr w:type="spellStart"/>
      <w:r w:rsidRPr="00D969AB">
        <w:rPr>
          <w:sz w:val="24"/>
          <w:shd w:val="clear" w:color="auto" w:fill="FFFFFF"/>
          <w:lang w:val="cs-CZ"/>
        </w:rPr>
        <w:t>Úř</w:t>
      </w:r>
      <w:proofErr w:type="spellEnd"/>
      <w:r w:rsidRPr="00D969AB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D969AB">
        <w:rPr>
          <w:sz w:val="24"/>
          <w:shd w:val="clear" w:color="auto" w:fill="FFFFFF"/>
          <w:lang w:val="cs-CZ"/>
        </w:rPr>
        <w:t>věst</w:t>
      </w:r>
      <w:proofErr w:type="spellEnd"/>
      <w:r w:rsidRPr="00D969AB">
        <w:rPr>
          <w:sz w:val="24"/>
          <w:shd w:val="clear" w:color="auto" w:fill="FFFFFF"/>
          <w:lang w:val="cs-CZ"/>
        </w:rPr>
        <w:t>. L, 2024/765, 29.2.2024, ELI:</w:t>
      </w:r>
      <w:r w:rsidR="00EA7A41">
        <w:rPr>
          <w:sz w:val="24"/>
          <w:shd w:val="clear" w:color="auto" w:fill="FFFFFF"/>
          <w:lang w:val="cs-CZ"/>
        </w:rPr>
        <w:t xml:space="preserve"> </w:t>
      </w:r>
      <w:hyperlink r:id="rId3" w:history="1">
        <w:r w:rsidRPr="00D969AB">
          <w:rPr>
            <w:rStyle w:val="Hyperlink"/>
            <w:sz w:val="24"/>
            <w:shd w:val="clear" w:color="auto" w:fill="FFFFFF"/>
            <w:lang w:val="cs-CZ"/>
          </w:rPr>
          <w:t>http://data.europa.eu/eli/reg/2024/765/oj</w:t>
        </w:r>
      </w:hyperlink>
      <w:r w:rsidRPr="00D969AB">
        <w:rPr>
          <w:i/>
          <w:color w:val="333333"/>
          <w:sz w:val="24"/>
          <w:shd w:val="clear" w:color="auto" w:fill="FFFFFF"/>
          <w:lang w:val="cs-CZ"/>
        </w:rPr>
        <w:t>).</w:t>
      </w:r>
    </w:p>
  </w:footnote>
  <w:footnote w:id="4">
    <w:p w14:paraId="7E582854" w14:textId="4090F1B3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lang w:val="cs-CZ"/>
        </w:rPr>
        <w:t xml:space="preserve"> </w:t>
      </w:r>
      <w:r w:rsidR="00D969AB" w:rsidRPr="00D969AB">
        <w:rPr>
          <w:sz w:val="24"/>
          <w:lang w:val="cs-CZ"/>
        </w:rPr>
        <w:tab/>
      </w:r>
      <w:proofErr w:type="spellStart"/>
      <w:r w:rsidRPr="00D969AB">
        <w:rPr>
          <w:sz w:val="24"/>
          <w:lang w:val="cs-CZ"/>
        </w:rPr>
        <w:t>Úř</w:t>
      </w:r>
      <w:proofErr w:type="spellEnd"/>
      <w:r w:rsidRPr="00D969AB">
        <w:rPr>
          <w:sz w:val="24"/>
          <w:lang w:val="cs-CZ"/>
        </w:rPr>
        <w:t xml:space="preserve">. </w:t>
      </w:r>
      <w:proofErr w:type="spellStart"/>
      <w:r w:rsidRPr="00D969AB">
        <w:rPr>
          <w:sz w:val="24"/>
          <w:lang w:val="cs-CZ"/>
        </w:rPr>
        <w:t>věst</w:t>
      </w:r>
      <w:proofErr w:type="spellEnd"/>
      <w:r w:rsidRPr="00D969AB">
        <w:rPr>
          <w:sz w:val="24"/>
          <w:lang w:val="cs-CZ"/>
        </w:rPr>
        <w:t xml:space="preserve">. L 433 I, 22.12.2020, s. 28, ELI: </w:t>
      </w:r>
      <w:hyperlink r:id="rId4" w:history="1">
        <w:r w:rsidRPr="00D969AB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D969AB">
        <w:rPr>
          <w:sz w:val="24"/>
          <w:lang w:val="cs-CZ"/>
        </w:rPr>
        <w:t>.</w:t>
      </w:r>
    </w:p>
  </w:footnote>
  <w:footnote w:id="5">
    <w:p w14:paraId="171025D7" w14:textId="5CA0BBEE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lang w:val="cs-CZ"/>
        </w:rPr>
        <w:t xml:space="preserve"> </w:t>
      </w:r>
      <w:r w:rsidR="00D969AB" w:rsidRPr="00D969AB">
        <w:rPr>
          <w:sz w:val="24"/>
          <w:lang w:val="cs-CZ"/>
        </w:rPr>
        <w:tab/>
      </w:r>
      <w:r w:rsidRPr="00D969AB">
        <w:rPr>
          <w:sz w:val="24"/>
          <w:lang w:val="cs-CZ"/>
        </w:rPr>
        <w:t>Ve smyslu článku 3 nařízení o EFG.</w:t>
      </w:r>
    </w:p>
  </w:footnote>
  <w:footnote w:id="6">
    <w:p w14:paraId="61885E61" w14:textId="18B1C13A" w:rsidR="00ED5909" w:rsidRPr="00D969AB" w:rsidRDefault="00ED5909" w:rsidP="00D969AB">
      <w:pPr>
        <w:pStyle w:val="FootnoteText"/>
        <w:ind w:left="567" w:hanging="567"/>
        <w:rPr>
          <w:sz w:val="24"/>
          <w:lang w:val="cs-CZ"/>
        </w:rPr>
      </w:pPr>
      <w:r w:rsidRPr="00D969AB">
        <w:rPr>
          <w:rStyle w:val="FootnoteReference"/>
          <w:sz w:val="24"/>
          <w:lang w:val="cs-CZ"/>
        </w:rPr>
        <w:footnoteRef/>
      </w:r>
      <w:r w:rsidR="00D969AB" w:rsidRPr="00D969AB">
        <w:rPr>
          <w:sz w:val="24"/>
          <w:lang w:val="cs-CZ"/>
        </w:rPr>
        <w:t xml:space="preserve"> </w:t>
      </w:r>
      <w:r w:rsidR="00D969AB" w:rsidRPr="00D969AB">
        <w:rPr>
          <w:sz w:val="24"/>
          <w:lang w:val="cs-CZ"/>
        </w:rPr>
        <w:tab/>
      </w:r>
      <w:r w:rsidRPr="00D969AB">
        <w:rPr>
          <w:sz w:val="24"/>
          <w:lang w:val="cs-CZ"/>
        </w:rPr>
        <w:t>Článek 8 nařízení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9AEC" w14:textId="77777777" w:rsidR="00064002" w:rsidRPr="00D969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B4AF4" w14:textId="77777777" w:rsidR="00064002" w:rsidRPr="00D969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D222" w14:textId="77777777" w:rsidR="00064002" w:rsidRPr="00D969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6512968">
    <w:abstractNumId w:val="9"/>
  </w:num>
  <w:num w:numId="2" w16cid:durableId="421486228">
    <w:abstractNumId w:val="9"/>
  </w:num>
  <w:num w:numId="3" w16cid:durableId="1225680946">
    <w:abstractNumId w:val="7"/>
  </w:num>
  <w:num w:numId="4" w16cid:durableId="1016930242">
    <w:abstractNumId w:val="7"/>
  </w:num>
  <w:num w:numId="5" w16cid:durableId="2124182732">
    <w:abstractNumId w:val="6"/>
  </w:num>
  <w:num w:numId="6" w16cid:durableId="836189702">
    <w:abstractNumId w:val="6"/>
  </w:num>
  <w:num w:numId="7" w16cid:durableId="1614825409">
    <w:abstractNumId w:val="5"/>
  </w:num>
  <w:num w:numId="8" w16cid:durableId="483859257">
    <w:abstractNumId w:val="5"/>
  </w:num>
  <w:num w:numId="9" w16cid:durableId="1659263806">
    <w:abstractNumId w:val="4"/>
  </w:num>
  <w:num w:numId="10" w16cid:durableId="630750092">
    <w:abstractNumId w:val="4"/>
  </w:num>
  <w:num w:numId="11" w16cid:durableId="467476034">
    <w:abstractNumId w:val="8"/>
  </w:num>
  <w:num w:numId="12" w16cid:durableId="1658001017">
    <w:abstractNumId w:val="8"/>
  </w:num>
  <w:num w:numId="13" w16cid:durableId="759838024">
    <w:abstractNumId w:val="3"/>
  </w:num>
  <w:num w:numId="14" w16cid:durableId="346366483">
    <w:abstractNumId w:val="3"/>
  </w:num>
  <w:num w:numId="15" w16cid:durableId="2054650125">
    <w:abstractNumId w:val="2"/>
  </w:num>
  <w:num w:numId="16" w16cid:durableId="552886484">
    <w:abstractNumId w:val="2"/>
  </w:num>
  <w:num w:numId="17" w16cid:durableId="1357926663">
    <w:abstractNumId w:val="1"/>
  </w:num>
  <w:num w:numId="18" w16cid:durableId="2054185002">
    <w:abstractNumId w:val="1"/>
  </w:num>
  <w:num w:numId="19" w16cid:durableId="1748841639">
    <w:abstractNumId w:val="0"/>
  </w:num>
  <w:num w:numId="20" w16cid:durableId="685060669">
    <w:abstractNumId w:val="0"/>
  </w:num>
  <w:num w:numId="21" w16cid:durableId="1672633730">
    <w:abstractNumId w:val="9"/>
  </w:num>
  <w:num w:numId="22" w16cid:durableId="979847554">
    <w:abstractNumId w:val="7"/>
  </w:num>
  <w:num w:numId="23" w16cid:durableId="567763049">
    <w:abstractNumId w:val="6"/>
  </w:num>
  <w:num w:numId="24" w16cid:durableId="385950548">
    <w:abstractNumId w:val="5"/>
  </w:num>
  <w:num w:numId="25" w16cid:durableId="795416711">
    <w:abstractNumId w:val="4"/>
  </w:num>
  <w:num w:numId="26" w16cid:durableId="1382361797">
    <w:abstractNumId w:val="8"/>
  </w:num>
  <w:num w:numId="27" w16cid:durableId="959989450">
    <w:abstractNumId w:val="3"/>
  </w:num>
  <w:num w:numId="28" w16cid:durableId="222523446">
    <w:abstractNumId w:val="2"/>
  </w:num>
  <w:num w:numId="29" w16cid:durableId="548029788">
    <w:abstractNumId w:val="1"/>
  </w:num>
  <w:num w:numId="30" w16cid:durableId="976762843">
    <w:abstractNumId w:val="0"/>
  </w:num>
  <w:num w:numId="31" w16cid:durableId="1036850815">
    <w:abstractNumId w:val="9"/>
  </w:num>
  <w:num w:numId="32" w16cid:durableId="1703285194">
    <w:abstractNumId w:val="7"/>
  </w:num>
  <w:num w:numId="33" w16cid:durableId="313486763">
    <w:abstractNumId w:val="6"/>
  </w:num>
  <w:num w:numId="34" w16cid:durableId="2026593507">
    <w:abstractNumId w:val="5"/>
  </w:num>
  <w:num w:numId="35" w16cid:durableId="280305414">
    <w:abstractNumId w:val="4"/>
  </w:num>
  <w:num w:numId="36" w16cid:durableId="669601503">
    <w:abstractNumId w:val="8"/>
  </w:num>
  <w:num w:numId="37" w16cid:durableId="1813014348">
    <w:abstractNumId w:val="3"/>
  </w:num>
  <w:num w:numId="38" w16cid:durableId="1143308272">
    <w:abstractNumId w:val="2"/>
  </w:num>
  <w:num w:numId="39" w16cid:durableId="2071153125">
    <w:abstractNumId w:val="1"/>
  </w:num>
  <w:num w:numId="40" w16cid:durableId="1083911606">
    <w:abstractNumId w:val="0"/>
  </w:num>
  <w:num w:numId="41" w16cid:durableId="2080319476">
    <w:abstractNumId w:val="10"/>
  </w:num>
  <w:num w:numId="42" w16cid:durableId="1903518685">
    <w:abstractNumId w:val="10"/>
  </w:num>
  <w:num w:numId="43" w16cid:durableId="771509427">
    <w:abstractNumId w:val="10"/>
  </w:num>
  <w:num w:numId="44" w16cid:durableId="1522402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CS"/>
    <w:docVar w:name="dvnumam" w:val="0"/>
    <w:docVar w:name="dvpe" w:val="782.226"/>
    <w:docVar w:name="dvrapporteur" w:val="Zpravodaj: "/>
    <w:docVar w:name="dvtitre" w:val="Usnesení Evropského parlamentu ze dne 11. února 2026 o návrhu rozhodnutí Evropského parlamentu a Rady o uvolnění prostředků z Evropského fondu pro přizpůsobení se globalizaci na pomoc propuštěným pracovníkům na základě žádosti Belgie – EGF/2025/006 BE/Audi(COM(2026)0002 – C10-0002/2026 – 2026/0001(BUD))"/>
  </w:docVars>
  <w:rsids>
    <w:rsidRoot w:val="00E93225"/>
    <w:rsid w:val="00002272"/>
    <w:rsid w:val="00010A49"/>
    <w:rsid w:val="00064002"/>
    <w:rsid w:val="000677B9"/>
    <w:rsid w:val="000831BA"/>
    <w:rsid w:val="000A42CC"/>
    <w:rsid w:val="000E7DD9"/>
    <w:rsid w:val="0010095E"/>
    <w:rsid w:val="00113DFA"/>
    <w:rsid w:val="001143D1"/>
    <w:rsid w:val="00125B37"/>
    <w:rsid w:val="0017174F"/>
    <w:rsid w:val="00187494"/>
    <w:rsid w:val="001F32AE"/>
    <w:rsid w:val="00237EDB"/>
    <w:rsid w:val="002767FF"/>
    <w:rsid w:val="002B18FE"/>
    <w:rsid w:val="002B5493"/>
    <w:rsid w:val="00343214"/>
    <w:rsid w:val="00361C00"/>
    <w:rsid w:val="00395FA1"/>
    <w:rsid w:val="003A0B79"/>
    <w:rsid w:val="003D0FA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6C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6A8"/>
    <w:rsid w:val="00756632"/>
    <w:rsid w:val="00762C74"/>
    <w:rsid w:val="00786EC0"/>
    <w:rsid w:val="00794F8E"/>
    <w:rsid w:val="007D1690"/>
    <w:rsid w:val="007E22AD"/>
    <w:rsid w:val="00817416"/>
    <w:rsid w:val="00842779"/>
    <w:rsid w:val="00865F67"/>
    <w:rsid w:val="00881A7B"/>
    <w:rsid w:val="008840E5"/>
    <w:rsid w:val="00887B3E"/>
    <w:rsid w:val="0089178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EEE"/>
    <w:rsid w:val="00A778C7"/>
    <w:rsid w:val="00AB441E"/>
    <w:rsid w:val="00AB6293"/>
    <w:rsid w:val="00AE0928"/>
    <w:rsid w:val="00AF3B82"/>
    <w:rsid w:val="00B02E80"/>
    <w:rsid w:val="00B12E95"/>
    <w:rsid w:val="00B22876"/>
    <w:rsid w:val="00B558F0"/>
    <w:rsid w:val="00BD48FE"/>
    <w:rsid w:val="00BD7BD8"/>
    <w:rsid w:val="00BE6ADC"/>
    <w:rsid w:val="00BF6A88"/>
    <w:rsid w:val="00C05BFE"/>
    <w:rsid w:val="00C23CD4"/>
    <w:rsid w:val="00C61C0C"/>
    <w:rsid w:val="00C941CB"/>
    <w:rsid w:val="00CB24C2"/>
    <w:rsid w:val="00CC2357"/>
    <w:rsid w:val="00CE2232"/>
    <w:rsid w:val="00CF071A"/>
    <w:rsid w:val="00D0004F"/>
    <w:rsid w:val="00D058B8"/>
    <w:rsid w:val="00D3300C"/>
    <w:rsid w:val="00D56C11"/>
    <w:rsid w:val="00D6134F"/>
    <w:rsid w:val="00D64636"/>
    <w:rsid w:val="00D834A0"/>
    <w:rsid w:val="00D8661F"/>
    <w:rsid w:val="00D872DF"/>
    <w:rsid w:val="00D91E21"/>
    <w:rsid w:val="00D969AB"/>
    <w:rsid w:val="00DA7FCD"/>
    <w:rsid w:val="00E365E1"/>
    <w:rsid w:val="00E778C5"/>
    <w:rsid w:val="00E820A4"/>
    <w:rsid w:val="00E93225"/>
    <w:rsid w:val="00EA7A41"/>
    <w:rsid w:val="00EB006A"/>
    <w:rsid w:val="00EB4772"/>
    <w:rsid w:val="00ED169E"/>
    <w:rsid w:val="00ED3EA7"/>
    <w:rsid w:val="00ED4235"/>
    <w:rsid w:val="00ED5909"/>
    <w:rsid w:val="00F04346"/>
    <w:rsid w:val="00F075DC"/>
    <w:rsid w:val="00F149E9"/>
    <w:rsid w:val="00F5134D"/>
    <w:rsid w:val="00F74202"/>
    <w:rsid w:val="00F87713"/>
    <w:rsid w:val="00FB4360"/>
    <w:rsid w:val="00FB785D"/>
    <w:rsid w:val="00FD0C70"/>
    <w:rsid w:val="00FF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E6A3B"/>
  <w15:chartTrackingRefBased/>
  <w15:docId w15:val="{03408C85-2C14-44AF-BAF8-A6E5AD97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D59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ED590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ED590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D5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D5909"/>
    <w:rPr>
      <w:sz w:val="24"/>
      <w:lang w:val="cs-CZ"/>
    </w:rPr>
  </w:style>
  <w:style w:type="paragraph" w:customStyle="1" w:styleId="NormalBold24a">
    <w:name w:val="NormalBold24a"/>
    <w:basedOn w:val="Normal"/>
    <w:rsid w:val="00ED590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ED59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D5909"/>
    <w:pPr>
      <w:spacing w:before="480" w:after="240"/>
    </w:pPr>
  </w:style>
  <w:style w:type="character" w:styleId="Hyperlink">
    <w:name w:val="Hyperlink"/>
    <w:basedOn w:val="DefaultParagraphFont"/>
    <w:rsid w:val="00ED590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D5909"/>
    <w:rPr>
      <w:sz w:val="24"/>
      <w:lang w:val="cs-CZ"/>
    </w:rPr>
  </w:style>
  <w:style w:type="character" w:customStyle="1" w:styleId="PageHeadingChar">
    <w:name w:val="PageHeading Char"/>
    <w:basedOn w:val="DefaultParagraphFont"/>
    <w:link w:val="PageHeading"/>
    <w:locked/>
    <w:rsid w:val="00ED5909"/>
    <w:rPr>
      <w:rFonts w:ascii="Arial" w:hAnsi="Arial" w:cs="Arial"/>
      <w:b/>
      <w:sz w:val="24"/>
      <w:lang w:val="cs-CZ"/>
    </w:rPr>
  </w:style>
  <w:style w:type="paragraph" w:styleId="Footer">
    <w:name w:val="footer"/>
    <w:basedOn w:val="Normal"/>
    <w:link w:val="FooterChar"/>
    <w:rsid w:val="00010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0A49"/>
    <w:rPr>
      <w:sz w:val="24"/>
      <w:lang w:val="cs-CZ"/>
    </w:rPr>
  </w:style>
  <w:style w:type="character" w:styleId="CommentReference">
    <w:name w:val="annotation reference"/>
    <w:basedOn w:val="DefaultParagraphFont"/>
    <w:rsid w:val="00B02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2E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2E8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02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2E80"/>
    <w:rPr>
      <w:b/>
      <w:bCs/>
      <w:lang w:val="cs-CZ"/>
    </w:rPr>
  </w:style>
  <w:style w:type="paragraph" w:styleId="Revision">
    <w:name w:val="Revision"/>
    <w:hidden/>
    <w:uiPriority w:val="99"/>
    <w:semiHidden/>
    <w:rsid w:val="00B02E80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0B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646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1704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2026-03-23T15:59:00Z</dcterms:created>
  <dcterms:modified xsi:type="dcterms:W3CDTF">2026-03-23T15:59:00Z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