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6A97" w14:paraId="255CDC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841C1A" w14:textId="77777777" w:rsidR="00751A4A" w:rsidRPr="00486A97" w:rsidRDefault="00CE1D2B" w:rsidP="0010095E">
            <w:pPr>
              <w:pStyle w:val="EPName"/>
            </w:pPr>
            <w:r w:rsidRPr="00486A97">
              <w:t>Europski parlament</w:t>
            </w:r>
          </w:p>
          <w:p w14:paraId="0336DE8D" w14:textId="77777777" w:rsidR="00751A4A" w:rsidRPr="00486A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6A97">
              <w:t>2024</w:t>
            </w:r>
            <w:r w:rsidR="00817416" w:rsidRPr="00486A97">
              <w:t>-202</w:t>
            </w:r>
            <w:r w:rsidRPr="00486A97">
              <w:t>9</w:t>
            </w:r>
          </w:p>
        </w:tc>
        <w:tc>
          <w:tcPr>
            <w:tcW w:w="2268" w:type="dxa"/>
            <w:shd w:val="clear" w:color="auto" w:fill="auto"/>
          </w:tcPr>
          <w:p w14:paraId="6B04772D" w14:textId="77777777" w:rsidR="00751A4A" w:rsidRPr="00486A97" w:rsidRDefault="00187494" w:rsidP="0010095E">
            <w:pPr>
              <w:pStyle w:val="EPLogo"/>
            </w:pPr>
            <w:r w:rsidRPr="00486A97">
              <w:rPr>
                <w:noProof/>
                <w:lang w:eastAsia="ja-JP"/>
              </w:rPr>
              <w:drawing>
                <wp:inline distT="0" distB="0" distL="0" distR="0" wp14:anchorId="5956A584" wp14:editId="6C18B01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8EB08E" w14:textId="77777777" w:rsidR="00D058B8" w:rsidRPr="00486A97" w:rsidRDefault="00D058B8" w:rsidP="004C5D52">
      <w:pPr>
        <w:pStyle w:val="LineTop"/>
      </w:pPr>
    </w:p>
    <w:p w14:paraId="0497D719" w14:textId="77777777" w:rsidR="0011249B" w:rsidRPr="00486A97" w:rsidRDefault="00CE1D2B" w:rsidP="00680577">
      <w:pPr>
        <w:pStyle w:val="EPBodyTA1"/>
      </w:pPr>
      <w:r w:rsidRPr="00486A97">
        <w:t>USVOJENI TEKSTOVI</w:t>
      </w:r>
    </w:p>
    <w:p w14:paraId="3D04E65E" w14:textId="06CD8CB9" w:rsidR="00CE1D2B" w:rsidRPr="00486A97" w:rsidRDefault="00CE1D2B" w:rsidP="00CE1D2B">
      <w:pPr>
        <w:pStyle w:val="ATHeading1"/>
      </w:pPr>
      <w:bookmarkStart w:id="0" w:name="TANumber"/>
      <w:r w:rsidRPr="00486A97">
        <w:t>P10_TA(2026)00</w:t>
      </w:r>
      <w:bookmarkEnd w:id="0"/>
      <w:r w:rsidR="00061289" w:rsidRPr="00486A97">
        <w:t>38</w:t>
      </w:r>
    </w:p>
    <w:p w14:paraId="000672C1" w14:textId="70FF245E" w:rsidR="00CE1D2B" w:rsidRPr="00486A97" w:rsidRDefault="0027479D" w:rsidP="00CE1D2B">
      <w:pPr>
        <w:pStyle w:val="ATHeading2"/>
      </w:pPr>
      <w:bookmarkStart w:id="1" w:name="title"/>
      <w:r w:rsidRPr="00486A97">
        <w:rPr>
          <w:bCs/>
        </w:rPr>
        <w:t>Mobilizacija Europskog fonda za prilagodbu globalizaciji: zahtjev EGF/2025/006 BE/Audi - Belgija</w:t>
      </w:r>
      <w:bookmarkEnd w:id="1"/>
    </w:p>
    <w:p w14:paraId="126CF7FC" w14:textId="77777777" w:rsidR="00CE1D2B" w:rsidRPr="00486A97" w:rsidRDefault="00CE1D2B" w:rsidP="00CE1D2B">
      <w:pPr>
        <w:rPr>
          <w:i/>
          <w:vanish/>
        </w:rPr>
      </w:pPr>
      <w:r w:rsidRPr="00486A97">
        <w:rPr>
          <w:i/>
        </w:rPr>
        <w:fldChar w:fldCharType="begin"/>
      </w:r>
      <w:r w:rsidRPr="00486A97">
        <w:rPr>
          <w:i/>
        </w:rPr>
        <w:instrText xml:space="preserve"> TC"(</w:instrText>
      </w:r>
      <w:bookmarkStart w:id="2" w:name="DocNumber"/>
      <w:r w:rsidRPr="00486A97">
        <w:rPr>
          <w:i/>
        </w:rPr>
        <w:instrText>A10-0006/2026</w:instrText>
      </w:r>
      <w:bookmarkEnd w:id="2"/>
      <w:r w:rsidRPr="00486A97">
        <w:rPr>
          <w:i/>
        </w:rPr>
        <w:instrText xml:space="preserve"> - Izvjestitelj: Nicolae Ștefănuță)"\l3 \n&gt; \* MERGEFORMAT </w:instrText>
      </w:r>
      <w:r w:rsidRPr="00486A97">
        <w:rPr>
          <w:i/>
        </w:rPr>
        <w:fldChar w:fldCharType="end"/>
      </w:r>
    </w:p>
    <w:p w14:paraId="797235EB" w14:textId="77777777" w:rsidR="00CE1D2B" w:rsidRPr="00486A97" w:rsidRDefault="00CE1D2B" w:rsidP="00CE1D2B">
      <w:pPr>
        <w:rPr>
          <w:vanish/>
        </w:rPr>
      </w:pPr>
      <w:bookmarkStart w:id="3" w:name="Commission"/>
      <w:r w:rsidRPr="00486A97">
        <w:rPr>
          <w:vanish/>
        </w:rPr>
        <w:t>Odbor za proračune</w:t>
      </w:r>
      <w:bookmarkEnd w:id="3"/>
    </w:p>
    <w:p w14:paraId="2D8B68C9" w14:textId="77777777" w:rsidR="00CE1D2B" w:rsidRPr="00486A97" w:rsidRDefault="00CE1D2B" w:rsidP="00CE1D2B">
      <w:pPr>
        <w:rPr>
          <w:vanish/>
        </w:rPr>
      </w:pPr>
      <w:bookmarkStart w:id="4" w:name="PE"/>
      <w:r w:rsidRPr="00486A97">
        <w:rPr>
          <w:vanish/>
        </w:rPr>
        <w:t>PE782.226</w:t>
      </w:r>
      <w:bookmarkEnd w:id="4"/>
    </w:p>
    <w:p w14:paraId="583FA462" w14:textId="686C8562" w:rsidR="00CE1D2B" w:rsidRPr="00486A97" w:rsidRDefault="00CE1D2B" w:rsidP="00CE1D2B">
      <w:pPr>
        <w:pStyle w:val="ATHeading3"/>
      </w:pPr>
      <w:bookmarkStart w:id="5" w:name="Sujet"/>
      <w:r w:rsidRPr="00486A97">
        <w:t xml:space="preserve">Rezolucija Europskog parlamenta od </w:t>
      </w:r>
      <w:r w:rsidR="0027479D" w:rsidRPr="00486A97">
        <w:t xml:space="preserve">11. veljače </w:t>
      </w:r>
      <w:r w:rsidRPr="00486A97">
        <w:t>2026. o Prijedlogu odluke Europskog parlamenta i Vijeća o mobilizaciji Europskog fonda za prilagodbu globalizaciji za radnike koji su proglašeni viškom na temelju zahtjeva iz Belgije – EGF/2025/006 BE/Audi</w:t>
      </w:r>
      <w:bookmarkEnd w:id="5"/>
      <w:r w:rsidRPr="00486A97">
        <w:t xml:space="preserve"> </w:t>
      </w:r>
      <w:bookmarkStart w:id="6" w:name="References"/>
      <w:r w:rsidRPr="00486A97">
        <w:t>(COM(2026)0002 – C10-0002/2026 – 2026/0001(BUD))</w:t>
      </w:r>
      <w:bookmarkEnd w:id="6"/>
    </w:p>
    <w:p w14:paraId="2219D54A" w14:textId="77777777" w:rsidR="004C12E4" w:rsidRPr="00486A97" w:rsidRDefault="004C12E4" w:rsidP="004C12E4">
      <w:pPr>
        <w:pStyle w:val="EPComma"/>
        <w:rPr>
          <w:noProof/>
        </w:rPr>
      </w:pPr>
      <w:r w:rsidRPr="00486A97">
        <w:rPr>
          <w:i/>
        </w:rPr>
        <w:t>Europski parlament</w:t>
      </w:r>
      <w:r w:rsidRPr="00486A97">
        <w:t>,</w:t>
      </w:r>
    </w:p>
    <w:p w14:paraId="54184CDA" w14:textId="77777777" w:rsidR="004C12E4" w:rsidRPr="00486A97" w:rsidRDefault="004C12E4" w:rsidP="004C12E4">
      <w:pPr>
        <w:pStyle w:val="NormalHanging12a"/>
        <w:rPr>
          <w:noProof/>
        </w:rPr>
      </w:pPr>
      <w:r w:rsidRPr="00486A97">
        <w:t>–</w:t>
      </w:r>
      <w:r w:rsidRPr="00486A97">
        <w:tab/>
        <w:t>uzimajući u obzir prijedlog Komisije upućen Europskom parlamentu i Vijeću (COM(2026)0002 – C10</w:t>
      </w:r>
      <w:r w:rsidRPr="00486A97">
        <w:noBreakHyphen/>
        <w:t>0002/2026),</w:t>
      </w:r>
    </w:p>
    <w:p w14:paraId="43492049" w14:textId="77777777" w:rsidR="004C12E4" w:rsidRPr="00486A97" w:rsidRDefault="004C12E4" w:rsidP="004C12E4">
      <w:pPr>
        <w:pStyle w:val="NormalHanging12a"/>
        <w:rPr>
          <w:noProof/>
        </w:rPr>
      </w:pPr>
      <w:r w:rsidRPr="00486A97">
        <w:t>–</w:t>
      </w:r>
      <w:r w:rsidRPr="00486A97">
        <w:tab/>
        <w:t>uzimajući u obzir Uredbu (EU) 2021/691 Europskog parlamenta i Vijeća od 28. travnja 2021. o Europskom fondu za prilagodbu globalizaciji za radnike koji su proglašeni viškom (EGF) i stavljanju izvan snage Uredbe (EU) br. 1309/2013</w:t>
      </w:r>
      <w:r w:rsidRPr="00486A97">
        <w:rPr>
          <w:rStyle w:val="FootnoteReference"/>
        </w:rPr>
        <w:footnoteReference w:id="1"/>
      </w:r>
      <w:r w:rsidRPr="00486A97">
        <w:t xml:space="preserve"> („Uredba o EGF-u”),</w:t>
      </w:r>
    </w:p>
    <w:p w14:paraId="6768693C" w14:textId="77777777" w:rsidR="004C12E4" w:rsidRPr="00486A97" w:rsidRDefault="004C12E4" w:rsidP="004C12E4">
      <w:pPr>
        <w:pStyle w:val="NormalHanging12a"/>
        <w:rPr>
          <w:noProof/>
        </w:rPr>
      </w:pPr>
      <w:r w:rsidRPr="00486A97">
        <w:t>–</w:t>
      </w:r>
      <w:r w:rsidRPr="00486A97">
        <w:tab/>
        <w:t>uzimajući u obzir Uredbu Vijeća (EU, Euratom) 2020/2093 od 17. prosinca 2020. kojom se utvrđuje višegodišnji financijski okvir za razdoblje 2021. – 2027.</w:t>
      </w:r>
      <w:r w:rsidRPr="00486A97">
        <w:rPr>
          <w:noProof/>
          <w:vertAlign w:val="superscript"/>
        </w:rPr>
        <w:footnoteReference w:id="2"/>
      </w:r>
      <w:r w:rsidRPr="00486A97">
        <w:t>, kako je izmijenjena Uredbom (EU, Euratom) 2024/765</w:t>
      </w:r>
      <w:r w:rsidRPr="00486A97">
        <w:rPr>
          <w:noProof/>
          <w:vertAlign w:val="superscript"/>
        </w:rPr>
        <w:footnoteReference w:id="3"/>
      </w:r>
      <w:r w:rsidRPr="00486A97">
        <w:t xml:space="preserve"> („Uredba o VFO-u”), a posebno njezin članak 8.,</w:t>
      </w:r>
    </w:p>
    <w:p w14:paraId="2B99FF09" w14:textId="77777777" w:rsidR="004C12E4" w:rsidRPr="00486A97" w:rsidRDefault="004C12E4" w:rsidP="004C12E4">
      <w:pPr>
        <w:pStyle w:val="NormalHanging12a"/>
        <w:rPr>
          <w:noProof/>
        </w:rPr>
      </w:pPr>
      <w:r w:rsidRPr="00486A97">
        <w:t>–</w:t>
      </w:r>
      <w:r w:rsidRPr="00486A97">
        <w:tab/>
        <w:t xml:space="preserve">uzimajući u obzir </w:t>
      </w:r>
      <w:proofErr w:type="spellStart"/>
      <w:r w:rsidRPr="00486A97">
        <w:t>Međuinstitucijski</w:t>
      </w:r>
      <w:proofErr w:type="spellEnd"/>
      <w:r w:rsidRPr="00486A97">
        <w:t xml:space="preserve"> sporazum od 16. prosinca 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486A97">
        <w:rPr>
          <w:rStyle w:val="FootnoteReference"/>
          <w:noProof/>
        </w:rPr>
        <w:footnoteReference w:id="4"/>
      </w:r>
      <w:r w:rsidRPr="00486A97">
        <w:t>, a posebno njegovu točku 9.,</w:t>
      </w:r>
    </w:p>
    <w:p w14:paraId="4DD9C6BF" w14:textId="77777777" w:rsidR="004C12E4" w:rsidRPr="00486A97" w:rsidRDefault="004C12E4" w:rsidP="004C12E4">
      <w:pPr>
        <w:pStyle w:val="NormalHanging12a"/>
      </w:pPr>
      <w:r w:rsidRPr="00486A97">
        <w:lastRenderedPageBreak/>
        <w:t>–</w:t>
      </w:r>
      <w:r w:rsidRPr="00486A97">
        <w:tab/>
        <w:t>uzimajući u obzir europski stup socijalnih prava,</w:t>
      </w:r>
    </w:p>
    <w:p w14:paraId="36AA7C5B" w14:textId="77777777" w:rsidR="004C12E4" w:rsidRPr="00486A97" w:rsidRDefault="004C12E4" w:rsidP="004C12E4">
      <w:pPr>
        <w:pStyle w:val="NormalHanging12a"/>
      </w:pPr>
      <w:r w:rsidRPr="00486A97">
        <w:t>–</w:t>
      </w:r>
      <w:r w:rsidRPr="00486A97">
        <w:tab/>
        <w:t>uzimajući u obzir pismo Odbora za zapošljavanje i socijalna pitanja,</w:t>
      </w:r>
    </w:p>
    <w:p w14:paraId="45718946" w14:textId="77777777" w:rsidR="004C12E4" w:rsidRPr="00486A97" w:rsidRDefault="004C12E4" w:rsidP="004C12E4">
      <w:pPr>
        <w:pStyle w:val="NormalHanging12a"/>
      </w:pPr>
      <w:r w:rsidRPr="00486A97">
        <w:t>–</w:t>
      </w:r>
      <w:r w:rsidRPr="00486A97">
        <w:tab/>
        <w:t>uzimajući u obzir izvješće Odbora za proračune (A10</w:t>
      </w:r>
      <w:r w:rsidRPr="00486A97">
        <w:noBreakHyphen/>
        <w:t>0006/2026),</w:t>
      </w:r>
    </w:p>
    <w:p w14:paraId="2FAC1095" w14:textId="650378FA" w:rsidR="004C12E4" w:rsidRPr="00486A97" w:rsidRDefault="004C12E4" w:rsidP="004C12E4">
      <w:pPr>
        <w:pStyle w:val="NormalHanging12a"/>
        <w:rPr>
          <w:noProof/>
        </w:rPr>
      </w:pPr>
      <w:r w:rsidRPr="00486A97">
        <w:t>A.</w:t>
      </w:r>
      <w:r w:rsidRPr="00486A97">
        <w:tab/>
        <w:t xml:space="preserve">budući da je </w:t>
      </w:r>
      <w:r w:rsidR="0027479D" w:rsidRPr="00486A97">
        <w:t>Unija</w:t>
      </w:r>
      <w:r w:rsidRPr="00486A97">
        <w:t xml:space="preserve"> uspostavila zakonodavne i proračunske instrumente kako bi pružila dodatnu potporu radnicima koji su pogođeni posljedicama velikih strukturnih događaja i promjena u svjetskim trgovinskim tokovima te kako bi im se pružila pomoć prilikom njihova ponovnog uključivanja na tržište rada; budući da se ta pomoć ostvaruje u obliku financijske potpore radnicima;</w:t>
      </w:r>
    </w:p>
    <w:p w14:paraId="7704E8E9" w14:textId="51450B20" w:rsidR="004C12E4" w:rsidRPr="00486A97" w:rsidRDefault="004C12E4" w:rsidP="004C12E4">
      <w:pPr>
        <w:pStyle w:val="NormalHanging12a"/>
      </w:pPr>
      <w:r w:rsidRPr="00486A97">
        <w:t>B.</w:t>
      </w:r>
      <w:r w:rsidRPr="00486A97">
        <w:tab/>
        <w:t>budući da je Belgija podnijela zahtjev EGF/2025/006 BE/Audi za financijski doprinos iz EGF-a nakon što je 3414 radnika proglašeno viškom</w:t>
      </w:r>
      <w:r w:rsidRPr="00486A97">
        <w:rPr>
          <w:vertAlign w:val="superscript"/>
        </w:rPr>
        <w:footnoteReference w:id="5"/>
      </w:r>
      <w:r w:rsidRPr="00486A97">
        <w:t xml:space="preserve"> u gospodarskom sektoru razvrstanom u odjeljak 29. NACE-a </w:t>
      </w:r>
      <w:proofErr w:type="spellStart"/>
      <w:r w:rsidRPr="00486A97">
        <w:t>Rev</w:t>
      </w:r>
      <w:proofErr w:type="spellEnd"/>
      <w:r w:rsidRPr="00486A97">
        <w:t xml:space="preserve">. 2 (Proizvodnja motornih vozila, prikolica i poluprikolica) u regijama Briselska regija (BE10), Pokrajina Istočna Flandrija (BE23) i Pokrajina </w:t>
      </w:r>
      <w:proofErr w:type="spellStart"/>
      <w:r w:rsidRPr="00486A97">
        <w:t>Hainaut</w:t>
      </w:r>
      <w:proofErr w:type="spellEnd"/>
      <w:r w:rsidRPr="00486A97">
        <w:t xml:space="preserve"> (BE32), pri čemu je 3148 radnika proglašeno viškom u referentnom razdoblju od 28. veljače 2025. do 28. lipnja 2025., uključujući 2580 radnika koji su proglašeni viškom i koji su prestali obavljati svoju djelatnost u Audi S.A./</w:t>
      </w:r>
      <w:proofErr w:type="spellStart"/>
      <w:r w:rsidRPr="00486A97">
        <w:t>n.V</w:t>
      </w:r>
      <w:proofErr w:type="spellEnd"/>
      <w:r w:rsidRPr="00486A97">
        <w:t xml:space="preserve">. (Audi) i njegovim društvima kćerima, te 568 radnika proglašenih viškom kod pet dobavljača i daljnjih proizvođača te 266 radnika proglašenih viškom prije ili nakon referentnog razdoblja; </w:t>
      </w:r>
    </w:p>
    <w:p w14:paraId="1268291C" w14:textId="77777777" w:rsidR="004C12E4" w:rsidRPr="00486A97" w:rsidRDefault="004C12E4" w:rsidP="004C12E4">
      <w:pPr>
        <w:pStyle w:val="NormalHanging12a"/>
      </w:pPr>
      <w:r w:rsidRPr="00486A97">
        <w:t>C.</w:t>
      </w:r>
      <w:r w:rsidRPr="00486A97">
        <w:tab/>
        <w:t xml:space="preserve">budući da je zahtjev podnesen na temelju intervencijskih kriterija iz članka 4. stavka 2. točke (a) Uredbe o EGF-u; budući da se za 266 radnika koji su proglašeni viškom i čija je djelatnost prestala prije ili nakon referentnog razdoblja od četiri mjeseca može utvrditi jasna uzročno-posljedična veza s događajem koji je prouzročio otpuštanja tijekom referentnog razdoblja, kako je propisano člankom 6. stavkom 2. Uredbe o EGF-u; </w:t>
      </w:r>
    </w:p>
    <w:p w14:paraId="40FDD164" w14:textId="60C8B193" w:rsidR="004C12E4" w:rsidRPr="00486A97" w:rsidRDefault="004C12E4" w:rsidP="004C12E4">
      <w:pPr>
        <w:pStyle w:val="NormalHanging12a"/>
      </w:pPr>
      <w:r w:rsidRPr="00486A97">
        <w:t>D.</w:t>
      </w:r>
      <w:r w:rsidRPr="00486A97">
        <w:tab/>
        <w:t xml:space="preserve">budući da se u predmetnoj Audijevoj tvornici proizvodio samo jedan model, a proizvodnja je prekinuta ranije nego što je planirano zbog visokih troškova proizvodnje povezanih s lokacijom tvornice; budući da je tvornica zatvorena 28. veljače 2025.; </w:t>
      </w:r>
    </w:p>
    <w:p w14:paraId="6456C856" w14:textId="77777777" w:rsidR="004C12E4" w:rsidRPr="00486A97" w:rsidRDefault="004C12E4" w:rsidP="004C12E4">
      <w:pPr>
        <w:pStyle w:val="NormalHanging12a"/>
      </w:pPr>
      <w:r w:rsidRPr="00486A97">
        <w:t>E.</w:t>
      </w:r>
      <w:r w:rsidRPr="00486A97">
        <w:tab/>
        <w:t xml:space="preserve">budući da Belgija osigurava nacionalno </w:t>
      </w:r>
      <w:proofErr w:type="spellStart"/>
      <w:r w:rsidRPr="00486A97">
        <w:t>pretfinanciranje</w:t>
      </w:r>
      <w:proofErr w:type="spellEnd"/>
      <w:r w:rsidRPr="00486A97">
        <w:t xml:space="preserve"> i sufinanciranje mjera;</w:t>
      </w:r>
    </w:p>
    <w:p w14:paraId="7050715E" w14:textId="77777777" w:rsidR="004C12E4" w:rsidRPr="00486A97" w:rsidRDefault="004C12E4" w:rsidP="004C12E4">
      <w:pPr>
        <w:pStyle w:val="NormalHanging12a"/>
      </w:pPr>
      <w:r w:rsidRPr="00486A97">
        <w:t>F.</w:t>
      </w:r>
      <w:r w:rsidRPr="00486A97">
        <w:tab/>
        <w:t>budući da su predmetna poduzeća ispunila zahtjeve utvrđene zakonodavstvom Unije i nacionalnim zakonodavstvom o kolektivnom otpuštanju;</w:t>
      </w:r>
    </w:p>
    <w:p w14:paraId="591A1317" w14:textId="77777777" w:rsidR="004C12E4" w:rsidRPr="00486A97" w:rsidRDefault="004C12E4" w:rsidP="004C12E4">
      <w:pPr>
        <w:pStyle w:val="NormalHanging12a"/>
      </w:pPr>
      <w:r w:rsidRPr="00486A97">
        <w:t>G.</w:t>
      </w:r>
      <w:r w:rsidRPr="00486A97">
        <w:tab/>
        <w:t>budući da bi financijski doprinos iz EGF-a ponajprije trebao biti usmjeren na aktivne mjere politike tržišta rada i personalizirane usluge čiji je cilj brza reintegracija korisnika na dostojanstvena i održiva radna mjesta te kojima će im se pružiti osposobljavanje radi stjecanja vještina kako bi im se olakšalo pristupanje tržištu rada, uz njihovu istodobnu pripremu na zelenije i digitalnije europsko gospodarstvo;</w:t>
      </w:r>
    </w:p>
    <w:p w14:paraId="585B4194" w14:textId="77777777" w:rsidR="004C12E4" w:rsidRPr="00486A97" w:rsidRDefault="004C12E4" w:rsidP="004C12E4">
      <w:pPr>
        <w:pStyle w:val="NormalHanging12a"/>
      </w:pPr>
      <w:r w:rsidRPr="00486A97">
        <w:t>H.</w:t>
      </w:r>
      <w:r w:rsidRPr="00486A97">
        <w:tab/>
        <w:t xml:space="preserve">budući da EGF ne smije premašiti najviši dopušteni godišnji iznos od 30 milijuna EUR </w:t>
      </w:r>
      <w:r w:rsidRPr="00486A97">
        <w:lastRenderedPageBreak/>
        <w:t>(u cijenama iz 2018.)</w:t>
      </w:r>
      <w:r w:rsidRPr="00486A97">
        <w:rPr>
          <w:rStyle w:val="FootnoteReference"/>
        </w:rPr>
        <w:footnoteReference w:id="6"/>
      </w:r>
      <w:r w:rsidRPr="00486A97">
        <w:t xml:space="preserve">; </w:t>
      </w:r>
    </w:p>
    <w:p w14:paraId="3FEFBE01" w14:textId="0E514446" w:rsidR="004C12E4" w:rsidRPr="00486A97" w:rsidRDefault="004C12E4" w:rsidP="004C12E4">
      <w:pPr>
        <w:pStyle w:val="NormalHanging12a"/>
      </w:pPr>
      <w:r w:rsidRPr="00486A97">
        <w:t>1.</w:t>
      </w:r>
      <w:r w:rsidRPr="00486A97">
        <w:tab/>
        <w:t xml:space="preserve">slaže se s Komisijom da su uvjeti iz Uredbe o EGF-u, a posebno oni iz njezina članka 4. stavka 2. točke (a), ispunjeni i da Belgija u skladu s tom </w:t>
      </w:r>
      <w:r w:rsidR="0027479D" w:rsidRPr="00486A97">
        <w:t xml:space="preserve">uredbom </w:t>
      </w:r>
      <w:r w:rsidRPr="00486A97">
        <w:t>ima pravo na financijski doprinos u iznosu od 7 527 625 EUR, odnosno 85 % ukupnog troška od 8 856 030 EUR, što obuhvaća troškove za personalizirane usluge u iznosu od 8 738 968 EUR i troškove za aktivnosti pripreme, upravljanja, informiranja i promidžbe te kontrole i izvješćivanja u iznosu od 117 062 EUR;</w:t>
      </w:r>
    </w:p>
    <w:p w14:paraId="6B591423" w14:textId="5EB4EC2C" w:rsidR="004C12E4" w:rsidRPr="00486A97" w:rsidRDefault="004C12E4" w:rsidP="004C12E4">
      <w:pPr>
        <w:pStyle w:val="NormalHanging12a"/>
      </w:pPr>
      <w:r w:rsidRPr="00486A97">
        <w:t>2.</w:t>
      </w:r>
      <w:r w:rsidRPr="00486A97">
        <w:tab/>
        <w:t xml:space="preserve">primjećuje da su belgijske vlasti zahtjev podnijele 18. rujna 2025. te da je, na temelju primitka dodatnih informacija od Belgije, Komisija dovršila ocjenjivanje zahtjeva 9. siječnja 2026. i o tome istoga dana obavijestila Parlament; naglašava da je važno skratiti vrijeme između podnošenja zahtjeva za pomoć iz EGF-a i odluke o financiranju uz istodobnu punu zaštitu prava </w:t>
      </w:r>
      <w:r w:rsidR="0011249B" w:rsidRPr="00486A97">
        <w:t>P</w:t>
      </w:r>
      <w:r w:rsidRPr="00486A97">
        <w:t>arlamenta kao jedne grane proračunskog tijela;</w:t>
      </w:r>
    </w:p>
    <w:p w14:paraId="6C390E25" w14:textId="77777777" w:rsidR="0011249B" w:rsidRPr="00486A97" w:rsidRDefault="004C12E4" w:rsidP="004C12E4">
      <w:pPr>
        <w:pStyle w:val="NormalHanging12a"/>
      </w:pPr>
      <w:r w:rsidRPr="00486A97">
        <w:t>3.</w:t>
      </w:r>
      <w:r w:rsidRPr="00486A97">
        <w:tab/>
        <w:t>napominje da se zahtjev odnosi na radnike koji su prestali obavljati svoju djelatnost u Audiju te kod pet dobavljača i daljnjih proizvođača i da će svi oni biti ciljani korisnici;</w:t>
      </w:r>
    </w:p>
    <w:p w14:paraId="3AA63446" w14:textId="5DD53D68" w:rsidR="0011249B" w:rsidRPr="00486A97" w:rsidRDefault="004C12E4" w:rsidP="004C12E4">
      <w:pPr>
        <w:pStyle w:val="NormalHanging12a"/>
      </w:pPr>
      <w:r w:rsidRPr="00486A97">
        <w:t>4.</w:t>
      </w:r>
      <w:r w:rsidRPr="00486A97">
        <w:tab/>
        <w:t xml:space="preserve">prima na znanje da je povećanje broja stečajeva tijekom posljednje dvije godine znatno povećalo stopu nezaposlenosti u nekim regijama u Belgiji, posebno u Bruxellesu i </w:t>
      </w:r>
      <w:proofErr w:type="spellStart"/>
      <w:r w:rsidRPr="00486A97">
        <w:t>Hainautu</w:t>
      </w:r>
      <w:proofErr w:type="spellEnd"/>
      <w:r w:rsidRPr="00486A97">
        <w:t xml:space="preserve"> (Valonija); ističe da je rizik od nezaposlenosti povezan s razinom obrazovanja i da se svaka druga osoba s niskom razinom obrazovanja i svaka treća osoba sa srednjom razinom obrazovanja suočava s većim rizikom od nezaposlenosti, pri čemu te skupine čine 83 % radnika koji su proglašeni viškom; žali zbog toga što će otpuštanja dodatno pogoršati situaciju; poziva belgijske vlasti da poduzmu mjere za smanjenje stečajeva radi sprečavanja strukturnog i regionalnog nazadovanja uz istodobno rješavanje socijalnih razlika koje dovode do isključenosti radne snage, kao što su rodna neravnopravnost i niska razina obrazovanja;</w:t>
      </w:r>
    </w:p>
    <w:p w14:paraId="75DD3D8E" w14:textId="77777777" w:rsidR="0011249B" w:rsidRPr="00486A97" w:rsidRDefault="004C12E4" w:rsidP="004C12E4">
      <w:pPr>
        <w:pStyle w:val="NormalHanging12a"/>
        <w:rPr>
          <w:noProof/>
        </w:rPr>
      </w:pPr>
      <w:r w:rsidRPr="00486A97">
        <w:t>5.</w:t>
      </w:r>
      <w:r w:rsidRPr="00486A97">
        <w:tab/>
        <w:t xml:space="preserve">napominje da je svjetsko tržište proizvodnje i prodaje automobila, posebno električnih automobila, obilježeno sve agresivnijom globalnom konkurencijom; ističe sve veće izazove s kojima se suočavaju europski proizvođači automobila u uvođenju inovativnih i </w:t>
      </w:r>
      <w:proofErr w:type="spellStart"/>
      <w:r w:rsidRPr="00486A97">
        <w:t>priuštivih</w:t>
      </w:r>
      <w:proofErr w:type="spellEnd"/>
      <w:r w:rsidRPr="00486A97">
        <w:t xml:space="preserve"> modela na tržište u segmentima usmjerenima na budućnost, kao što su baterijska električna vozila;  žali zbog toga što je društvo Audi prestalo poslovati u Belgiji unatoč tome što je i dalje profitabilno te što će se proizvodnja premjestiti u Kinu i Meksiko, što je dovelo do otpuštanja 3414 radnika; sa zabrinutošću napominje da su zahtjevni uvjeti proizvodnje, uključujući nedostatan pristup jeftinijim izvorima energije, te nedovoljno raspoređivanje tih izvora, doprinijeli premještanju postrojenja društva Audi izvan Unije;</w:t>
      </w:r>
    </w:p>
    <w:p w14:paraId="6FE132D2" w14:textId="77777777" w:rsidR="0011249B" w:rsidRPr="00486A97" w:rsidRDefault="004C12E4" w:rsidP="004C12E4">
      <w:pPr>
        <w:pStyle w:val="NormalHanging12a"/>
        <w:rPr>
          <w:bCs/>
          <w:iCs/>
        </w:rPr>
      </w:pPr>
      <w:r w:rsidRPr="00486A97">
        <w:t>6.</w:t>
      </w:r>
      <w:r w:rsidRPr="00486A97">
        <w:tab/>
        <w:t>ističe da zatvaranje tvornice nakon više od 70 godina rada, bez obzira na proizvodnju električnih vozila, pokazuje da su izazovi s kojima se suočava europska industrija strukturne, a ne samo tehnološke prirode;</w:t>
      </w:r>
    </w:p>
    <w:p w14:paraId="07D4A3DE" w14:textId="10877D15" w:rsidR="004C12E4" w:rsidRPr="00486A97" w:rsidRDefault="004C12E4" w:rsidP="004C12E4">
      <w:pPr>
        <w:pStyle w:val="NormalHanging12a"/>
      </w:pPr>
      <w:r w:rsidRPr="00486A97">
        <w:t>7.</w:t>
      </w:r>
      <w:r w:rsidRPr="00486A97">
        <w:tab/>
        <w:t xml:space="preserve">naglašava važnost pronalaženja održivog rješenja za prenamjenu zatvorene tvornice kako bi se otvorila visokokvalitetna radna mjesta u toj regiji; potiče belgijske vlasti da poduzmu potrebne korake kako bi se olakšalo otvaranje novog proizvodnog pogona u </w:t>
      </w:r>
      <w:r w:rsidRPr="00486A97">
        <w:lastRenderedPageBreak/>
        <w:t>bivšoj Audijevoj tvornici;</w:t>
      </w:r>
    </w:p>
    <w:p w14:paraId="7A75BD3E" w14:textId="77777777" w:rsidR="0011249B" w:rsidRPr="00486A97" w:rsidRDefault="004C12E4" w:rsidP="0011249B">
      <w:pPr>
        <w:pStyle w:val="NormalHanging12a"/>
        <w:rPr>
          <w:bCs/>
          <w:iCs/>
        </w:rPr>
      </w:pPr>
      <w:r w:rsidRPr="00486A97">
        <w:t>8.</w:t>
      </w:r>
      <w:r w:rsidRPr="00486A97">
        <w:tab/>
        <w:t>ističe da su kvalifikacije i vještine otpuštenih radnika i dalje ključne za europsko gospodarstvo otporno na promjene u budućnosti koje ostvaruje zelenu tranziciju uz istodobno održavanje snažne industrijske baze; stoga smatra da mobilizacija EGF-a treba biti ugrađena u širi politički odgovor na svim političkim razinama kako bi se osiguralo da pogođeni radnici pronađu odgovarajuće mogućnosti u skladu sa svojim kvalifikacijama i vještinama;</w:t>
      </w:r>
    </w:p>
    <w:p w14:paraId="43BEDCC2" w14:textId="2D67996D" w:rsidR="004C12E4" w:rsidRPr="00486A97" w:rsidRDefault="004C12E4" w:rsidP="004C12E4">
      <w:pPr>
        <w:pStyle w:val="NormalHanging12a"/>
      </w:pPr>
      <w:r w:rsidRPr="00486A97">
        <w:t>9.</w:t>
      </w:r>
      <w:r w:rsidRPr="00486A97">
        <w:tab/>
        <w:t>podsjeća na to da se, u dogovoru sa sindikatima i socijalnim partnerima, personalizirane usluge koje će se pružati radnicima sastoje od sljedećih mjera: usluge savjetovanja i informiranja te posredovanja pri zapošljavanju; osposobljavanje, uključujući informatičke vještine; dan poslova; doprinos za pokretanje poduzeća; poticaji za sudjelovanje u aktivnostima traženja posla; ističe važnost poticanja visokokvalitetnih radnih mjesta usmjerenih na budućnost kako bi se osigurala dugoročna gospodarska i socijalna otpornost;</w:t>
      </w:r>
    </w:p>
    <w:p w14:paraId="0C27CEE1" w14:textId="77777777" w:rsidR="004C12E4" w:rsidRPr="00486A97" w:rsidRDefault="004C12E4" w:rsidP="004C12E4">
      <w:pPr>
        <w:pStyle w:val="NormalHanging12a"/>
        <w:rPr>
          <w:bCs/>
          <w:iCs/>
        </w:rPr>
      </w:pPr>
      <w:r w:rsidRPr="00486A97">
        <w:t>10.</w:t>
      </w:r>
      <w:r w:rsidRPr="00486A97">
        <w:tab/>
        <w:t>naglašava da belgijske vlasti moraju osigurati vidljivost financiranja Unije i istaknuti njegovu dodanu vrijednost pružanjem učinkovitih i ciljanih informacija korisnicima, regionalnim i lokalnim vlastima, socijalnim partnerima i široj javnosti;</w:t>
      </w:r>
    </w:p>
    <w:p w14:paraId="6E383D64" w14:textId="77777777" w:rsidR="004C12E4" w:rsidRPr="00486A97" w:rsidRDefault="004C12E4" w:rsidP="004C12E4">
      <w:pPr>
        <w:pStyle w:val="NormalHanging12a"/>
      </w:pPr>
      <w:r w:rsidRPr="00486A97">
        <w:t>11.</w:t>
      </w:r>
      <w:r w:rsidRPr="00486A97">
        <w:tab/>
        <w:t>poziva na temeljitu završnu evaluaciju provedenih mjera, uključujući jasne informacije o tome kako su sredstva iskorištena i jesu li njima postignuti ciljevi zbog kojih je EGF stvoren, uključujući podatke i rokove o broju radnika koji su uspješno reintegrirani na radna mjesta i kojim su radnim mjestima pristupili, kao i o onima koji su dovršili mjere osposobljavanja i usavršavanja te o relevantnim rokovima;</w:t>
      </w:r>
    </w:p>
    <w:p w14:paraId="7E98133F" w14:textId="77777777" w:rsidR="004C12E4" w:rsidRPr="00486A97" w:rsidRDefault="004C12E4" w:rsidP="004C12E4">
      <w:pPr>
        <w:pStyle w:val="NormalHanging12a"/>
      </w:pPr>
      <w:r w:rsidRPr="00486A97">
        <w:t>12.</w:t>
      </w:r>
      <w:r w:rsidRPr="00486A97">
        <w:tab/>
        <w:t>prima na znanje da je Belgija ciljanim korisnicima počela pružati personalizirane usluge 17. veljače 2025. i da će stoga razdoblje prihvatljivosti za financijski doprinos iz EGF-a trajati od tog datuma do datuma koji nastupi 24 mjeseca nakon stupanja na snagu odluke o financiranju;</w:t>
      </w:r>
    </w:p>
    <w:p w14:paraId="2B2743B6" w14:textId="77777777" w:rsidR="004C12E4" w:rsidRPr="00486A97" w:rsidRDefault="004C12E4" w:rsidP="004C12E4">
      <w:pPr>
        <w:pStyle w:val="NormalHanging12a"/>
        <w:rPr>
          <w:sz w:val="23"/>
          <w:szCs w:val="23"/>
        </w:rPr>
      </w:pPr>
      <w:r w:rsidRPr="00486A97">
        <w:t>13.</w:t>
      </w:r>
      <w:r w:rsidRPr="00486A97">
        <w:tab/>
        <w:t>napominje da Belgija od 9. srpnja 2024. snosi administrativne izdatke provedbe EGF-a te da ti izdaci stoga ispunjavaju uvjete za financijski doprinos iz EGF-a od tog datuma do datuma koji nastupi 31 mjesec nakon stupanja na snagu odluke o financiranju;</w:t>
      </w:r>
    </w:p>
    <w:p w14:paraId="1C5D5F48" w14:textId="77777777" w:rsidR="004C12E4" w:rsidRPr="00486A97" w:rsidRDefault="004C12E4" w:rsidP="004C12E4">
      <w:pPr>
        <w:pStyle w:val="NormalHanging12a"/>
      </w:pPr>
      <w:r w:rsidRPr="00486A97">
        <w:t>14.</w:t>
      </w:r>
      <w:r w:rsidRPr="00486A97">
        <w:tab/>
        <w:t>napominje da su belgijske vlasti pružile jamstvo da će se u pristupu predloženim mjerama i u njihovoj provedbi poštovati načela jednakog postupanja i nediskriminacije te da će se spriječiti svako dvostruko financiranje;</w:t>
      </w:r>
    </w:p>
    <w:p w14:paraId="451D0F8B" w14:textId="77777777" w:rsidR="004C12E4" w:rsidRPr="00486A97" w:rsidRDefault="004C12E4" w:rsidP="004C12E4">
      <w:pPr>
        <w:pStyle w:val="NormalHanging12a"/>
      </w:pPr>
      <w:r w:rsidRPr="00486A97">
        <w:t>15.</w:t>
      </w:r>
      <w:r w:rsidRPr="00486A97">
        <w:tab/>
        <w:t>ponovno ističe da pomoć iz EGF-a ne smije zamijeniti mjere za koje su prema nacionalnom pravu ili kolektivnim ugovorima odgovorna poduzeća;</w:t>
      </w:r>
    </w:p>
    <w:p w14:paraId="06EA1ECB" w14:textId="77777777" w:rsidR="004C12E4" w:rsidRPr="00486A97" w:rsidRDefault="004C12E4" w:rsidP="004C12E4">
      <w:pPr>
        <w:pStyle w:val="NormalHanging12a"/>
        <w:rPr>
          <w:bCs/>
          <w:iCs/>
        </w:rPr>
      </w:pPr>
      <w:r w:rsidRPr="00486A97">
        <w:t>16.</w:t>
      </w:r>
      <w:r w:rsidRPr="00486A97">
        <w:tab/>
        <w:t xml:space="preserve">podsjeća da je EGF instrument solidarnosti i pravedne tranzicije te da, iako pruža potporu nakon gubitka radnih mjesta, ne može zamijeniti proaktivnu, dosljednu i koordiniranu industrijsku politiku Unije kako bi se zaštitila europska baza radnih mjesta u industriji, socijalna sigurnost i dugoročna gospodarska i socijalna otpornost te kako bi se spriječio regionalni strukturni pad; naglašava da primarna zadaća Unije mora biti sprečavanje takvih zatvaranja prije svega stvaranjem uvjeta za </w:t>
      </w:r>
      <w:proofErr w:type="spellStart"/>
      <w:r w:rsidRPr="00486A97">
        <w:t>priuštivu</w:t>
      </w:r>
      <w:proofErr w:type="spellEnd"/>
      <w:r w:rsidRPr="00486A97">
        <w:t xml:space="preserve">, čistu i </w:t>
      </w:r>
      <w:r w:rsidRPr="00486A97">
        <w:lastRenderedPageBreak/>
        <w:t>pouzdanu energiju kako bi industrijska proizvodnja ostala konkurentna, uz istodobno ulaganje u vještine i za visokokvalificirane radnike i za industrijske radnike; nadalje naglašava hitnu potrebu za dosljednim i koordiniranim naporima Unije u pogledu konkurentnosti, razvijenima u bliskom partnerstvu s državama članicama, kako bi se zaštitila europska baza radnih mjesta u industriji i socijalna sigurnost te</w:t>
      </w:r>
      <w:r w:rsidRPr="00486A97">
        <w:rPr>
          <w:b/>
          <w:i/>
        </w:rPr>
        <w:t xml:space="preserve"> </w:t>
      </w:r>
      <w:r w:rsidRPr="00486A97">
        <w:t xml:space="preserve">ističe da samo snažno i otporno europsko gospodarstvo može učinkovito spriječiti otpuštanja velikih razmjera, čime se smanjuje potreba za intervencijom EGF-a; </w:t>
      </w:r>
    </w:p>
    <w:p w14:paraId="5EABF64F" w14:textId="77777777" w:rsidR="004C12E4" w:rsidRPr="00486A97" w:rsidRDefault="004C12E4" w:rsidP="004C12E4">
      <w:pPr>
        <w:pStyle w:val="NormalHanging12a"/>
        <w:rPr>
          <w:noProof/>
        </w:rPr>
      </w:pPr>
      <w:r w:rsidRPr="00486A97">
        <w:t>17.</w:t>
      </w:r>
      <w:r w:rsidRPr="00486A97">
        <w:tab/>
        <w:t>odobrava Odluku priloženu ovoj Rezoluciji;</w:t>
      </w:r>
    </w:p>
    <w:p w14:paraId="0615271E" w14:textId="58A1AE6C" w:rsidR="004C12E4" w:rsidRPr="00486A97" w:rsidRDefault="004C12E4" w:rsidP="004C12E4">
      <w:pPr>
        <w:pStyle w:val="NormalHanging12a"/>
        <w:rPr>
          <w:noProof/>
        </w:rPr>
      </w:pPr>
      <w:r w:rsidRPr="00486A97">
        <w:t>18.</w:t>
      </w:r>
      <w:r w:rsidRPr="00486A97">
        <w:tab/>
        <w:t xml:space="preserve">nalaže svojoj predsjednici da potpiše Odluku zajedno s predsjednikom Vijeća te da je da na objavu u </w:t>
      </w:r>
      <w:r w:rsidRPr="00486A97">
        <w:rPr>
          <w:i/>
        </w:rPr>
        <w:t>Službenom listu Europske unije</w:t>
      </w:r>
      <w:r w:rsidRPr="00486A97">
        <w:t>;</w:t>
      </w:r>
    </w:p>
    <w:p w14:paraId="537AC375" w14:textId="77777777" w:rsidR="0011249B" w:rsidRPr="00486A97" w:rsidRDefault="004C12E4" w:rsidP="004C12E4">
      <w:pPr>
        <w:pStyle w:val="NormalHanging12a"/>
        <w:rPr>
          <w:noProof/>
        </w:rPr>
      </w:pPr>
      <w:r w:rsidRPr="00486A97">
        <w:t>19.</w:t>
      </w:r>
      <w:r w:rsidRPr="00486A97">
        <w:tab/>
        <w:t>nalaže svojoj predsjednici da ovu Rezoluciju, zajedno s njezinim Prilogom, proslijedi Vijeću i Komisiji.</w:t>
      </w:r>
    </w:p>
    <w:p w14:paraId="14B58457" w14:textId="11E9DAC7" w:rsidR="004C12E4" w:rsidRPr="00486A97" w:rsidRDefault="004C12E4" w:rsidP="004C12E4">
      <w:pPr>
        <w:pStyle w:val="PageHeading"/>
        <w:jc w:val="left"/>
        <w:rPr>
          <w:noProof/>
        </w:rPr>
        <w:sectPr w:rsidR="004C12E4" w:rsidRPr="00486A97" w:rsidSect="00D91D3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FC45680" w14:textId="77777777" w:rsidR="00E6742B" w:rsidRPr="00E6742B" w:rsidRDefault="004C12E4" w:rsidP="004C12E4">
      <w:pPr>
        <w:pStyle w:val="PageHeading"/>
        <w:rPr>
          <w:rFonts w:ascii="Times New Roman" w:hAnsi="Times New Roman" w:cs="Times New Roman"/>
        </w:rPr>
      </w:pPr>
      <w:bookmarkStart w:id="7" w:name="_Toc221113299"/>
      <w:r w:rsidRPr="00E6742B">
        <w:rPr>
          <w:rFonts w:ascii="Times New Roman" w:hAnsi="Times New Roman" w:cs="Times New Roman"/>
        </w:rPr>
        <w:lastRenderedPageBreak/>
        <w:t>PRILOG</w:t>
      </w:r>
    </w:p>
    <w:p w14:paraId="12A2C5D7" w14:textId="6E9D3342" w:rsidR="004C12E4" w:rsidRPr="00E6742B" w:rsidRDefault="004C12E4" w:rsidP="004C12E4">
      <w:pPr>
        <w:pStyle w:val="PageHeading"/>
        <w:rPr>
          <w:rFonts w:ascii="Times New Roman" w:hAnsi="Times New Roman" w:cs="Times New Roman"/>
          <w:noProof/>
        </w:rPr>
      </w:pPr>
      <w:r w:rsidRPr="00E6742B">
        <w:rPr>
          <w:rFonts w:ascii="Times New Roman" w:hAnsi="Times New Roman" w:cs="Times New Roman"/>
        </w:rPr>
        <w:t>ODLUKA EUROPSKOG PARLAMENTA I VIJEĆA</w:t>
      </w:r>
      <w:bookmarkEnd w:id="7"/>
    </w:p>
    <w:p w14:paraId="098C807B" w14:textId="77777777" w:rsidR="004C12E4" w:rsidRDefault="004C12E4" w:rsidP="00061289">
      <w:pPr>
        <w:rPr>
          <w:b/>
        </w:rPr>
      </w:pPr>
      <w:r w:rsidRPr="00486A97">
        <w:rPr>
          <w:b/>
        </w:rPr>
        <w:t>o mobilizaciji Europskog fonda za prilagodbu globalizaciji za radnike koji su proglašeni viškom na temelju zahtjeva Belgije – EGF/2025/006 BE/Audi</w:t>
      </w:r>
    </w:p>
    <w:p w14:paraId="282893EA" w14:textId="77777777" w:rsidR="00E6742B" w:rsidRDefault="00E6742B" w:rsidP="00061289">
      <w:pPr>
        <w:rPr>
          <w:b/>
          <w:bCs/>
          <w:noProof/>
        </w:rPr>
      </w:pPr>
    </w:p>
    <w:p w14:paraId="7D802F9E" w14:textId="4B3F86C4" w:rsidR="00E6742B" w:rsidRPr="00486A97" w:rsidRDefault="00E6742B" w:rsidP="00061289">
      <w:pPr>
        <w:rPr>
          <w:b/>
          <w:bCs/>
          <w:noProof/>
        </w:rPr>
      </w:pPr>
      <w:r w:rsidRPr="00E6742B">
        <w:rPr>
          <w:i/>
        </w:rPr>
        <w:t xml:space="preserve">(Tekst ovog priloga nije naveden ovdje budući da odgovara konačnom aktu, </w:t>
      </w:r>
      <w:r>
        <w:rPr>
          <w:i/>
        </w:rPr>
        <w:t xml:space="preserve">Odluci </w:t>
      </w:r>
      <w:r w:rsidRPr="00E6742B">
        <w:rPr>
          <w:i/>
        </w:rPr>
        <w:t xml:space="preserve">(EU) 2026/454.) </w:t>
      </w:r>
      <w:r w:rsidR="00A327B0">
        <w:rPr>
          <w:i/>
        </w:rPr>
        <w:t xml:space="preserve"> </w:t>
      </w:r>
    </w:p>
    <w:sectPr w:rsidR="00E6742B" w:rsidRPr="00486A97" w:rsidSect="00D91D3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7A1D5" w14:textId="77777777" w:rsidR="00CE1D2B" w:rsidRPr="00D91D3C" w:rsidRDefault="00CE1D2B">
      <w:r w:rsidRPr="00D91D3C">
        <w:separator/>
      </w:r>
    </w:p>
  </w:endnote>
  <w:endnote w:type="continuationSeparator" w:id="0">
    <w:p w14:paraId="73E51932" w14:textId="77777777" w:rsidR="00CE1D2B" w:rsidRPr="00D91D3C" w:rsidRDefault="00CE1D2B">
      <w:r w:rsidRPr="00D91D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BD04B" w14:textId="77777777" w:rsidR="004C12E4" w:rsidRPr="00D91D3C" w:rsidRDefault="004C12E4" w:rsidP="001E4150">
    <w:pPr>
      <w:pStyle w:val="EPFooter"/>
    </w:pPr>
    <w:r w:rsidRPr="00D91D3C">
      <w:t>PE</w:t>
    </w:r>
    <w:r w:rsidRPr="00D91D3C">
      <w:rPr>
        <w:rStyle w:val="HideTWBExt"/>
      </w:rPr>
      <w:t>&lt;NoPE&gt;</w:t>
    </w:r>
    <w:r w:rsidRPr="00D91D3C">
      <w:t>782.226</w:t>
    </w:r>
    <w:r w:rsidRPr="00D91D3C">
      <w:rPr>
        <w:rStyle w:val="HideTWBExt"/>
      </w:rPr>
      <w:t>&lt;/NoPE&gt;&lt;Version&gt;</w:t>
    </w:r>
    <w:r w:rsidRPr="00D91D3C">
      <w:t>v02-00</w:t>
    </w:r>
    <w:r w:rsidRPr="00D91D3C">
      <w:rPr>
        <w:rStyle w:val="HideTWBExt"/>
      </w:rPr>
      <w:t>&lt;/Version&gt;</w:t>
    </w:r>
    <w:r w:rsidRPr="00D91D3C">
      <w:tab/>
    </w:r>
    <w:r w:rsidRPr="00D91D3C">
      <w:fldChar w:fldCharType="begin"/>
    </w:r>
    <w:r w:rsidRPr="00D91D3C">
      <w:instrText xml:space="preserve"> PAGE  \* MERGEFORMAT </w:instrText>
    </w:r>
    <w:r w:rsidRPr="00D91D3C">
      <w:fldChar w:fldCharType="separate"/>
    </w:r>
    <w:r w:rsidRPr="00D91D3C">
      <w:rPr>
        <w:noProof/>
      </w:rPr>
      <w:t>10</w:t>
    </w:r>
    <w:r w:rsidRPr="00D91D3C">
      <w:fldChar w:fldCharType="end"/>
    </w:r>
    <w:r w:rsidRPr="00D91D3C">
      <w:t>/</w:t>
    </w:r>
    <w:r w:rsidR="00A327B0">
      <w:fldChar w:fldCharType="begin"/>
    </w:r>
    <w:r w:rsidR="00A327B0">
      <w:instrText xml:space="preserve"> NUMPAGES  \* MERGEFORMAT </w:instrText>
    </w:r>
    <w:r w:rsidR="00A327B0">
      <w:fldChar w:fldCharType="separate"/>
    </w:r>
    <w:r w:rsidRPr="00D91D3C">
      <w:rPr>
        <w:noProof/>
      </w:rPr>
      <w:t>20</w:t>
    </w:r>
    <w:r w:rsidR="00A327B0">
      <w:rPr>
        <w:noProof/>
      </w:rPr>
      <w:fldChar w:fldCharType="end"/>
    </w:r>
    <w:r w:rsidRPr="00D91D3C">
      <w:tab/>
    </w:r>
    <w:r w:rsidRPr="00D91D3C">
      <w:rPr>
        <w:rStyle w:val="HideTWBExt"/>
      </w:rPr>
      <w:t>&lt;PathFdR&gt;</w:t>
    </w:r>
    <w:r w:rsidRPr="00D91D3C">
      <w:t>RR\1336415HR.docx</w:t>
    </w:r>
    <w:r w:rsidRPr="00D91D3C">
      <w:rPr>
        <w:rStyle w:val="HideTWBExt"/>
      </w:rPr>
      <w:t>&lt;/PathFdR&gt;</w:t>
    </w:r>
  </w:p>
  <w:p w14:paraId="5D527555" w14:textId="77777777" w:rsidR="004C12E4" w:rsidRPr="00D91D3C" w:rsidRDefault="004C12E4" w:rsidP="001E4150">
    <w:pPr>
      <w:pStyle w:val="EPFooter2"/>
    </w:pPr>
    <w:r w:rsidRPr="00D91D3C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D8F8F" w14:textId="40FF923A" w:rsidR="004C12E4" w:rsidRPr="00D91D3C" w:rsidRDefault="004C12E4" w:rsidP="001E4150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7BF33" w14:textId="77777777" w:rsidR="004C12E4" w:rsidRPr="00D91D3C" w:rsidRDefault="004C12E4" w:rsidP="001E4150">
    <w:pPr>
      <w:pStyle w:val="EPFooter"/>
    </w:pPr>
    <w:r w:rsidRPr="00D91D3C">
      <w:rPr>
        <w:rStyle w:val="HideTWBExt"/>
      </w:rPr>
      <w:t>&lt;PathFdR&gt;</w:t>
    </w:r>
    <w:r w:rsidRPr="00D91D3C">
      <w:t>RR\1336415HR.docx</w:t>
    </w:r>
    <w:r w:rsidRPr="00D91D3C">
      <w:rPr>
        <w:rStyle w:val="HideTWBExt"/>
      </w:rPr>
      <w:t>&lt;/PathFdR&gt;</w:t>
    </w:r>
    <w:r w:rsidRPr="00D91D3C">
      <w:tab/>
    </w:r>
    <w:r w:rsidRPr="00D91D3C">
      <w:tab/>
      <w:t>PE</w:t>
    </w:r>
    <w:r w:rsidRPr="00D91D3C">
      <w:rPr>
        <w:rStyle w:val="HideTWBExt"/>
      </w:rPr>
      <w:t>&lt;NoPE&gt;</w:t>
    </w:r>
    <w:r w:rsidRPr="00D91D3C">
      <w:t>782.226</w:t>
    </w:r>
    <w:r w:rsidRPr="00D91D3C">
      <w:rPr>
        <w:rStyle w:val="HideTWBExt"/>
      </w:rPr>
      <w:t>&lt;/NoPE&gt;&lt;Version&gt;</w:t>
    </w:r>
    <w:r w:rsidRPr="00D91D3C">
      <w:t>v02-00</w:t>
    </w:r>
    <w:r w:rsidRPr="00D91D3C">
      <w:rPr>
        <w:rStyle w:val="HideTWBExt"/>
      </w:rPr>
      <w:t>&lt;/Version&gt;</w:t>
    </w:r>
  </w:p>
  <w:p w14:paraId="3E8ECD5D" w14:textId="77777777" w:rsidR="004C12E4" w:rsidRPr="00D91D3C" w:rsidRDefault="004C12E4" w:rsidP="001E4150">
    <w:pPr>
      <w:pStyle w:val="EPFooter2"/>
    </w:pPr>
    <w:r w:rsidRPr="00D91D3C">
      <w:t>HR</w:t>
    </w:r>
    <w:r w:rsidRPr="00D91D3C">
      <w:tab/>
    </w:r>
    <w:r w:rsidRPr="00D91D3C">
      <w:rPr>
        <w:b w:val="0"/>
        <w:i/>
        <w:color w:val="C0C0C0"/>
        <w:sz w:val="22"/>
      </w:rPr>
      <w:t>Ujedinjena u raznolikosti</w:t>
    </w:r>
    <w:r w:rsidRPr="00D91D3C">
      <w:tab/>
      <w:t>HR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59D33" w14:textId="77777777" w:rsidR="00064002" w:rsidRPr="00D91D3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3B493" w14:textId="77777777" w:rsidR="00064002" w:rsidRPr="00D91D3C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01872" w14:textId="77777777" w:rsidR="00064002" w:rsidRPr="00D91D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06896" w14:textId="77777777" w:rsidR="00CE1D2B" w:rsidRPr="00D91D3C" w:rsidRDefault="00CE1D2B">
      <w:r w:rsidRPr="00D91D3C">
        <w:separator/>
      </w:r>
    </w:p>
  </w:footnote>
  <w:footnote w:type="continuationSeparator" w:id="0">
    <w:p w14:paraId="18432E99" w14:textId="77777777" w:rsidR="00CE1D2B" w:rsidRPr="00D91D3C" w:rsidRDefault="00CE1D2B">
      <w:r w:rsidRPr="00D91D3C">
        <w:continuationSeparator/>
      </w:r>
    </w:p>
  </w:footnote>
  <w:footnote w:id="1">
    <w:p w14:paraId="17B91BB4" w14:textId="485D328D" w:rsidR="004C12E4" w:rsidRPr="00D91D3C" w:rsidRDefault="004C12E4" w:rsidP="00D91D3C">
      <w:pPr>
        <w:pStyle w:val="FootnoteText"/>
        <w:ind w:left="567" w:hanging="567"/>
        <w:rPr>
          <w:sz w:val="24"/>
          <w:lang w:val="hr-HR"/>
        </w:rPr>
      </w:pPr>
      <w:r w:rsidRPr="00D91D3C">
        <w:rPr>
          <w:rStyle w:val="FootnoteReference"/>
          <w:sz w:val="24"/>
          <w:lang w:val="hr-HR"/>
        </w:rPr>
        <w:footnoteRef/>
      </w:r>
      <w:r w:rsidR="00D91D3C" w:rsidRPr="00D91D3C">
        <w:rPr>
          <w:sz w:val="24"/>
          <w:lang w:val="hr-HR"/>
        </w:rPr>
        <w:t xml:space="preserve"> </w:t>
      </w:r>
      <w:r w:rsidR="00D91D3C" w:rsidRPr="00D91D3C">
        <w:rPr>
          <w:sz w:val="24"/>
          <w:lang w:val="hr-HR"/>
        </w:rPr>
        <w:tab/>
      </w:r>
      <w:r w:rsidRPr="00D91D3C">
        <w:rPr>
          <w:sz w:val="24"/>
          <w:lang w:val="hr-HR"/>
        </w:rPr>
        <w:t xml:space="preserve">SL L 153, 3.5.2021., str. 48., ELI: </w:t>
      </w:r>
      <w:hyperlink r:id="rId1" w:history="1">
        <w:r w:rsidRPr="00D91D3C">
          <w:rPr>
            <w:rStyle w:val="Hyperlink"/>
            <w:sz w:val="24"/>
            <w:lang w:val="hr-HR"/>
          </w:rPr>
          <w:t>http://data.europa.eu/eli/reg/2021/691/oj</w:t>
        </w:r>
      </w:hyperlink>
      <w:r w:rsidRPr="00D91D3C">
        <w:rPr>
          <w:sz w:val="24"/>
          <w:lang w:val="hr-HR"/>
        </w:rPr>
        <w:t>.</w:t>
      </w:r>
    </w:p>
  </w:footnote>
  <w:footnote w:id="2">
    <w:p w14:paraId="33687400" w14:textId="6F85FF8F" w:rsidR="004C12E4" w:rsidRPr="00D91D3C" w:rsidRDefault="004C12E4" w:rsidP="00D91D3C">
      <w:pPr>
        <w:pStyle w:val="FootnoteText"/>
        <w:ind w:left="567" w:hanging="567"/>
        <w:rPr>
          <w:sz w:val="24"/>
          <w:lang w:val="hr-HR"/>
        </w:rPr>
      </w:pPr>
      <w:r w:rsidRPr="00D91D3C">
        <w:rPr>
          <w:rStyle w:val="FootnoteReference"/>
          <w:sz w:val="24"/>
          <w:lang w:val="hr-HR"/>
        </w:rPr>
        <w:footnoteRef/>
      </w:r>
      <w:r w:rsidR="00D91D3C" w:rsidRPr="00D91D3C">
        <w:rPr>
          <w:sz w:val="24"/>
          <w:lang w:val="hr-HR"/>
        </w:rPr>
        <w:t xml:space="preserve"> </w:t>
      </w:r>
      <w:r w:rsidR="00D91D3C" w:rsidRPr="00D91D3C">
        <w:rPr>
          <w:sz w:val="24"/>
          <w:lang w:val="hr-HR"/>
        </w:rPr>
        <w:tab/>
      </w:r>
      <w:r w:rsidRPr="00D91D3C">
        <w:rPr>
          <w:sz w:val="24"/>
          <w:lang w:val="hr-HR"/>
        </w:rPr>
        <w:t xml:space="preserve">SL L 433 I, 22.12.2020., str. </w:t>
      </w:r>
      <w:r w:rsidRPr="00D91D3C">
        <w:rPr>
          <w:sz w:val="24"/>
          <w:lang w:val="hr-HR"/>
        </w:rPr>
        <w:t xml:space="preserve">11., ELI: </w:t>
      </w:r>
      <w:hyperlink r:id="rId2" w:history="1">
        <w:r w:rsidRPr="00D91D3C">
          <w:rPr>
            <w:rStyle w:val="Hyperlink"/>
            <w:sz w:val="24"/>
            <w:lang w:val="hr-HR"/>
          </w:rPr>
          <w:t>http://data.europa.eu/eli/reg/2020/2093/oj</w:t>
        </w:r>
      </w:hyperlink>
      <w:r w:rsidRPr="00D91D3C">
        <w:rPr>
          <w:sz w:val="24"/>
          <w:lang w:val="hr-HR"/>
        </w:rPr>
        <w:t>.</w:t>
      </w:r>
    </w:p>
  </w:footnote>
  <w:footnote w:id="3">
    <w:p w14:paraId="4936F2E6" w14:textId="4EF1130E" w:rsidR="004C12E4" w:rsidRPr="00D91D3C" w:rsidRDefault="004C12E4" w:rsidP="00D91D3C">
      <w:pPr>
        <w:pStyle w:val="FootnoteText"/>
        <w:ind w:left="567" w:hanging="567"/>
        <w:rPr>
          <w:sz w:val="24"/>
          <w:lang w:val="hr-HR"/>
        </w:rPr>
      </w:pPr>
      <w:r w:rsidRPr="00D91D3C">
        <w:rPr>
          <w:rStyle w:val="FootnoteReference"/>
          <w:sz w:val="24"/>
          <w:lang w:val="hr-HR"/>
        </w:rPr>
        <w:footnoteRef/>
      </w:r>
      <w:r w:rsidR="00D91D3C" w:rsidRPr="00D91D3C">
        <w:rPr>
          <w:sz w:val="24"/>
          <w:shd w:val="clear" w:color="auto" w:fill="FFFFFF"/>
          <w:lang w:val="hr-HR"/>
        </w:rPr>
        <w:t xml:space="preserve"> </w:t>
      </w:r>
      <w:r w:rsidR="00D91D3C" w:rsidRPr="00D91D3C">
        <w:rPr>
          <w:sz w:val="24"/>
          <w:shd w:val="clear" w:color="auto" w:fill="FFFFFF"/>
          <w:lang w:val="hr-HR"/>
        </w:rPr>
        <w:tab/>
      </w:r>
      <w:r w:rsidRPr="00D91D3C">
        <w:rPr>
          <w:sz w:val="24"/>
          <w:shd w:val="clear" w:color="auto" w:fill="FFFFFF"/>
          <w:lang w:val="hr-HR"/>
        </w:rPr>
        <w:t xml:space="preserve">Uredba Vijeća (EU, Euratom) 2024/765 od 29. veljače 2024. o izmjeni Uredbe (EU, Euratom) 2020/2093 kojom se utvrđuje višegodišnji financijski okvir za razdoblje 2021. – 2027. </w:t>
      </w:r>
      <w:r w:rsidRPr="00D91D3C">
        <w:rPr>
          <w:sz w:val="24"/>
          <w:shd w:val="clear" w:color="auto" w:fill="FFFFFF"/>
          <w:lang w:val="hr-HR"/>
        </w:rPr>
        <w:t>(SL L, 2024/765, 29.2.2024., ELI:</w:t>
      </w:r>
      <w:r w:rsidRPr="00D91D3C">
        <w:rPr>
          <w:color w:val="333333"/>
          <w:sz w:val="24"/>
          <w:shd w:val="clear" w:color="auto" w:fill="FFFFFF"/>
          <w:lang w:val="hr-HR"/>
        </w:rPr>
        <w:t xml:space="preserve"> </w:t>
      </w:r>
      <w:hyperlink r:id="rId3" w:history="1">
        <w:r w:rsidRPr="00D91D3C">
          <w:rPr>
            <w:rStyle w:val="Hyperlink"/>
            <w:sz w:val="24"/>
            <w:shd w:val="clear" w:color="auto" w:fill="FFFFFF"/>
            <w:lang w:val="hr-HR"/>
          </w:rPr>
          <w:t>http://data.europa.eu/eli/reg/2024/765/oj</w:t>
        </w:r>
      </w:hyperlink>
      <w:r w:rsidRPr="00D91D3C">
        <w:rPr>
          <w:i/>
          <w:color w:val="333333"/>
          <w:sz w:val="24"/>
          <w:shd w:val="clear" w:color="auto" w:fill="FFFFFF"/>
          <w:lang w:val="hr-HR"/>
        </w:rPr>
        <w:t>).</w:t>
      </w:r>
    </w:p>
  </w:footnote>
  <w:footnote w:id="4">
    <w:p w14:paraId="5C1145A8" w14:textId="48E7F825" w:rsidR="004C12E4" w:rsidRPr="00D91D3C" w:rsidRDefault="004C12E4" w:rsidP="00D91D3C">
      <w:pPr>
        <w:pStyle w:val="FootnoteText"/>
        <w:ind w:left="567" w:hanging="567"/>
        <w:rPr>
          <w:sz w:val="24"/>
          <w:lang w:val="hr-HR"/>
        </w:rPr>
      </w:pPr>
      <w:r w:rsidRPr="00D91D3C">
        <w:rPr>
          <w:rStyle w:val="FootnoteReference"/>
          <w:sz w:val="24"/>
          <w:lang w:val="hr-HR"/>
        </w:rPr>
        <w:footnoteRef/>
      </w:r>
      <w:r w:rsidR="00D91D3C" w:rsidRPr="00D91D3C">
        <w:rPr>
          <w:sz w:val="24"/>
          <w:lang w:val="hr-HR"/>
        </w:rPr>
        <w:t xml:space="preserve"> </w:t>
      </w:r>
      <w:r w:rsidR="00D91D3C" w:rsidRPr="00D91D3C">
        <w:rPr>
          <w:sz w:val="24"/>
          <w:lang w:val="hr-HR"/>
        </w:rPr>
        <w:tab/>
      </w:r>
      <w:r w:rsidRPr="00D91D3C">
        <w:rPr>
          <w:sz w:val="24"/>
          <w:lang w:val="hr-HR"/>
        </w:rPr>
        <w:t xml:space="preserve">SL L 433 I, 22.12.2020., str. </w:t>
      </w:r>
      <w:r w:rsidRPr="00D91D3C">
        <w:rPr>
          <w:sz w:val="24"/>
          <w:lang w:val="hr-HR"/>
        </w:rPr>
        <w:t xml:space="preserve">28., ELI: </w:t>
      </w:r>
      <w:hyperlink r:id="rId4" w:history="1">
        <w:r w:rsidRPr="00D91D3C">
          <w:rPr>
            <w:rStyle w:val="Hyperlink"/>
            <w:sz w:val="24"/>
            <w:lang w:val="hr-HR"/>
          </w:rPr>
          <w:t>http://data.europa.eu/eli/agree_interinstit/2020/1222/oj</w:t>
        </w:r>
      </w:hyperlink>
      <w:r w:rsidRPr="00D91D3C">
        <w:rPr>
          <w:sz w:val="24"/>
          <w:lang w:val="hr-HR"/>
        </w:rPr>
        <w:t>.</w:t>
      </w:r>
    </w:p>
  </w:footnote>
  <w:footnote w:id="5">
    <w:p w14:paraId="1DAA31A6" w14:textId="35EC6E96" w:rsidR="004C12E4" w:rsidRPr="00D91D3C" w:rsidRDefault="004C12E4" w:rsidP="00D91D3C">
      <w:pPr>
        <w:pStyle w:val="FootnoteText"/>
        <w:ind w:left="567" w:hanging="567"/>
        <w:rPr>
          <w:sz w:val="24"/>
          <w:lang w:val="hr-HR"/>
        </w:rPr>
      </w:pPr>
      <w:r w:rsidRPr="00D91D3C">
        <w:rPr>
          <w:rStyle w:val="FootnoteReference"/>
          <w:sz w:val="24"/>
          <w:lang w:val="hr-HR"/>
        </w:rPr>
        <w:footnoteRef/>
      </w:r>
      <w:r w:rsidR="00D91D3C" w:rsidRPr="00D91D3C">
        <w:rPr>
          <w:sz w:val="24"/>
          <w:lang w:val="hr-HR"/>
        </w:rPr>
        <w:t xml:space="preserve"> </w:t>
      </w:r>
      <w:r w:rsidR="00D91D3C" w:rsidRPr="00D91D3C">
        <w:rPr>
          <w:sz w:val="24"/>
          <w:lang w:val="hr-HR"/>
        </w:rPr>
        <w:tab/>
      </w:r>
      <w:r w:rsidRPr="00D91D3C">
        <w:rPr>
          <w:sz w:val="24"/>
          <w:lang w:val="hr-HR"/>
        </w:rPr>
        <w:t>U smislu članka 3. Uredbe o EGF-u.</w:t>
      </w:r>
    </w:p>
  </w:footnote>
  <w:footnote w:id="6">
    <w:p w14:paraId="253F6B33" w14:textId="2870D0E2" w:rsidR="004C12E4" w:rsidRPr="00D91D3C" w:rsidRDefault="004C12E4" w:rsidP="00D91D3C">
      <w:pPr>
        <w:pStyle w:val="FootnoteText"/>
        <w:ind w:left="567" w:hanging="567"/>
        <w:rPr>
          <w:sz w:val="24"/>
          <w:lang w:val="hr-HR"/>
        </w:rPr>
      </w:pPr>
      <w:r w:rsidRPr="00D91D3C">
        <w:rPr>
          <w:rStyle w:val="FootnoteReference"/>
          <w:sz w:val="24"/>
          <w:lang w:val="hr-HR"/>
        </w:rPr>
        <w:footnoteRef/>
      </w:r>
      <w:r w:rsidR="00D91D3C" w:rsidRPr="00D91D3C">
        <w:rPr>
          <w:sz w:val="24"/>
          <w:lang w:val="hr-HR"/>
        </w:rPr>
        <w:t xml:space="preserve"> </w:t>
      </w:r>
      <w:r w:rsidR="00D91D3C" w:rsidRPr="00D91D3C">
        <w:rPr>
          <w:sz w:val="24"/>
          <w:lang w:val="hr-HR"/>
        </w:rPr>
        <w:tab/>
      </w:r>
      <w:r w:rsidRPr="00D91D3C">
        <w:rPr>
          <w:sz w:val="24"/>
          <w:lang w:val="hr-HR"/>
        </w:rPr>
        <w:t>Članak 8. Uredbe o VFO-u.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6326C" w14:textId="77777777" w:rsidR="004C12E4" w:rsidRPr="00D91D3C" w:rsidRDefault="004C12E4">
    <w:pPr>
      <w:pStyle w:val="Header"/>
    </w:pPr>
  </w:p>
  <w:p w14:paraId="2AF9248A" w14:textId="77777777" w:rsidR="004C12E4" w:rsidRPr="00D91D3C" w:rsidRDefault="004C12E4">
    <w:pPr>
      <w:pStyle w:val="Header"/>
    </w:pPr>
  </w:p>
  <w:p w14:paraId="32FB8AAA" w14:textId="77777777" w:rsidR="004C12E4" w:rsidRPr="00D91D3C" w:rsidRDefault="004C12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64BA2" w14:textId="77777777" w:rsidR="004C12E4" w:rsidRPr="00D91D3C" w:rsidRDefault="004C12E4">
    <w:pPr>
      <w:pStyle w:val="Header"/>
    </w:pPr>
  </w:p>
  <w:p w14:paraId="275070C7" w14:textId="77777777" w:rsidR="004C12E4" w:rsidRPr="00D91D3C" w:rsidRDefault="004C12E4">
    <w:pPr>
      <w:pStyle w:val="Header"/>
    </w:pPr>
  </w:p>
  <w:p w14:paraId="54033D7C" w14:textId="77777777" w:rsidR="004C12E4" w:rsidRPr="00D91D3C" w:rsidRDefault="004C12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76980" w14:textId="77777777" w:rsidR="004C12E4" w:rsidRPr="00D91D3C" w:rsidRDefault="004C12E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00873" w14:textId="77777777" w:rsidR="00064002" w:rsidRPr="00D91D3C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2A846" w14:textId="77777777" w:rsidR="00064002" w:rsidRPr="00D91D3C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98B84" w14:textId="77777777" w:rsidR="00064002" w:rsidRPr="00D91D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06944576">
    <w:abstractNumId w:val="9"/>
  </w:num>
  <w:num w:numId="2" w16cid:durableId="397703266">
    <w:abstractNumId w:val="9"/>
  </w:num>
  <w:num w:numId="3" w16cid:durableId="2136870423">
    <w:abstractNumId w:val="7"/>
  </w:num>
  <w:num w:numId="4" w16cid:durableId="1418751622">
    <w:abstractNumId w:val="7"/>
  </w:num>
  <w:num w:numId="5" w16cid:durableId="2092972123">
    <w:abstractNumId w:val="6"/>
  </w:num>
  <w:num w:numId="6" w16cid:durableId="404231275">
    <w:abstractNumId w:val="6"/>
  </w:num>
  <w:num w:numId="7" w16cid:durableId="2112578478">
    <w:abstractNumId w:val="5"/>
  </w:num>
  <w:num w:numId="8" w16cid:durableId="773011616">
    <w:abstractNumId w:val="5"/>
  </w:num>
  <w:num w:numId="9" w16cid:durableId="1493371371">
    <w:abstractNumId w:val="4"/>
  </w:num>
  <w:num w:numId="10" w16cid:durableId="1674870749">
    <w:abstractNumId w:val="4"/>
  </w:num>
  <w:num w:numId="11" w16cid:durableId="2022467393">
    <w:abstractNumId w:val="8"/>
  </w:num>
  <w:num w:numId="12" w16cid:durableId="764805415">
    <w:abstractNumId w:val="8"/>
  </w:num>
  <w:num w:numId="13" w16cid:durableId="1305044891">
    <w:abstractNumId w:val="3"/>
  </w:num>
  <w:num w:numId="14" w16cid:durableId="477655043">
    <w:abstractNumId w:val="3"/>
  </w:num>
  <w:num w:numId="15" w16cid:durableId="85078014">
    <w:abstractNumId w:val="2"/>
  </w:num>
  <w:num w:numId="16" w16cid:durableId="858928335">
    <w:abstractNumId w:val="2"/>
  </w:num>
  <w:num w:numId="17" w16cid:durableId="2015257643">
    <w:abstractNumId w:val="1"/>
  </w:num>
  <w:num w:numId="18" w16cid:durableId="1130712375">
    <w:abstractNumId w:val="1"/>
  </w:num>
  <w:num w:numId="19" w16cid:durableId="562762683">
    <w:abstractNumId w:val="0"/>
  </w:num>
  <w:num w:numId="20" w16cid:durableId="2084401466">
    <w:abstractNumId w:val="0"/>
  </w:num>
  <w:num w:numId="21" w16cid:durableId="201017182">
    <w:abstractNumId w:val="9"/>
  </w:num>
  <w:num w:numId="22" w16cid:durableId="186450744">
    <w:abstractNumId w:val="7"/>
  </w:num>
  <w:num w:numId="23" w16cid:durableId="347486707">
    <w:abstractNumId w:val="6"/>
  </w:num>
  <w:num w:numId="24" w16cid:durableId="1208641161">
    <w:abstractNumId w:val="5"/>
  </w:num>
  <w:num w:numId="25" w16cid:durableId="2106799386">
    <w:abstractNumId w:val="4"/>
  </w:num>
  <w:num w:numId="26" w16cid:durableId="133178864">
    <w:abstractNumId w:val="8"/>
  </w:num>
  <w:num w:numId="27" w16cid:durableId="588929549">
    <w:abstractNumId w:val="3"/>
  </w:num>
  <w:num w:numId="28" w16cid:durableId="1016542813">
    <w:abstractNumId w:val="2"/>
  </w:num>
  <w:num w:numId="29" w16cid:durableId="1445425471">
    <w:abstractNumId w:val="1"/>
  </w:num>
  <w:num w:numId="30" w16cid:durableId="518813777">
    <w:abstractNumId w:val="0"/>
  </w:num>
  <w:num w:numId="31" w16cid:durableId="918563544">
    <w:abstractNumId w:val="9"/>
  </w:num>
  <w:num w:numId="32" w16cid:durableId="185099376">
    <w:abstractNumId w:val="7"/>
  </w:num>
  <w:num w:numId="33" w16cid:durableId="338508208">
    <w:abstractNumId w:val="6"/>
  </w:num>
  <w:num w:numId="34" w16cid:durableId="1283343490">
    <w:abstractNumId w:val="5"/>
  </w:num>
  <w:num w:numId="35" w16cid:durableId="1705324043">
    <w:abstractNumId w:val="4"/>
  </w:num>
  <w:num w:numId="36" w16cid:durableId="723678436">
    <w:abstractNumId w:val="8"/>
  </w:num>
  <w:num w:numId="37" w16cid:durableId="1519848782">
    <w:abstractNumId w:val="3"/>
  </w:num>
  <w:num w:numId="38" w16cid:durableId="1320958509">
    <w:abstractNumId w:val="2"/>
  </w:num>
  <w:num w:numId="39" w16cid:durableId="1750152928">
    <w:abstractNumId w:val="1"/>
  </w:num>
  <w:num w:numId="40" w16cid:durableId="389840552">
    <w:abstractNumId w:val="0"/>
  </w:num>
  <w:num w:numId="41" w16cid:durableId="1476483677">
    <w:abstractNumId w:val="10"/>
  </w:num>
  <w:num w:numId="42" w16cid:durableId="1543440619">
    <w:abstractNumId w:val="10"/>
  </w:num>
  <w:num w:numId="43" w16cid:durableId="1963613837">
    <w:abstractNumId w:val="10"/>
  </w:num>
  <w:num w:numId="44" w16cid:durableId="14134339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6/2026"/>
    <w:docVar w:name="dvlangue" w:val="HR"/>
    <w:docVar w:name="dvnumam" w:val="0"/>
    <w:docVar w:name="dvpe" w:val="782.226"/>
    <w:docVar w:name="dvrapporteur" w:val="Izvjestitelj: "/>
    <w:docVar w:name="dvtitre" w:val="Rezolucija Europskog parlamenta od .... 2026. o Prijedlogu odluke Europskog parlamenta i Vijeća o mobilizaciji Europskog fonda za prilagodbu globalizaciji za radnike koji su proglašeni viškom na temelju zahtjeva iz Belgije – EGF/2025/006 BE/Audi(COM(2026)0002 – C10-0002/2026 – 2026/0001(BUD))"/>
  </w:docVars>
  <w:rsids>
    <w:rsidRoot w:val="00CE1D2B"/>
    <w:rsid w:val="00002272"/>
    <w:rsid w:val="00061289"/>
    <w:rsid w:val="00064002"/>
    <w:rsid w:val="000677B9"/>
    <w:rsid w:val="000831BA"/>
    <w:rsid w:val="000A42CC"/>
    <w:rsid w:val="000E7DD9"/>
    <w:rsid w:val="0010095E"/>
    <w:rsid w:val="0011249B"/>
    <w:rsid w:val="00125B37"/>
    <w:rsid w:val="00187494"/>
    <w:rsid w:val="001F32AE"/>
    <w:rsid w:val="0027479D"/>
    <w:rsid w:val="002767FF"/>
    <w:rsid w:val="002B18FE"/>
    <w:rsid w:val="002B5493"/>
    <w:rsid w:val="002E4647"/>
    <w:rsid w:val="00343214"/>
    <w:rsid w:val="00361C00"/>
    <w:rsid w:val="00395FA1"/>
    <w:rsid w:val="003E15D4"/>
    <w:rsid w:val="00411CCE"/>
    <w:rsid w:val="0041666E"/>
    <w:rsid w:val="00421060"/>
    <w:rsid w:val="00456449"/>
    <w:rsid w:val="00471C19"/>
    <w:rsid w:val="004867E3"/>
    <w:rsid w:val="00486A97"/>
    <w:rsid w:val="00494A28"/>
    <w:rsid w:val="004C0004"/>
    <w:rsid w:val="004C12E4"/>
    <w:rsid w:val="004C5D52"/>
    <w:rsid w:val="0050519A"/>
    <w:rsid w:val="0050530B"/>
    <w:rsid w:val="005072A1"/>
    <w:rsid w:val="00514517"/>
    <w:rsid w:val="005213EC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27B0"/>
    <w:rsid w:val="00A43E52"/>
    <w:rsid w:val="00A4678D"/>
    <w:rsid w:val="00A46A6C"/>
    <w:rsid w:val="00A778C7"/>
    <w:rsid w:val="00AB441E"/>
    <w:rsid w:val="00AB6293"/>
    <w:rsid w:val="00AE0928"/>
    <w:rsid w:val="00AF3B82"/>
    <w:rsid w:val="00B12E95"/>
    <w:rsid w:val="00B22876"/>
    <w:rsid w:val="00B558F0"/>
    <w:rsid w:val="00BB12A4"/>
    <w:rsid w:val="00BD48FE"/>
    <w:rsid w:val="00BD7BD8"/>
    <w:rsid w:val="00BE6ADC"/>
    <w:rsid w:val="00C05BFE"/>
    <w:rsid w:val="00C23CD4"/>
    <w:rsid w:val="00C61C0C"/>
    <w:rsid w:val="00C941CB"/>
    <w:rsid w:val="00CC2357"/>
    <w:rsid w:val="00CE1D2B"/>
    <w:rsid w:val="00CF071A"/>
    <w:rsid w:val="00D058B8"/>
    <w:rsid w:val="00D56C11"/>
    <w:rsid w:val="00D834A0"/>
    <w:rsid w:val="00D872DF"/>
    <w:rsid w:val="00D91D3C"/>
    <w:rsid w:val="00D91E21"/>
    <w:rsid w:val="00DA7FCD"/>
    <w:rsid w:val="00E365E1"/>
    <w:rsid w:val="00E6742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610B88"/>
  <w15:chartTrackingRefBased/>
  <w15:docId w15:val="{2471B655-3517-4E95-A2AB-3BF17E724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C12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4C12E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4C12E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C12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C12E4"/>
    <w:rPr>
      <w:sz w:val="24"/>
      <w:lang w:val="hr-HR"/>
    </w:rPr>
  </w:style>
  <w:style w:type="paragraph" w:customStyle="1" w:styleId="EPFooter">
    <w:name w:val="EPFooter"/>
    <w:basedOn w:val="Normal"/>
    <w:rsid w:val="004C12E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C12E4"/>
    <w:pPr>
      <w:spacing w:before="480" w:after="240"/>
    </w:pPr>
  </w:style>
  <w:style w:type="character" w:styleId="Hyperlink">
    <w:name w:val="Hyperlink"/>
    <w:basedOn w:val="DefaultParagraphFont"/>
    <w:uiPriority w:val="99"/>
    <w:rsid w:val="004C12E4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4C12E4"/>
    <w:rPr>
      <w:sz w:val="24"/>
      <w:lang w:val="hr-HR"/>
    </w:rPr>
  </w:style>
  <w:style w:type="character" w:customStyle="1" w:styleId="PageHeadingChar">
    <w:name w:val="PageHeading Char"/>
    <w:basedOn w:val="DefaultParagraphFont"/>
    <w:link w:val="PageHeading"/>
    <w:locked/>
    <w:rsid w:val="004C12E4"/>
    <w:rPr>
      <w:rFonts w:ascii="Arial" w:hAnsi="Arial" w:cs="Arial"/>
      <w:b/>
      <w:sz w:val="24"/>
      <w:lang w:val="hr-HR"/>
    </w:rPr>
  </w:style>
  <w:style w:type="paragraph" w:customStyle="1" w:styleId="Fait">
    <w:name w:val="Fait à"/>
    <w:basedOn w:val="Normal"/>
    <w:next w:val="Institutionquisigne"/>
    <w:rsid w:val="004C12E4"/>
    <w:pPr>
      <w:keepNext/>
      <w:widowControl/>
      <w:spacing w:before="120" w:line="360" w:lineRule="auto"/>
    </w:pPr>
    <w:rPr>
      <w:rFonts w:eastAsiaTheme="minorHAnsi"/>
      <w:szCs w:val="22"/>
      <w:lang w:eastAsia="hr-HR" w:bidi="hr-HR"/>
    </w:rPr>
  </w:style>
  <w:style w:type="paragraph" w:customStyle="1" w:styleId="Formuledadoption">
    <w:name w:val="Formule d'adoption"/>
    <w:basedOn w:val="Normal"/>
    <w:next w:val="Titrearticle"/>
    <w:rsid w:val="004C12E4"/>
    <w:pPr>
      <w:keepNext/>
      <w:widowControl/>
      <w:spacing w:before="120" w:after="120" w:line="360" w:lineRule="auto"/>
    </w:pPr>
    <w:rPr>
      <w:rFonts w:eastAsiaTheme="minorHAnsi"/>
      <w:szCs w:val="22"/>
      <w:lang w:eastAsia="hr-HR" w:bidi="hr-HR"/>
    </w:rPr>
  </w:style>
  <w:style w:type="paragraph" w:customStyle="1" w:styleId="Institutionquiagit">
    <w:name w:val="Institution qui agit"/>
    <w:basedOn w:val="Normal"/>
    <w:next w:val="Normal"/>
    <w:rsid w:val="004C12E4"/>
    <w:pPr>
      <w:keepNext/>
      <w:widowControl/>
      <w:spacing w:before="600" w:after="120" w:line="360" w:lineRule="auto"/>
    </w:pPr>
    <w:rPr>
      <w:rFonts w:eastAsiaTheme="minorHAnsi"/>
      <w:szCs w:val="22"/>
      <w:lang w:eastAsia="hr-HR" w:bidi="hr-HR"/>
    </w:rPr>
  </w:style>
  <w:style w:type="paragraph" w:customStyle="1" w:styleId="Institutionquisigne">
    <w:name w:val="Institution qui signe"/>
    <w:basedOn w:val="Normal"/>
    <w:next w:val="Personnequisigne"/>
    <w:rsid w:val="004C12E4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hr-HR" w:bidi="hr-HR"/>
    </w:rPr>
  </w:style>
  <w:style w:type="paragraph" w:customStyle="1" w:styleId="ManualConsidrant">
    <w:name w:val="Manual Considérant"/>
    <w:basedOn w:val="Normal"/>
    <w:rsid w:val="004C12E4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hr-HR" w:bidi="hr-HR"/>
    </w:rPr>
  </w:style>
  <w:style w:type="paragraph" w:customStyle="1" w:styleId="Personnequisigne">
    <w:name w:val="Personne qui signe"/>
    <w:basedOn w:val="Normal"/>
    <w:next w:val="Institutionquisigne"/>
    <w:rsid w:val="004C12E4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hr-HR" w:bidi="hr-HR"/>
    </w:rPr>
  </w:style>
  <w:style w:type="paragraph" w:customStyle="1" w:styleId="Titrearticle">
    <w:name w:val="Titre article"/>
    <w:basedOn w:val="Normal"/>
    <w:next w:val="Normal"/>
    <w:rsid w:val="004C12E4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hr-HR" w:bidi="hr-HR"/>
    </w:rPr>
  </w:style>
  <w:style w:type="paragraph" w:customStyle="1" w:styleId="Lignefinal">
    <w:name w:val="Ligne final"/>
    <w:basedOn w:val="Normal"/>
    <w:next w:val="Normal"/>
    <w:rsid w:val="004C12E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hr-HR" w:bidi="hr-HR"/>
    </w:rPr>
  </w:style>
  <w:style w:type="paragraph" w:styleId="Revision">
    <w:name w:val="Revision"/>
    <w:hidden/>
    <w:uiPriority w:val="99"/>
    <w:semiHidden/>
    <w:rsid w:val="0011249B"/>
    <w:rPr>
      <w:sz w:val="24"/>
      <w:lang w:val="hr-HR"/>
    </w:rPr>
  </w:style>
  <w:style w:type="character" w:styleId="FollowedHyperlink">
    <w:name w:val="FollowedHyperlink"/>
    <w:basedOn w:val="DefaultParagraphFont"/>
    <w:rsid w:val="002E46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1665</Words>
  <Characters>10064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2026-03-23T15:54:00Z</dcterms:created>
  <dcterms:modified xsi:type="dcterms:W3CDTF">2026-03-23T15:54:00Z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P10_TA(2026)0038_</vt:lpwstr>
  </property>
  <property fmtid="{D5CDD505-2E9C-101B-9397-08002B2CF9AE}" pid="4" name="&lt;Type&gt;">
    <vt:lpwstr>RR</vt:lpwstr>
  </property>
</Properties>
</file>