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67EE" w14:paraId="1371776A" w14:textId="77777777" w:rsidTr="0010095E">
        <w:trPr>
          <w:trHeight w:hRule="exact" w:val="1418"/>
        </w:trPr>
        <w:tc>
          <w:tcPr>
            <w:tcW w:w="6804" w:type="dxa"/>
            <w:shd w:val="clear" w:color="auto" w:fill="auto"/>
            <w:vAlign w:val="center"/>
          </w:tcPr>
          <w:p w14:paraId="1E871C00" w14:textId="6A5B0D87" w:rsidR="00751A4A" w:rsidRPr="000D67EE" w:rsidRDefault="009D6772" w:rsidP="0010095E">
            <w:pPr>
              <w:pStyle w:val="EPName"/>
            </w:pPr>
            <w:r w:rsidRPr="000D67EE">
              <w:t>Europos Parlamentas</w:t>
            </w:r>
          </w:p>
          <w:p w14:paraId="4049DE47" w14:textId="77777777" w:rsidR="00751A4A" w:rsidRPr="000D67EE" w:rsidRDefault="005F1B17" w:rsidP="005F1B17">
            <w:pPr>
              <w:pStyle w:val="EPTerm"/>
              <w:rPr>
                <w:rStyle w:val="HideTWBExt"/>
                <w:noProof w:val="0"/>
                <w:vanish w:val="0"/>
                <w:color w:val="auto"/>
              </w:rPr>
            </w:pPr>
            <w:r w:rsidRPr="000D67EE">
              <w:t>2024</w:t>
            </w:r>
            <w:r w:rsidR="00817416" w:rsidRPr="000D67EE">
              <w:t>-202</w:t>
            </w:r>
            <w:r w:rsidRPr="000D67EE">
              <w:t>9</w:t>
            </w:r>
          </w:p>
        </w:tc>
        <w:tc>
          <w:tcPr>
            <w:tcW w:w="2268" w:type="dxa"/>
            <w:shd w:val="clear" w:color="auto" w:fill="auto"/>
          </w:tcPr>
          <w:p w14:paraId="6CE11F0F" w14:textId="77777777" w:rsidR="00751A4A" w:rsidRPr="000D67EE" w:rsidRDefault="00187494" w:rsidP="0010095E">
            <w:pPr>
              <w:pStyle w:val="EPLogo"/>
            </w:pPr>
            <w:r w:rsidRPr="000D67EE">
              <w:rPr>
                <w:noProof/>
                <w:lang w:eastAsia="ja-JP"/>
              </w:rPr>
              <w:drawing>
                <wp:inline distT="0" distB="0" distL="0" distR="0" wp14:anchorId="4E1C33A1" wp14:editId="2AF580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FEE5D1" w14:textId="77777777" w:rsidR="00D058B8" w:rsidRPr="000D67EE" w:rsidRDefault="00D058B8" w:rsidP="004C5D52">
      <w:pPr>
        <w:pStyle w:val="LineTop"/>
      </w:pPr>
    </w:p>
    <w:p w14:paraId="07C34145" w14:textId="5079F825" w:rsidR="00680577" w:rsidRPr="000D67EE" w:rsidRDefault="009D6772" w:rsidP="00680577">
      <w:pPr>
        <w:pStyle w:val="EPBodyTA1"/>
      </w:pPr>
      <w:r w:rsidRPr="000D67EE">
        <w:t>PRIIMTI TEKSTAI</w:t>
      </w:r>
    </w:p>
    <w:p w14:paraId="68ABAC56" w14:textId="77777777" w:rsidR="00D058B8" w:rsidRPr="000D67EE" w:rsidRDefault="00D058B8" w:rsidP="00D058B8">
      <w:pPr>
        <w:pStyle w:val="LineBottom"/>
      </w:pPr>
    </w:p>
    <w:p w14:paraId="5F84FA1F" w14:textId="3D660509" w:rsidR="009D6772" w:rsidRPr="000D67EE" w:rsidRDefault="009D6772" w:rsidP="009D6772">
      <w:pPr>
        <w:pStyle w:val="ATHeading1"/>
      </w:pPr>
      <w:bookmarkStart w:id="0" w:name="TANumber"/>
      <w:r w:rsidRPr="000D67EE">
        <w:t>P10_TA(2026)00</w:t>
      </w:r>
      <w:r w:rsidR="00D56751">
        <w:t>38</w:t>
      </w:r>
      <w:bookmarkEnd w:id="0"/>
    </w:p>
    <w:p w14:paraId="4DB9266C" w14:textId="77777777" w:rsidR="009D6772" w:rsidRPr="000D67EE" w:rsidRDefault="009D6772" w:rsidP="009D6772">
      <w:pPr>
        <w:pStyle w:val="ATHeading2"/>
      </w:pPr>
      <w:bookmarkStart w:id="1" w:name="title"/>
      <w:r w:rsidRPr="000D67EE">
        <w:t>Europos prisitaikymo prie globalizacijos padarinių fondo atleistiems darbuotojams lėšų mobilizavimas pagal Belgijos paraišką „EGF/2025/006 BE/Audi“</w:t>
      </w:r>
      <w:bookmarkEnd w:id="1"/>
    </w:p>
    <w:p w14:paraId="6C453D57" w14:textId="77777777" w:rsidR="009D6772" w:rsidRPr="000D67EE" w:rsidRDefault="009D6772" w:rsidP="009D6772">
      <w:pPr>
        <w:rPr>
          <w:i/>
          <w:vanish/>
        </w:rPr>
      </w:pPr>
      <w:r w:rsidRPr="000D67EE">
        <w:rPr>
          <w:i/>
        </w:rPr>
        <w:fldChar w:fldCharType="begin"/>
      </w:r>
      <w:r w:rsidRPr="000D67EE">
        <w:rPr>
          <w:i/>
        </w:rPr>
        <w:instrText xml:space="preserve"> TC"(</w:instrText>
      </w:r>
      <w:bookmarkStart w:id="2" w:name="DocNumber"/>
      <w:r w:rsidRPr="000D67EE">
        <w:rPr>
          <w:i/>
        </w:rPr>
        <w:instrText>A10-0006/2026</w:instrText>
      </w:r>
      <w:bookmarkEnd w:id="2"/>
      <w:r w:rsidRPr="000D67EE">
        <w:rPr>
          <w:i/>
        </w:rPr>
        <w:instrText xml:space="preserve"> - Pranešėjas: </w:instrText>
      </w:r>
      <w:proofErr w:type="spellStart"/>
      <w:r w:rsidRPr="000D67EE">
        <w:rPr>
          <w:i/>
        </w:rPr>
        <w:instrText>Nicolae</w:instrText>
      </w:r>
      <w:proofErr w:type="spellEnd"/>
      <w:r w:rsidRPr="000D67EE">
        <w:rPr>
          <w:i/>
        </w:rPr>
        <w:instrText xml:space="preserve"> </w:instrText>
      </w:r>
      <w:proofErr w:type="spellStart"/>
      <w:r w:rsidRPr="000D67EE">
        <w:rPr>
          <w:i/>
        </w:rPr>
        <w:instrText>Ștefănuță</w:instrText>
      </w:r>
      <w:proofErr w:type="spellEnd"/>
      <w:r w:rsidRPr="000D67EE">
        <w:rPr>
          <w:i/>
        </w:rPr>
        <w:instrText xml:space="preserve">)"\l3 \n&gt; \* MERGEFORMAT </w:instrText>
      </w:r>
      <w:r w:rsidRPr="000D67EE">
        <w:rPr>
          <w:i/>
        </w:rPr>
        <w:fldChar w:fldCharType="end"/>
      </w:r>
    </w:p>
    <w:p w14:paraId="6A99214D" w14:textId="77777777" w:rsidR="009D6772" w:rsidRPr="000D67EE" w:rsidRDefault="009D6772" w:rsidP="009D6772">
      <w:pPr>
        <w:rPr>
          <w:vanish/>
        </w:rPr>
      </w:pPr>
      <w:bookmarkStart w:id="3" w:name="Commission"/>
      <w:r w:rsidRPr="000D67EE">
        <w:rPr>
          <w:vanish/>
        </w:rPr>
        <w:t>Biudžeto komitetas</w:t>
      </w:r>
      <w:bookmarkEnd w:id="3"/>
    </w:p>
    <w:p w14:paraId="22A608D4" w14:textId="77777777" w:rsidR="009D6772" w:rsidRPr="000D67EE" w:rsidRDefault="009D6772" w:rsidP="009D6772">
      <w:pPr>
        <w:rPr>
          <w:vanish/>
        </w:rPr>
      </w:pPr>
      <w:bookmarkStart w:id="4" w:name="PE"/>
      <w:r w:rsidRPr="000D67EE">
        <w:rPr>
          <w:vanish/>
        </w:rPr>
        <w:t>PE782.226</w:t>
      </w:r>
      <w:bookmarkEnd w:id="4"/>
    </w:p>
    <w:p w14:paraId="1E4F915D" w14:textId="77777777" w:rsidR="009D6772" w:rsidRPr="000D67EE" w:rsidRDefault="009D6772" w:rsidP="009D6772">
      <w:pPr>
        <w:pStyle w:val="ATHeading3"/>
      </w:pPr>
      <w:bookmarkStart w:id="5" w:name="Sujet"/>
      <w:r w:rsidRPr="000D67EE">
        <w:t>2026 m. vasario 11 d. Europos Parlamento rezoliucija dėl pasiūlymo dėl Europos Parlamento ir Tarybos sprendimo dėl Europos prisitaikymo prie globalizacijos padarinių fondo atleistiems darbuotojams lėšų mobilizavimo pagal Belgijos paraišką „EGF/2025/006 BE/Audi“</w:t>
      </w:r>
      <w:bookmarkEnd w:id="5"/>
      <w:r w:rsidRPr="000D67EE">
        <w:t xml:space="preserve"> </w:t>
      </w:r>
      <w:bookmarkStart w:id="6" w:name="References"/>
      <w:r w:rsidRPr="000D67EE">
        <w:t>(COM(2026)0002 – C10-0002/2026 – 2026/0001(BUD))</w:t>
      </w:r>
      <w:bookmarkEnd w:id="6"/>
    </w:p>
    <w:p w14:paraId="3A886F00" w14:textId="77777777" w:rsidR="00A95289" w:rsidRPr="000D67EE" w:rsidRDefault="00A95289" w:rsidP="00A95289">
      <w:pPr>
        <w:pStyle w:val="EPComma"/>
        <w:rPr>
          <w:noProof/>
        </w:rPr>
      </w:pPr>
      <w:r w:rsidRPr="000D67EE">
        <w:rPr>
          <w:i/>
        </w:rPr>
        <w:t>Europos Parlamentas</w:t>
      </w:r>
      <w:r w:rsidRPr="000D67EE">
        <w:t>,</w:t>
      </w:r>
    </w:p>
    <w:p w14:paraId="1F173336" w14:textId="77777777" w:rsidR="00A95289" w:rsidRPr="000D67EE" w:rsidRDefault="00A95289" w:rsidP="00A95289">
      <w:pPr>
        <w:pStyle w:val="NormalHanging12a"/>
        <w:rPr>
          <w:noProof/>
        </w:rPr>
      </w:pPr>
      <w:r w:rsidRPr="000D67EE">
        <w:t>–</w:t>
      </w:r>
      <w:r w:rsidRPr="000D67EE">
        <w:tab/>
        <w:t>atsižvelgdamas į Komisijos pasiūlymą Europos Parlamentui ir Tarybai (COM(2026)0002 – C10-0002/2026),</w:t>
      </w:r>
    </w:p>
    <w:p w14:paraId="58145AC9" w14:textId="77777777" w:rsidR="00A95289" w:rsidRPr="000D67EE" w:rsidRDefault="00A95289" w:rsidP="00A95289">
      <w:pPr>
        <w:pStyle w:val="NormalHanging12a"/>
      </w:pPr>
      <w:r w:rsidRPr="000D67EE">
        <w:t>–</w:t>
      </w:r>
      <w:r w:rsidRPr="000D67EE">
        <w:tab/>
        <w:t>atsižvelgdamas į 2021 m. balandžio 28 d. Europos Parlamento ir Tarybos reglamentą (ES) 2021/691 dėl Europos prisitaikymo prie globalizacijos padarinių fondo atleistiems darbuotojams (EGF), kuriuo panaikinamas Reglamentas (ES) Nr. 1309/2013</w:t>
      </w:r>
      <w:r w:rsidRPr="000D67EE">
        <w:rPr>
          <w:vertAlign w:val="superscript"/>
        </w:rPr>
        <w:footnoteReference w:id="1"/>
      </w:r>
      <w:r w:rsidRPr="000D67EE">
        <w:t xml:space="preserve"> (toliau – EGF reglamentas), </w:t>
      </w:r>
    </w:p>
    <w:p w14:paraId="1FEBA564" w14:textId="77777777" w:rsidR="00A95289" w:rsidRPr="000D67EE" w:rsidRDefault="00A95289" w:rsidP="00A95289">
      <w:pPr>
        <w:pStyle w:val="NormalHanging12a"/>
        <w:rPr>
          <w:noProof/>
        </w:rPr>
      </w:pPr>
      <w:r w:rsidRPr="000D67EE">
        <w:t>–</w:t>
      </w:r>
      <w:r w:rsidRPr="000D67EE">
        <w:tab/>
        <w:t>atsižvelgdamas į 2020 m. gruodžio 17 d. Tarybos reglamentą (ES, Euratomas) 2020/2093, kuriuo nustatoma 2021–2027 m. daugiametė finansinė programa</w:t>
      </w:r>
      <w:r w:rsidRPr="000D67EE">
        <w:rPr>
          <w:noProof/>
          <w:vertAlign w:val="superscript"/>
        </w:rPr>
        <w:footnoteReference w:id="2"/>
      </w:r>
      <w:r w:rsidRPr="000D67EE">
        <w:t>, su pakeitimais, padarytais Reglamentu (ES, Euratomas) 2024/765</w:t>
      </w:r>
      <w:r w:rsidRPr="000D67EE">
        <w:rPr>
          <w:noProof/>
          <w:vertAlign w:val="superscript"/>
        </w:rPr>
        <w:footnoteReference w:id="3"/>
      </w:r>
      <w:r w:rsidRPr="000D67EE">
        <w:t xml:space="preserve"> (toliau –DFP reglamentas), ypač į jo 8 straipsnį, </w:t>
      </w:r>
    </w:p>
    <w:p w14:paraId="2E34B509" w14:textId="77777777" w:rsidR="00A95289" w:rsidRPr="000D67EE" w:rsidRDefault="00A95289" w:rsidP="00A95289">
      <w:pPr>
        <w:pStyle w:val="NormalHanging12a"/>
        <w:rPr>
          <w:noProof/>
        </w:rPr>
      </w:pPr>
      <w:r w:rsidRPr="000D67EE">
        <w:t>–</w:t>
      </w:r>
      <w:r w:rsidRPr="000D67EE">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0D67EE">
        <w:lastRenderedPageBreak/>
        <w:t>nuosavų išteklių, įskaitant veiksmų gaires dėl naujų nuosavų išteklių nustatymo</w:t>
      </w:r>
      <w:r w:rsidRPr="000D67EE">
        <w:rPr>
          <w:rStyle w:val="FootnoteReference"/>
          <w:noProof/>
        </w:rPr>
        <w:footnoteReference w:id="4"/>
      </w:r>
      <w:r w:rsidRPr="000D67EE">
        <w:t>, ypač į jo 9 punktą,</w:t>
      </w:r>
    </w:p>
    <w:p w14:paraId="3711ED97" w14:textId="77777777" w:rsidR="00A95289" w:rsidRPr="000D67EE" w:rsidRDefault="00A95289" w:rsidP="00A95289">
      <w:pPr>
        <w:pStyle w:val="NormalHanging12a"/>
      </w:pPr>
      <w:r w:rsidRPr="000D67EE">
        <w:t>–</w:t>
      </w:r>
      <w:r w:rsidRPr="000D67EE">
        <w:tab/>
        <w:t>atsižvelgdamas į Europos socialinių teisių ramstį,</w:t>
      </w:r>
    </w:p>
    <w:p w14:paraId="45D49318" w14:textId="77777777" w:rsidR="00A95289" w:rsidRPr="000D67EE" w:rsidRDefault="00A95289" w:rsidP="00A95289">
      <w:pPr>
        <w:pStyle w:val="NormalHanging12a"/>
      </w:pPr>
      <w:r w:rsidRPr="000D67EE">
        <w:t>–</w:t>
      </w:r>
      <w:r w:rsidRPr="000D67EE">
        <w:tab/>
        <w:t>atsižvelgdamas į Užimtumo ir socialinių reikalų komiteto laišką,</w:t>
      </w:r>
    </w:p>
    <w:p w14:paraId="071BE660" w14:textId="77777777" w:rsidR="00A95289" w:rsidRPr="000D67EE" w:rsidRDefault="00A95289" w:rsidP="00A95289">
      <w:pPr>
        <w:pStyle w:val="NormalHanging12a"/>
      </w:pPr>
      <w:r w:rsidRPr="000D67EE">
        <w:t>–</w:t>
      </w:r>
      <w:r w:rsidRPr="000D67EE">
        <w:tab/>
        <w:t>atsižvelgdamas į Biudžeto komiteto pranešimą (A10-0006/2026),</w:t>
      </w:r>
    </w:p>
    <w:p w14:paraId="54619E81" w14:textId="77777777" w:rsidR="00A95289" w:rsidRPr="000D67EE" w:rsidRDefault="00A95289" w:rsidP="00A95289">
      <w:pPr>
        <w:pStyle w:val="NormalHanging12a"/>
        <w:rPr>
          <w:noProof/>
        </w:rPr>
      </w:pPr>
      <w:r w:rsidRPr="000D67EE">
        <w:t>A.</w:t>
      </w:r>
      <w:r w:rsidRPr="000D67EE">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w:t>
      </w:r>
    </w:p>
    <w:p w14:paraId="400AAC74" w14:textId="4936C88F" w:rsidR="00A95289" w:rsidRPr="000D67EE" w:rsidRDefault="00A95289" w:rsidP="00A95289">
      <w:pPr>
        <w:pStyle w:val="NormalHanging12a"/>
      </w:pPr>
      <w:r w:rsidRPr="000D67EE">
        <w:t>B.</w:t>
      </w:r>
      <w:r w:rsidRPr="000D67EE">
        <w:tab/>
        <w:t xml:space="preserve">kadangi Belgija pateikė paraišką „EGF/2025/006 BE/Audi“ dėl finansinės paramos iš EGF po to, kai ekonomikos sektoriuje, kuris priskiriamas NACE 2 red. 29 skyriui (Variklinių transporto priemonių, priekabų ir puspriekabių gamyba), Briuselio sostinės regione (BE10), rytų Flandrijos provincijoje (BE23) ir </w:t>
      </w:r>
      <w:proofErr w:type="spellStart"/>
      <w:r w:rsidRPr="000D67EE">
        <w:t>Heno</w:t>
      </w:r>
      <w:proofErr w:type="spellEnd"/>
      <w:r w:rsidRPr="000D67EE">
        <w:t xml:space="preserve"> provincijoje (BE32) buvo atleista 3 414 darbuotojų</w:t>
      </w:r>
      <w:r w:rsidRPr="000D67EE">
        <w:rPr>
          <w:vertAlign w:val="superscript"/>
        </w:rPr>
        <w:footnoteReference w:id="5"/>
      </w:r>
      <w:r w:rsidRPr="000D67EE">
        <w:t>, per ataskaitinį laikotarpį nuo 2025 m. vasario 28 d. iki 2025 m. birželio 28 d. atleisti 3 148 darbuotojai, iš kurių 2 580 darbuotojų buvo atleista iš įmonės „Audi S.A./</w:t>
      </w:r>
      <w:proofErr w:type="spellStart"/>
      <w:r w:rsidRPr="000D67EE">
        <w:t>n.V</w:t>
      </w:r>
      <w:proofErr w:type="spellEnd"/>
      <w:r w:rsidRPr="000D67EE">
        <w:t xml:space="preserve">.“ (toliau – „Audi“) ir jos patronuojamųjų įmonių ir 568 darbuotojai buvo atleisti iš 5 tiekėjų ir tolesnės gamybos grandies įmonių, o 266 darbuotojai buvo atleisti prieš ataskaitinį laikotarpį arba po jo; </w:t>
      </w:r>
    </w:p>
    <w:p w14:paraId="7486C610" w14:textId="77777777" w:rsidR="00A95289" w:rsidRPr="000D67EE" w:rsidRDefault="00A95289" w:rsidP="00A95289">
      <w:pPr>
        <w:pStyle w:val="NormalHanging12a"/>
      </w:pPr>
      <w:r w:rsidRPr="000D67EE">
        <w:t>C.</w:t>
      </w:r>
      <w:r w:rsidRPr="000D67EE">
        <w:tab/>
        <w:t xml:space="preserve">kadangi paraiška grindžiama EGF reglamento 4 straipsnio 2 dalies a punkte nustatytais intervencijos kriterijais; kadangi 266 atleistų darbuotojų, kurių veikla nutrūko prieš keturių mėnesių ataskaitinį laikotarpį arba po jo, atveju galima nustatyti aiškų priežastinį ryšį su įvykiu, dėl kurio ataskaitiniu laikotarpiu nutrūko atleistų darbuotojų veikla, kaip reikalaujama pagal EGF reglamento 6 straipsnio 2 dalį; </w:t>
      </w:r>
    </w:p>
    <w:p w14:paraId="7169518A" w14:textId="2EB4224E" w:rsidR="00A95289" w:rsidRPr="000D67EE" w:rsidRDefault="00A95289" w:rsidP="00A95289">
      <w:pPr>
        <w:pStyle w:val="NormalHanging12a"/>
      </w:pPr>
      <w:r w:rsidRPr="000D67EE">
        <w:t>D.</w:t>
      </w:r>
      <w:r w:rsidRPr="000D67EE">
        <w:tab/>
        <w:t xml:space="preserve">kadangi atitinkamoje „Audi“ gamykloje buvo gaminamas vienintelis modelis ir gamyba buvo nutraukta anksčiau, nei planuota, dėl didelių gamybos sąnaudų, susijusių su gamyklos vieta; kadangi 2025 m. vasario 28 d. gamykla buvo uždaryta; </w:t>
      </w:r>
    </w:p>
    <w:p w14:paraId="706A138A" w14:textId="77777777" w:rsidR="00A95289" w:rsidRPr="000D67EE" w:rsidRDefault="00A95289" w:rsidP="00A95289">
      <w:pPr>
        <w:pStyle w:val="NormalHanging12a"/>
      </w:pPr>
      <w:r w:rsidRPr="000D67EE">
        <w:t>E.</w:t>
      </w:r>
      <w:r w:rsidRPr="000D67EE">
        <w:tab/>
        <w:t>kadangi Belgija teikia nacionalinį išankstinį ir bendrą priemonių finansavimą;</w:t>
      </w:r>
    </w:p>
    <w:p w14:paraId="307C9171" w14:textId="77777777" w:rsidR="00A95289" w:rsidRPr="000D67EE" w:rsidRDefault="00A95289" w:rsidP="00A95289">
      <w:pPr>
        <w:pStyle w:val="NormalHanging12a"/>
      </w:pPr>
      <w:r w:rsidRPr="000D67EE">
        <w:t>F.</w:t>
      </w:r>
      <w:r w:rsidRPr="000D67EE">
        <w:tab/>
        <w:t>kadangi atitinkamos įmonės laikėsi Sąjungos ir nacionalinės teisės aktuose nustatytų su kolektyviniu atleidimu iš darbo susijusių reikalavimų;</w:t>
      </w:r>
    </w:p>
    <w:p w14:paraId="35E45CB7" w14:textId="77777777" w:rsidR="00A95289" w:rsidRPr="000D67EE" w:rsidRDefault="00A95289" w:rsidP="00A95289">
      <w:pPr>
        <w:pStyle w:val="NormalHanging12a"/>
      </w:pPr>
      <w:r w:rsidRPr="000D67EE">
        <w:t>G.</w:t>
      </w:r>
      <w:r w:rsidRPr="000D67EE">
        <w:tab/>
        <w:t xml:space="preserve">kadangi EGF finansinis įnašas pirmiausia turėtų būti skiriamas aktyvios darbo rinkos politikos priemonėms ir prie individualių poreikių pritaikytoms paslaugoms, kuriomis siekiama greitai </w:t>
      </w:r>
      <w:proofErr w:type="spellStart"/>
      <w:r w:rsidRPr="000D67EE">
        <w:t>reintegruoti</w:t>
      </w:r>
      <w:proofErr w:type="spellEnd"/>
      <w:r w:rsidRPr="000D67EE">
        <w:t xml:space="preserve"> paramos gavėjus į darbo rinką padedant jiems gauti deramas ir tvarias darbo vietas, siūlant įgūdžių tobulinimo mokymus, kad jie turėtų geresnes galimybes įsidarbinti, kartu rengiant juos žalesnei ir labiau skaitmeninei Europos ekonomikai;</w:t>
      </w:r>
    </w:p>
    <w:p w14:paraId="14C5A8F5" w14:textId="77777777" w:rsidR="00A95289" w:rsidRPr="000D67EE" w:rsidRDefault="00A95289" w:rsidP="00A95289">
      <w:pPr>
        <w:pStyle w:val="NormalHanging12a"/>
      </w:pPr>
      <w:r w:rsidRPr="000D67EE">
        <w:lastRenderedPageBreak/>
        <w:t>H.</w:t>
      </w:r>
      <w:r w:rsidRPr="000D67EE">
        <w:tab/>
        <w:t>kadangi EGF didžiausia metinė suma neviršija 30 mln. EUR (2018 m. kainomis)</w:t>
      </w:r>
      <w:r w:rsidRPr="000D67EE">
        <w:rPr>
          <w:rStyle w:val="FootnoteReference"/>
        </w:rPr>
        <w:footnoteReference w:id="6"/>
      </w:r>
      <w:r w:rsidRPr="000D67EE">
        <w:t xml:space="preserve">; </w:t>
      </w:r>
    </w:p>
    <w:p w14:paraId="7DEF75A0" w14:textId="77777777" w:rsidR="00A95289" w:rsidRPr="000D67EE" w:rsidRDefault="00A95289" w:rsidP="00A95289">
      <w:pPr>
        <w:pStyle w:val="NormalHanging12a"/>
      </w:pPr>
      <w:r w:rsidRPr="000D67EE">
        <w:t>1.</w:t>
      </w:r>
      <w:r w:rsidRPr="000D67EE">
        <w:tab/>
        <w:t>pritaria Komisijai, kad tenkinamos EGF reglamento ir ypač jo 4 straipsnio 2 dalies a punkte nustatytos sąlygos ir kad Belgija turi teisę pagal šį reglamentą gauti 7 527 625 EUR finansinę paramą, kuri sudaro 85 proc. visų išlaidų, siekiančių 8 856 030 EUR ir apimančių prie individualių poreikių pritaikytų paslaugų išlaidas (8 738 968 EUR) ir parengiamosios, valdymo, informavimo ir viešinimo, kontrolės ir ataskaitų teikimo veiklos išlaidas (117 062 EUR);</w:t>
      </w:r>
    </w:p>
    <w:p w14:paraId="668064EC" w14:textId="1D0B2F25" w:rsidR="00A95289" w:rsidRPr="000D67EE" w:rsidRDefault="00A95289" w:rsidP="00A95289">
      <w:pPr>
        <w:pStyle w:val="NormalHanging12a"/>
      </w:pPr>
      <w:r w:rsidRPr="000D67EE">
        <w:t>2.</w:t>
      </w:r>
      <w:r w:rsidRPr="000D67EE">
        <w:tab/>
        <w:t>pažymi, kad Belgijos valdžios institucijos paraišką pateikė 2025 m. rugsėjo 18 d. ir kad, gavusi iš Belgijos papildomą informaciją, Komisija 2026 m. sausio 9 d. baigė savo vertinimą ir tą pačią dieną informavo Parlamentą; pabrėžia, kad svarbu sutrumpinti laikotarpį nuo paraiškos EGF paramai gauti pateikimo iki sprendimo dėl finansavimo priėmimo, kartu visapusiškai užtikrinant Parlamento, kaip vienos iš biudžeto valdymo institucijų, teises;</w:t>
      </w:r>
    </w:p>
    <w:p w14:paraId="0730B886" w14:textId="511C5A9C" w:rsidR="00A95289" w:rsidRPr="000D67EE" w:rsidRDefault="00A95289" w:rsidP="00B817D2">
      <w:pPr>
        <w:pStyle w:val="NormalHanging12a"/>
      </w:pPr>
      <w:r w:rsidRPr="000D67EE">
        <w:t>3.</w:t>
      </w:r>
      <w:r w:rsidRPr="000D67EE">
        <w:tab/>
        <w:t>pažymi, kad paraiška susijusi su darbuotojais, kurių veikla nutrūko įmonėje „Audi“ ir penkiose jos tiekimo ir tolesnės gamybos grandies įmonėse, ir kad jie visi bus tiksliniai paramos gavėjai;</w:t>
      </w:r>
    </w:p>
    <w:p w14:paraId="377C3EF2" w14:textId="47CCE70A" w:rsidR="00A95289" w:rsidRPr="000D67EE" w:rsidRDefault="00A95289" w:rsidP="00B817D2">
      <w:pPr>
        <w:pStyle w:val="NormalHanging12a"/>
      </w:pPr>
      <w:r w:rsidRPr="000D67EE">
        <w:t>4.</w:t>
      </w:r>
      <w:r w:rsidRPr="000D67EE">
        <w:tab/>
        <w:t xml:space="preserve">atkreipia dėmesį į tai, kad per pastaruosius dvejus metus padidėjęs bankrotų skaičius labai padidino nedarbo lygį kai kuriuose Belgijos regionuose, ypač Briuselyje ir </w:t>
      </w:r>
      <w:proofErr w:type="spellStart"/>
      <w:r w:rsidRPr="000D67EE">
        <w:t>Heno</w:t>
      </w:r>
      <w:proofErr w:type="spellEnd"/>
      <w:r w:rsidRPr="000D67EE">
        <w:t xml:space="preserve"> provincijoje (</w:t>
      </w:r>
      <w:proofErr w:type="spellStart"/>
      <w:r w:rsidRPr="000D67EE">
        <w:t>Valonija</w:t>
      </w:r>
      <w:proofErr w:type="spellEnd"/>
      <w:r w:rsidRPr="000D67EE">
        <w:t>); pabrėžia, kad nedarbo rizika yra susijusi su išsilavinimo lygiu ir kad vienas iš dviejų asmenų, turinčių žemą išsilavinimą, ir vienas iš trijų asmenų, turinčių vidutinį išsilavinimą, susiduria su didesne nedarbo rizika, o šios grupės sudaro 83 proc. atleistų darbuotojų; apgailestauja, kad dėl šių atleidimų padėtis dar labiau pablogės; ragina Belgijos valdžios institucijas imtis priemonių, kad būtų sumažintas bankrotų skaičius siekiant užkirsti kelią struktūriniam ir regioniniam nuosmukiui ir kartu pašalinti socialinius skirtumus, lemiančius darbo jėgos atskirtį, pvz., lyčių nelygybę ir žemą išsilavinimo lygį;</w:t>
      </w:r>
    </w:p>
    <w:p w14:paraId="53FAE544" w14:textId="12FFC4B7" w:rsidR="00A95289" w:rsidRPr="000D67EE" w:rsidRDefault="00A95289" w:rsidP="00B817D2">
      <w:pPr>
        <w:pStyle w:val="NormalHanging12a"/>
      </w:pPr>
      <w:r w:rsidRPr="000D67EE">
        <w:t>5.</w:t>
      </w:r>
      <w:r w:rsidRPr="000D67EE">
        <w:tab/>
        <w:t>pažymi, kad pasaulinei automobilių, ypač elektromobilių, gamybos ir pardavimo rinkai būdinga vis agresyvesnė pasaulinė konkurencija; atkreipia dėmesį į didėjančius iššūkius, su kuriais susiduria Europos automobilių gamintojai, siekdami pateikti rinkai novatoriškus ir įperkamus modelius į ateitį orientuotuose segmentuose, pvz., elektrinių transporto priemonių su baterijomis segmente; apgailestauja, kad įmonė „Audi“ nutraukė veiklą Belgijoje, neatsižvelgiant į tai, kad jos veikla išliko pelninga, ir kad gamyba bus perkelta į Kiniją ir Meksiką bei dėl to atleista 3 414 darbuotojų; su susirūpinimu pažymi, kad sudėtingos gamybos sąlygos, be kita ko, nepakankama prieiga prie pigesnių švarios energijos išteklių ir nepakankamas jų diegimas prisidėjo prie įmonės „Audi“ gamybos vietų perkėlimo už Sąjungos ribų;</w:t>
      </w:r>
    </w:p>
    <w:p w14:paraId="649ACEB3" w14:textId="792A535B" w:rsidR="00A95289" w:rsidRPr="000D67EE" w:rsidRDefault="00A95289" w:rsidP="00B817D2">
      <w:pPr>
        <w:pStyle w:val="NormalHanging12a"/>
      </w:pPr>
      <w:r w:rsidRPr="000D67EE">
        <w:t>6.</w:t>
      </w:r>
      <w:r w:rsidRPr="000D67EE">
        <w:tab/>
        <w:t>pabrėžia, kad gamyklos uždarymas po daugiau kaip 70 veiklos metų, nepaisant elektrinių transporto priemonių gamybos, rodo, kad iššūkiai, su kuriais susiduria Europos pramonė, yra struktūrinio pobūdžio, o ne vien tik technologiniai;</w:t>
      </w:r>
    </w:p>
    <w:p w14:paraId="21F89A8C" w14:textId="67CCB0B5" w:rsidR="00A95289" w:rsidRPr="000D67EE" w:rsidRDefault="00A95289" w:rsidP="00A95289">
      <w:pPr>
        <w:pStyle w:val="NormalHanging12a"/>
      </w:pPr>
      <w:r w:rsidRPr="000D67EE">
        <w:t>7.</w:t>
      </w:r>
      <w:r w:rsidRPr="000D67EE">
        <w:tab/>
        <w:t xml:space="preserve">pabrėžia, kad svarbu rasti tvarų sprendimą, kaip pakeisti uždarytos gamyklos paskirtį, kad regione būtų kuriamos aukštos kokybės darbo vietos; primygtinai ragina Belgijos valdžios institucijas imtis būtinų veiksmų, kad būtų sudarytos palankesnės sąlygos </w:t>
      </w:r>
      <w:r w:rsidRPr="000D67EE">
        <w:lastRenderedPageBreak/>
        <w:t>atidaryti naują gamybos vietą buvusioje „Audi“ gamykloje;</w:t>
      </w:r>
    </w:p>
    <w:p w14:paraId="131DE8A2" w14:textId="32A40A43" w:rsidR="00A95289" w:rsidRPr="000D67EE" w:rsidRDefault="00A95289" w:rsidP="00B817D2">
      <w:pPr>
        <w:pStyle w:val="NormalHanging12a"/>
        <w:ind w:left="720" w:hanging="720"/>
      </w:pPr>
      <w:r w:rsidRPr="000D67EE">
        <w:t>8.</w:t>
      </w:r>
      <w:r w:rsidRPr="000D67EE">
        <w:tab/>
        <w:t>pabrėžia, kad atleistų darbuotojų kvalifikacija ir įgūdžiai tebėra labai svarbūs perspektyviai Europos ekonomikai, kurioje įgyvendinama žalioji pertvarka, kartu išlaikant tvirtą pramoninę bazę; todėl mano, kad EGF lėšų mobilizavimas turi būti įtrauktas į platesnio masto politinį atsaką visais politiniais lygmenimis, siekiant užtikrinti, kad nukentėję darbuotojai turėtų tinkamas galimybes, atitinkančias jų kvalifikaciją ir įgūdžius;</w:t>
      </w:r>
    </w:p>
    <w:p w14:paraId="7D723A02" w14:textId="77777777" w:rsidR="00A95289" w:rsidRPr="000D67EE" w:rsidRDefault="00A95289" w:rsidP="00A95289">
      <w:pPr>
        <w:pStyle w:val="NormalHanging12a"/>
      </w:pPr>
      <w:r w:rsidRPr="000D67EE">
        <w:t>9.</w:t>
      </w:r>
      <w:r w:rsidRPr="000D67EE">
        <w:tab/>
        <w:t>primena, kad pagal susitarimą su profesinėmis sąjungomis ir socialiniais partneriais prie individualių poreikių pritaikytas paslaugas, kurios turi būti teikiamos darbuotojams, sudaro šios priemonės: konsultavimo ir informacinės bei įdarbinimo paslaugos; mokymas, įskaitant IT įgūdžius; darbo mugė; parama verslui steigti; paskatos dalyvauti darbo paieškos veikloje; pabrėžia, kad svarbu skatinti aukštos kokybės, į ateitį orientuotas darbo vietas, kad būtų užtikrintas ilgalaikis ekonominis ir socialinis atsparumas;</w:t>
      </w:r>
    </w:p>
    <w:p w14:paraId="2228508B" w14:textId="77777777" w:rsidR="00A95289" w:rsidRPr="000D67EE" w:rsidRDefault="00A95289" w:rsidP="00A95289">
      <w:pPr>
        <w:pStyle w:val="NormalHanging12a"/>
        <w:rPr>
          <w:bCs/>
          <w:iCs/>
        </w:rPr>
      </w:pPr>
      <w:r w:rsidRPr="000D67EE">
        <w:t>10.</w:t>
      </w:r>
      <w:r w:rsidRPr="000D67EE">
        <w:tab/>
        <w:t>pabrėžia, kad Belgijos valdžios institucijos užtikrina Sąjungos finansavimo matomumą ir pabrėžia jo pridėtinę vertę teikdamos veiksmingą ir tikslinę informaciją paramos gavėjams, regioninėms ir vietos valdžios institucijoms, socialiniams partneriams ir plačiajai visuomenei;</w:t>
      </w:r>
    </w:p>
    <w:p w14:paraId="7FA6BB09" w14:textId="77777777" w:rsidR="00A95289" w:rsidRPr="000D67EE" w:rsidRDefault="00A95289" w:rsidP="00A95289">
      <w:pPr>
        <w:pStyle w:val="NormalHanging12a"/>
      </w:pPr>
      <w:r w:rsidRPr="000D67EE">
        <w:t>11.</w:t>
      </w:r>
      <w:r w:rsidRPr="000D67EE">
        <w:tab/>
        <w:t xml:space="preserve">ragina atlikti išsamius galutinius įgyvendintų priemonių vertinimus, įskaitant aiškią informaciją apie tai, kaip buvo panaudotos lėšos ir ar jas taikant iš tikrųjų pasiekti tikslai, dėl kurių buvo sukurtas EGF, įskaitant duomenis ir terminus, susijusius su sėkmingai į darbo rinką </w:t>
      </w:r>
      <w:proofErr w:type="spellStart"/>
      <w:r w:rsidRPr="000D67EE">
        <w:t>reintegruotų</w:t>
      </w:r>
      <w:proofErr w:type="spellEnd"/>
      <w:r w:rsidRPr="000D67EE">
        <w:t xml:space="preserve"> darbuotojų skaičiumi ir jų darbo vietomis, taip pat informaciją apie asmenis, baigusius mokymo ir kvalifikacijos kėlimo priemones, ir apie atitinkamus terminus;</w:t>
      </w:r>
    </w:p>
    <w:p w14:paraId="3A62409B" w14:textId="77777777" w:rsidR="00A95289" w:rsidRPr="000D67EE" w:rsidRDefault="00A95289" w:rsidP="00A95289">
      <w:pPr>
        <w:pStyle w:val="NormalHanging12a"/>
      </w:pPr>
      <w:r w:rsidRPr="000D67EE">
        <w:t>12.</w:t>
      </w:r>
      <w:r w:rsidRPr="000D67EE">
        <w:tab/>
        <w:t>pažymi, kad Belgija tiksliniams paramos gavėjams prie individualių poreikių pritaikytas paslaugas pradėjo teikti 2025 m. vasario 17 d. ir todėl joms skirtos išlaidos bus laikomos tinkamomis finansuoti iš EGF finansinės paramos nuo tos dienos iki tada, kai sueis 24 mėnesiai nuo finansavimo sprendimo įsigaliojimo dienos;</w:t>
      </w:r>
    </w:p>
    <w:p w14:paraId="6655495B" w14:textId="77777777" w:rsidR="00A95289" w:rsidRPr="000D67EE" w:rsidRDefault="00A95289" w:rsidP="00A95289">
      <w:pPr>
        <w:pStyle w:val="NormalHanging12a"/>
        <w:rPr>
          <w:sz w:val="23"/>
          <w:szCs w:val="23"/>
        </w:rPr>
      </w:pPr>
      <w:r w:rsidRPr="000D67EE">
        <w:t>13.</w:t>
      </w:r>
      <w:r w:rsidRPr="000D67EE">
        <w:tab/>
        <w:t>pažymi, kad pirmąsias administracines išlaidas, susijusias su EGF paramos įgyvendinimu, Belgija patyrė 2024 m. liepos 9 d. ir todėl šios išlaidos bus laikomos tinkamomis finansuoti iš EGF finansinės paramos nuo tos dienos iki tada, kai sueis 31 mėnuo nuo finansavimo sprendimo įsigaliojimo dienos;</w:t>
      </w:r>
    </w:p>
    <w:p w14:paraId="70EC1A19" w14:textId="77777777" w:rsidR="00A95289" w:rsidRPr="000D67EE" w:rsidRDefault="00A95289" w:rsidP="00A95289">
      <w:pPr>
        <w:pStyle w:val="NormalHanging12a"/>
      </w:pPr>
      <w:r w:rsidRPr="000D67EE">
        <w:t>14.</w:t>
      </w:r>
      <w:r w:rsidRPr="000D67EE">
        <w:tab/>
        <w:t>atkreipia dėmesį į tai, kad Belgijos valdžios institucijos patvirtino, jog suteikiant galimybę naudotis siūlomais veiksmais ir juos įgyvendinant bus laikomasi vienodo požiūrio ir nediskriminavimo principų ir kad bus išvengta bet kokio dvigubo finansavimo;</w:t>
      </w:r>
    </w:p>
    <w:p w14:paraId="2CB21C75" w14:textId="77777777" w:rsidR="00A95289" w:rsidRPr="000D67EE" w:rsidRDefault="00A95289" w:rsidP="00A95289">
      <w:pPr>
        <w:pStyle w:val="NormalHanging12a"/>
      </w:pPr>
      <w:r w:rsidRPr="000D67EE">
        <w:t>15.</w:t>
      </w:r>
      <w:r w:rsidRPr="000D67EE">
        <w:tab/>
        <w:t>pakartoja, kad EGF parama neturi pakeisti veiksmų, už kuriuos bendrovės atsakingos pagal nacionalinę teisę ar kolektyvines sutartis;</w:t>
      </w:r>
    </w:p>
    <w:p w14:paraId="47FA7338" w14:textId="77777777" w:rsidR="00A95289" w:rsidRPr="000D67EE" w:rsidRDefault="00A95289" w:rsidP="00A95289">
      <w:pPr>
        <w:pStyle w:val="NormalHanging12a"/>
        <w:rPr>
          <w:bCs/>
          <w:iCs/>
        </w:rPr>
      </w:pPr>
      <w:r w:rsidRPr="000D67EE">
        <w:t>16.</w:t>
      </w:r>
      <w:r w:rsidRPr="000D67EE">
        <w:tab/>
        <w:t xml:space="preserve">primena, kad EGF yra solidarumo ir teisingos pertvarkos priemonė ir, nors pagal jį teikiama parama praradus darbo vietas, jis negali pakeisti aktyvios, nuoseklios ir koordinuotos Sąjungos pramonės politikos, kad būtų išlaikyta Europos pramonės užimtumo bazė ir socialinė apsauga bei ilgalaikis ekonominis ir socialinis atsparumas ir </w:t>
      </w:r>
      <w:r w:rsidRPr="000D67EE">
        <w:lastRenderedPageBreak/>
        <w:t xml:space="preserve">užkirstas kelias regioniniam struktūriniam nuosmukiui; pabrėžia, kad pagrindinė Sąjungos užduotis turi būti visų pirma užkirsti kelią tokiam įmonių uždarymui, sudarant sąlygas naudotis įperkama, švaria ir patikima energija, kad pramonės gamyba išliktų konkurencinga, kartu investuojant į aukštos kvalifikacijos darbuotojų ir pramonės darbuotojų įgūdžius; be to, pabrėžia, kad skubiai reikia nuoseklių ir koordinuotų Sąjungos konkurencingumo pastangų, plėtojamų glaudžiai bendradarbiaujant su valstybėmis narėmis, siekiant apsaugoti Europos pramoninio užimtumo bazę ir socialinę apsaugą, ir pabrėžia, kad tik tvirta ir atspari Europos ekonomika gali padėti veiksmingai užkirsti kelią didelio masto atleidimams iš darbo, taip sumažinant EGF intervencijos poreikį; </w:t>
      </w:r>
    </w:p>
    <w:p w14:paraId="6E230674" w14:textId="77777777" w:rsidR="00A95289" w:rsidRPr="000D67EE" w:rsidRDefault="00A95289" w:rsidP="00A95289">
      <w:pPr>
        <w:pStyle w:val="NormalHanging12a"/>
      </w:pPr>
      <w:r w:rsidRPr="000D67EE">
        <w:t>17.</w:t>
      </w:r>
      <w:r w:rsidRPr="000D67EE">
        <w:tab/>
        <w:t>pritaria prie šios rezoliucijos pridedamam sprendimui;</w:t>
      </w:r>
    </w:p>
    <w:p w14:paraId="50BB8B8C" w14:textId="77777777" w:rsidR="00A95289" w:rsidRPr="000D67EE" w:rsidRDefault="00A95289" w:rsidP="00A95289">
      <w:pPr>
        <w:pStyle w:val="NormalHanging12a"/>
      </w:pPr>
      <w:r w:rsidRPr="000D67EE">
        <w:t>18.</w:t>
      </w:r>
      <w:r w:rsidRPr="000D67EE">
        <w:tab/>
        <w:t xml:space="preserve">paveda Pirmininkei pasirašyti šį sprendimą su Tarybos pirmininku ir užtikrinti, kad jis būtų paskelbtas </w:t>
      </w:r>
      <w:r w:rsidRPr="000D67EE">
        <w:rPr>
          <w:i/>
        </w:rPr>
        <w:t>Europos Sąjungos oficialiajame leidinyje</w:t>
      </w:r>
      <w:r w:rsidRPr="000D67EE">
        <w:t>;</w:t>
      </w:r>
    </w:p>
    <w:p w14:paraId="45E559FE" w14:textId="77777777" w:rsidR="00A95289" w:rsidRPr="000D67EE" w:rsidRDefault="00A95289" w:rsidP="00A95289">
      <w:pPr>
        <w:pStyle w:val="NormalHanging12a"/>
      </w:pPr>
      <w:r w:rsidRPr="000D67EE">
        <w:t>19.</w:t>
      </w:r>
      <w:r w:rsidRPr="000D67EE">
        <w:tab/>
        <w:t>paveda Pirmininkei perduoti šią rezoliuciją ir jos priedą Tarybai ir Komisijai.</w:t>
      </w:r>
    </w:p>
    <w:p w14:paraId="529F0721" w14:textId="77777777" w:rsidR="00A95289" w:rsidRPr="000D67EE" w:rsidRDefault="00A95289" w:rsidP="00A95289">
      <w:pPr>
        <w:rPr>
          <w:noProof/>
        </w:rPr>
      </w:pPr>
    </w:p>
    <w:p w14:paraId="39E153D5" w14:textId="77777777" w:rsidR="00A95289" w:rsidRPr="000D67EE" w:rsidRDefault="00A95289" w:rsidP="00A95289">
      <w:pPr>
        <w:pStyle w:val="NormalHanging12a"/>
        <w:rPr>
          <w:noProof/>
        </w:rPr>
        <w:sectPr w:rsidR="00A95289" w:rsidRPr="000D67EE" w:rsidSect="000D67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352F17" w14:textId="77777777" w:rsidR="00DA4785" w:rsidRPr="005443F5" w:rsidRDefault="00A95289" w:rsidP="00A95289">
      <w:pPr>
        <w:pStyle w:val="PageHeading"/>
        <w:rPr>
          <w:rFonts w:ascii="Times New Roman" w:hAnsi="Times New Roman" w:cs="Times New Roman"/>
        </w:rPr>
      </w:pPr>
      <w:bookmarkStart w:id="7" w:name="_Toc221027392"/>
      <w:r w:rsidRPr="005443F5">
        <w:rPr>
          <w:rFonts w:ascii="Times New Roman" w:hAnsi="Times New Roman" w:cs="Times New Roman"/>
        </w:rPr>
        <w:lastRenderedPageBreak/>
        <w:t>PRIEDAS</w:t>
      </w:r>
    </w:p>
    <w:p w14:paraId="1459D9DD" w14:textId="59DC3DA1" w:rsidR="00A95289" w:rsidRPr="005443F5" w:rsidRDefault="00A95289" w:rsidP="00A95289">
      <w:pPr>
        <w:pStyle w:val="PageHeading"/>
        <w:rPr>
          <w:rFonts w:ascii="Times New Roman" w:hAnsi="Times New Roman" w:cs="Times New Roman"/>
          <w:noProof/>
        </w:rPr>
      </w:pPr>
      <w:r w:rsidRPr="005443F5">
        <w:rPr>
          <w:rFonts w:ascii="Times New Roman" w:hAnsi="Times New Roman" w:cs="Times New Roman"/>
        </w:rPr>
        <w:t>EUROPOS PARLAMENTO IR TARYBOS SPRENDIMAS</w:t>
      </w:r>
      <w:bookmarkEnd w:id="7"/>
    </w:p>
    <w:p w14:paraId="5607B1B3" w14:textId="0D152A05" w:rsidR="00A95289" w:rsidRPr="005443F5" w:rsidRDefault="00A95289" w:rsidP="00DA4785">
      <w:pPr>
        <w:pStyle w:val="NormalBold24a"/>
        <w:jc w:val="center"/>
      </w:pPr>
      <w:r w:rsidRPr="005443F5">
        <w:t>dėl Europos prisitaikymo prie globalizacijos padarinių fondo atleistiems darbuotojams lėšų mobilizavimo pagal Belgijos paraišką „EGF/2025/006 BE/Audi“</w:t>
      </w:r>
    </w:p>
    <w:p w14:paraId="34889D3B" w14:textId="02A6ABAB" w:rsidR="00DA4785" w:rsidRPr="005443F5" w:rsidRDefault="00DA4785" w:rsidP="00DA4785">
      <w:pPr>
        <w:pStyle w:val="NormalHanging12a"/>
        <w:ind w:left="0" w:firstLine="0"/>
        <w:rPr>
          <w:rStyle w:val="italic"/>
          <w:color w:val="000000"/>
        </w:rPr>
      </w:pPr>
      <w:r w:rsidRPr="005443F5">
        <w:rPr>
          <w:rStyle w:val="italic"/>
          <w:color w:val="000000"/>
        </w:rPr>
        <w:t xml:space="preserve">(Kadangi Parlamentas ir Taryba pasiekė susitarimą, Parlamento pozicija atitinka galutinį teisės aktą, </w:t>
      </w:r>
      <w:r w:rsidR="008D56C7">
        <w:rPr>
          <w:rStyle w:val="italic"/>
          <w:color w:val="000000"/>
        </w:rPr>
        <w:t>Sprendim</w:t>
      </w:r>
      <w:r w:rsidRPr="005443F5">
        <w:rPr>
          <w:rStyle w:val="italic"/>
          <w:color w:val="000000"/>
        </w:rPr>
        <w:t>ą (ES) 2026/</w:t>
      </w:r>
      <w:r w:rsidR="00E21D7D" w:rsidRPr="005443F5">
        <w:rPr>
          <w:rStyle w:val="italic"/>
          <w:color w:val="000000"/>
        </w:rPr>
        <w:t>454</w:t>
      </w:r>
      <w:r w:rsidRPr="005443F5">
        <w:rPr>
          <w:rStyle w:val="italic"/>
          <w:color w:val="000000"/>
        </w:rPr>
        <w:t>.)</w:t>
      </w:r>
    </w:p>
    <w:p w14:paraId="650C87E6" w14:textId="77777777" w:rsidR="00DA4785" w:rsidRDefault="00DA4785" w:rsidP="00777FC6">
      <w:pPr>
        <w:pStyle w:val="NormalHanging12a"/>
        <w:rPr>
          <w:rStyle w:val="italic"/>
          <w:color w:val="000000"/>
        </w:rPr>
      </w:pPr>
    </w:p>
    <w:sectPr w:rsidR="00DA4785" w:rsidSect="000D67E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8E6FA" w14:textId="77777777" w:rsidR="009D6772" w:rsidRPr="000D67EE" w:rsidRDefault="009D6772">
      <w:r w:rsidRPr="000D67EE">
        <w:separator/>
      </w:r>
    </w:p>
  </w:endnote>
  <w:endnote w:type="continuationSeparator" w:id="0">
    <w:p w14:paraId="33F59D7D" w14:textId="77777777" w:rsidR="009D6772" w:rsidRPr="000D67EE" w:rsidRDefault="009D6772">
      <w:r w:rsidRPr="000D6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74BC9" w14:textId="77777777" w:rsidR="00A95289" w:rsidRPr="000D67EE" w:rsidRDefault="00A95289" w:rsidP="007B362F">
    <w:pPr>
      <w:pStyle w:val="EPFooter"/>
    </w:pPr>
    <w:r w:rsidRPr="000D67EE">
      <w:t>PE</w:t>
    </w:r>
    <w:r w:rsidRPr="000D67EE">
      <w:rPr>
        <w:rStyle w:val="HideTWBExt"/>
      </w:rPr>
      <w:t>&lt;</w:t>
    </w:r>
    <w:proofErr w:type="spellStart"/>
    <w:r w:rsidRPr="000D67EE">
      <w:rPr>
        <w:rStyle w:val="HideTWBExt"/>
      </w:rPr>
      <w:t>NoPE</w:t>
    </w:r>
    <w:proofErr w:type="spellEnd"/>
    <w:r w:rsidRPr="000D67EE">
      <w:rPr>
        <w:rStyle w:val="HideTWBExt"/>
      </w:rPr>
      <w:t>&gt;</w:t>
    </w:r>
    <w:r w:rsidRPr="000D67EE">
      <w:t>782.226</w:t>
    </w:r>
    <w:r w:rsidRPr="000D67EE">
      <w:rPr>
        <w:rStyle w:val="HideTWBExt"/>
      </w:rPr>
      <w:t>&lt;/</w:t>
    </w:r>
    <w:proofErr w:type="spellStart"/>
    <w:r w:rsidRPr="000D67EE">
      <w:rPr>
        <w:rStyle w:val="HideTWBExt"/>
      </w:rPr>
      <w:t>NoPE</w:t>
    </w:r>
    <w:proofErr w:type="spellEnd"/>
    <w:r w:rsidRPr="000D67EE">
      <w:rPr>
        <w:rStyle w:val="HideTWBExt"/>
      </w:rPr>
      <w:t>&gt;&lt;Version&gt;</w:t>
    </w:r>
    <w:r w:rsidRPr="000D67EE">
      <w:t>v02-00</w:t>
    </w:r>
    <w:r w:rsidRPr="000D67EE">
      <w:rPr>
        <w:rStyle w:val="HideTWBExt"/>
      </w:rPr>
      <w:t>&lt;/</w:t>
    </w:r>
    <w:proofErr w:type="spellStart"/>
    <w:r w:rsidRPr="000D67EE">
      <w:rPr>
        <w:rStyle w:val="HideTWBExt"/>
      </w:rPr>
      <w:t>Version</w:t>
    </w:r>
    <w:proofErr w:type="spellEnd"/>
    <w:r w:rsidRPr="000D67EE">
      <w:rPr>
        <w:rStyle w:val="HideTWBExt"/>
      </w:rPr>
      <w:t>&gt;</w:t>
    </w:r>
    <w:r w:rsidRPr="000D67EE">
      <w:tab/>
    </w:r>
    <w:r w:rsidRPr="000D67EE">
      <w:fldChar w:fldCharType="begin"/>
    </w:r>
    <w:r w:rsidRPr="000D67EE">
      <w:instrText xml:space="preserve"> PAGE  \* MERGEFORMAT </w:instrText>
    </w:r>
    <w:r w:rsidRPr="000D67EE">
      <w:fldChar w:fldCharType="separate"/>
    </w:r>
    <w:r w:rsidRPr="000D67EE">
      <w:rPr>
        <w:noProof/>
      </w:rPr>
      <w:t>1</w:t>
    </w:r>
    <w:r w:rsidRPr="000D67EE">
      <w:fldChar w:fldCharType="end"/>
    </w:r>
    <w:r w:rsidRPr="000D67EE">
      <w:t>/</w:t>
    </w:r>
    <w:r w:rsidR="008D56C7">
      <w:fldChar w:fldCharType="begin"/>
    </w:r>
    <w:r w:rsidR="008D56C7">
      <w:instrText xml:space="preserve"> NUMPAGES  \* MERGEFORMAT </w:instrText>
    </w:r>
    <w:r w:rsidR="008D56C7">
      <w:fldChar w:fldCharType="separate"/>
    </w:r>
    <w:r w:rsidRPr="000D67EE">
      <w:rPr>
        <w:noProof/>
      </w:rPr>
      <w:t>2</w:t>
    </w:r>
    <w:r w:rsidR="008D56C7">
      <w:rPr>
        <w:noProof/>
      </w:rPr>
      <w:fldChar w:fldCharType="end"/>
    </w:r>
    <w:r w:rsidRPr="000D67EE">
      <w:tab/>
    </w:r>
    <w:r w:rsidRPr="000D67EE">
      <w:rPr>
        <w:rStyle w:val="HideTWBExt"/>
      </w:rPr>
      <w:t>&lt;PathFdR&gt;</w:t>
    </w:r>
    <w:r w:rsidRPr="000D67EE">
      <w:t>RR\1336415LT.docx</w:t>
    </w:r>
    <w:r w:rsidRPr="000D67EE">
      <w:rPr>
        <w:rStyle w:val="HideTWBExt"/>
      </w:rPr>
      <w:t>&lt;/</w:t>
    </w:r>
    <w:proofErr w:type="spellStart"/>
    <w:r w:rsidRPr="000D67EE">
      <w:rPr>
        <w:rStyle w:val="HideTWBExt"/>
      </w:rPr>
      <w:t>PathFdR</w:t>
    </w:r>
    <w:proofErr w:type="spellEnd"/>
    <w:r w:rsidRPr="000D67EE">
      <w:rPr>
        <w:rStyle w:val="HideTWBExt"/>
      </w:rPr>
      <w:t>&gt;</w:t>
    </w:r>
  </w:p>
  <w:p w14:paraId="041336D0" w14:textId="77777777" w:rsidR="00A95289" w:rsidRPr="000D67EE" w:rsidRDefault="00A95289" w:rsidP="007B362F">
    <w:pPr>
      <w:pStyle w:val="EPFooter2"/>
    </w:pPr>
    <w:r w:rsidRPr="000D67E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8D023" w14:textId="5EAFA4A9" w:rsidR="00A95289" w:rsidRPr="000D67EE" w:rsidRDefault="00A95289" w:rsidP="007B362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08E6" w14:textId="77777777" w:rsidR="00A95289" w:rsidRPr="000D67EE" w:rsidRDefault="00A95289" w:rsidP="007B362F">
    <w:pPr>
      <w:pStyle w:val="EPFooter"/>
    </w:pPr>
    <w:r w:rsidRPr="000D67EE">
      <w:rPr>
        <w:rStyle w:val="HideTWBExt"/>
      </w:rPr>
      <w:t>&lt;PathFdR&gt;</w:t>
    </w:r>
    <w:r w:rsidRPr="000D67EE">
      <w:t>RR\1336415LT.docx</w:t>
    </w:r>
    <w:r w:rsidRPr="000D67EE">
      <w:rPr>
        <w:rStyle w:val="HideTWBExt"/>
      </w:rPr>
      <w:t>&lt;/</w:t>
    </w:r>
    <w:proofErr w:type="spellStart"/>
    <w:r w:rsidRPr="000D67EE">
      <w:rPr>
        <w:rStyle w:val="HideTWBExt"/>
      </w:rPr>
      <w:t>PathFdR</w:t>
    </w:r>
    <w:proofErr w:type="spellEnd"/>
    <w:r w:rsidRPr="000D67EE">
      <w:rPr>
        <w:rStyle w:val="HideTWBExt"/>
      </w:rPr>
      <w:t>&gt;</w:t>
    </w:r>
    <w:r w:rsidRPr="000D67EE">
      <w:tab/>
    </w:r>
    <w:r w:rsidRPr="000D67EE">
      <w:tab/>
      <w:t>PE</w:t>
    </w:r>
    <w:r w:rsidRPr="000D67EE">
      <w:rPr>
        <w:rStyle w:val="HideTWBExt"/>
      </w:rPr>
      <w:t>&lt;</w:t>
    </w:r>
    <w:proofErr w:type="spellStart"/>
    <w:r w:rsidRPr="000D67EE">
      <w:rPr>
        <w:rStyle w:val="HideTWBExt"/>
      </w:rPr>
      <w:t>NoPE</w:t>
    </w:r>
    <w:proofErr w:type="spellEnd"/>
    <w:r w:rsidRPr="000D67EE">
      <w:rPr>
        <w:rStyle w:val="HideTWBExt"/>
      </w:rPr>
      <w:t>&gt;</w:t>
    </w:r>
    <w:r w:rsidRPr="000D67EE">
      <w:t>782.226</w:t>
    </w:r>
    <w:r w:rsidRPr="000D67EE">
      <w:rPr>
        <w:rStyle w:val="HideTWBExt"/>
      </w:rPr>
      <w:t>&lt;/</w:t>
    </w:r>
    <w:proofErr w:type="spellStart"/>
    <w:r w:rsidRPr="000D67EE">
      <w:rPr>
        <w:rStyle w:val="HideTWBExt"/>
      </w:rPr>
      <w:t>NoPE</w:t>
    </w:r>
    <w:proofErr w:type="spellEnd"/>
    <w:r w:rsidRPr="000D67EE">
      <w:rPr>
        <w:rStyle w:val="HideTWBExt"/>
      </w:rPr>
      <w:t>&gt;&lt;Version&gt;</w:t>
    </w:r>
    <w:r w:rsidRPr="000D67EE">
      <w:t>v02-00</w:t>
    </w:r>
    <w:r w:rsidRPr="000D67EE">
      <w:rPr>
        <w:rStyle w:val="HideTWBExt"/>
      </w:rPr>
      <w:t>&lt;/</w:t>
    </w:r>
    <w:proofErr w:type="spellStart"/>
    <w:r w:rsidRPr="000D67EE">
      <w:rPr>
        <w:rStyle w:val="HideTWBExt"/>
      </w:rPr>
      <w:t>Version</w:t>
    </w:r>
    <w:proofErr w:type="spellEnd"/>
    <w:r w:rsidRPr="000D67EE">
      <w:rPr>
        <w:rStyle w:val="HideTWBExt"/>
      </w:rPr>
      <w:t>&gt;</w:t>
    </w:r>
  </w:p>
  <w:p w14:paraId="38103785" w14:textId="77777777" w:rsidR="00A95289" w:rsidRPr="000D67EE" w:rsidRDefault="00A95289" w:rsidP="007B362F">
    <w:pPr>
      <w:pStyle w:val="EPFooter2"/>
    </w:pPr>
    <w:r w:rsidRPr="000D67EE">
      <w:t>LT</w:t>
    </w:r>
    <w:r w:rsidRPr="000D67EE">
      <w:tab/>
    </w:r>
    <w:r w:rsidRPr="000D67EE">
      <w:rPr>
        <w:b w:val="0"/>
        <w:i/>
        <w:color w:val="C0C0C0"/>
        <w:sz w:val="22"/>
      </w:rPr>
      <w:t>Suvienijusi įvairovę</w:t>
    </w:r>
    <w:r w:rsidRPr="000D67EE">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D565" w14:textId="77777777" w:rsidR="00064002" w:rsidRPr="000D67E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59446" w14:textId="77777777" w:rsidR="00064002" w:rsidRPr="000D67EE"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CFA2" w14:textId="77777777" w:rsidR="00064002" w:rsidRPr="000D67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77D94" w14:textId="77777777" w:rsidR="009D6772" w:rsidRPr="000D67EE" w:rsidRDefault="009D6772">
      <w:r w:rsidRPr="000D67EE">
        <w:separator/>
      </w:r>
    </w:p>
  </w:footnote>
  <w:footnote w:type="continuationSeparator" w:id="0">
    <w:p w14:paraId="443E3A5F" w14:textId="77777777" w:rsidR="009D6772" w:rsidRPr="000D67EE" w:rsidRDefault="009D6772">
      <w:r w:rsidRPr="000D67EE">
        <w:continuationSeparator/>
      </w:r>
    </w:p>
  </w:footnote>
  <w:footnote w:id="1">
    <w:p w14:paraId="50DD3A9D" w14:textId="06C57C9F"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lang w:val="lt-LT"/>
        </w:rPr>
        <w:t xml:space="preserve"> </w:t>
      </w:r>
      <w:r w:rsidR="000D67EE" w:rsidRPr="000D67EE">
        <w:rPr>
          <w:sz w:val="24"/>
          <w:lang w:val="lt-LT"/>
        </w:rPr>
        <w:tab/>
      </w:r>
      <w:r w:rsidRPr="000D67EE">
        <w:rPr>
          <w:sz w:val="24"/>
          <w:lang w:val="lt-LT"/>
        </w:rPr>
        <w:t xml:space="preserve">OL L 153, 2021 5 3, p. 48, ELI: </w:t>
      </w:r>
      <w:hyperlink r:id="rId1" w:history="1">
        <w:r w:rsidRPr="000D67EE">
          <w:rPr>
            <w:rStyle w:val="Hyperlink"/>
            <w:sz w:val="24"/>
            <w:lang w:val="lt-LT"/>
          </w:rPr>
          <w:t>http://data.europa.eu/eli/reg/2021/691/oj</w:t>
        </w:r>
      </w:hyperlink>
      <w:r w:rsidRPr="000D67EE">
        <w:rPr>
          <w:sz w:val="24"/>
          <w:lang w:val="lt-LT"/>
        </w:rPr>
        <w:t>.</w:t>
      </w:r>
    </w:p>
  </w:footnote>
  <w:footnote w:id="2">
    <w:p w14:paraId="521E6BD5" w14:textId="0663CCCD"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lang w:val="lt-LT"/>
        </w:rPr>
        <w:t xml:space="preserve"> </w:t>
      </w:r>
      <w:r w:rsidR="000D67EE" w:rsidRPr="000D67EE">
        <w:rPr>
          <w:sz w:val="24"/>
          <w:lang w:val="lt-LT"/>
        </w:rPr>
        <w:tab/>
      </w:r>
      <w:r w:rsidRPr="000D67EE">
        <w:rPr>
          <w:sz w:val="24"/>
          <w:lang w:val="lt-LT"/>
        </w:rPr>
        <w:t xml:space="preserve">OL L 433 I, 2020 12 22, p. 11, ELI: </w:t>
      </w:r>
      <w:hyperlink r:id="rId2" w:history="1">
        <w:r w:rsidRPr="000D67EE">
          <w:rPr>
            <w:rStyle w:val="Hyperlink"/>
            <w:sz w:val="24"/>
            <w:lang w:val="lt-LT"/>
          </w:rPr>
          <w:t>http://data.europa.eu/eli/reg/2020/2093/oj</w:t>
        </w:r>
      </w:hyperlink>
      <w:r w:rsidRPr="000D67EE">
        <w:rPr>
          <w:sz w:val="24"/>
          <w:lang w:val="lt-LT"/>
        </w:rPr>
        <w:t>.</w:t>
      </w:r>
    </w:p>
  </w:footnote>
  <w:footnote w:id="3">
    <w:p w14:paraId="741B9933" w14:textId="4FE79CEF"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shd w:val="clear" w:color="auto" w:fill="FFFFFF"/>
          <w:lang w:val="lt-LT"/>
        </w:rPr>
        <w:t xml:space="preserve"> </w:t>
      </w:r>
      <w:r w:rsidR="000D67EE" w:rsidRPr="000D67EE">
        <w:rPr>
          <w:sz w:val="24"/>
          <w:shd w:val="clear" w:color="auto" w:fill="FFFFFF"/>
          <w:lang w:val="lt-LT"/>
        </w:rPr>
        <w:tab/>
      </w:r>
      <w:r w:rsidRPr="000D67EE">
        <w:rPr>
          <w:sz w:val="24"/>
          <w:shd w:val="clear" w:color="auto" w:fill="FFFFFF"/>
          <w:lang w:val="lt-LT"/>
        </w:rPr>
        <w:t>2024 m. vasario 29 d. Tarybos reglamentas (ES, Euratomas) 2024/765, kuriuo iš dalies keičiamas Reglamentas (ES, Euratomas) 2020/2093, kuriuo nustatoma 2021–2027 m. daugiametė finansinė programa (OL L, 2024/765, 2024 2 29, ELI:</w:t>
      </w:r>
      <w:r w:rsidRPr="000D67EE">
        <w:rPr>
          <w:color w:val="333333"/>
          <w:sz w:val="24"/>
          <w:shd w:val="clear" w:color="auto" w:fill="FFFFFF"/>
          <w:lang w:val="lt-LT"/>
        </w:rPr>
        <w:t xml:space="preserve"> </w:t>
      </w:r>
      <w:hyperlink r:id="rId3" w:history="1">
        <w:r w:rsidRPr="000D67EE">
          <w:rPr>
            <w:rStyle w:val="Hyperlink"/>
            <w:sz w:val="24"/>
            <w:shd w:val="clear" w:color="auto" w:fill="FFFFFF"/>
            <w:lang w:val="lt-LT"/>
          </w:rPr>
          <w:t>http://data.europa.eu/eli/reg/2024/765/oj</w:t>
        </w:r>
      </w:hyperlink>
      <w:r w:rsidRPr="000D67EE">
        <w:rPr>
          <w:i/>
          <w:color w:val="333333"/>
          <w:sz w:val="24"/>
          <w:shd w:val="clear" w:color="auto" w:fill="FFFFFF"/>
          <w:lang w:val="lt-LT"/>
        </w:rPr>
        <w:t>).</w:t>
      </w:r>
    </w:p>
  </w:footnote>
  <w:footnote w:id="4">
    <w:p w14:paraId="61D13D06" w14:textId="558578E0"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lang w:val="lt-LT"/>
        </w:rPr>
        <w:t xml:space="preserve"> </w:t>
      </w:r>
      <w:r w:rsidR="000D67EE" w:rsidRPr="000D67EE">
        <w:rPr>
          <w:sz w:val="24"/>
          <w:lang w:val="lt-LT"/>
        </w:rPr>
        <w:tab/>
      </w:r>
      <w:r w:rsidRPr="000D67EE">
        <w:rPr>
          <w:sz w:val="24"/>
          <w:lang w:val="lt-LT"/>
        </w:rPr>
        <w:t xml:space="preserve">OL L 433 I, 2020 12 22, p. 28, ELI: </w:t>
      </w:r>
      <w:hyperlink r:id="rId4" w:history="1">
        <w:r w:rsidRPr="000D67EE">
          <w:rPr>
            <w:rStyle w:val="Hyperlink"/>
            <w:sz w:val="24"/>
            <w:lang w:val="lt-LT"/>
          </w:rPr>
          <w:t>http://data.europa.eu/eli/agree_interinstit/2020/1222/oj</w:t>
        </w:r>
      </w:hyperlink>
      <w:r w:rsidRPr="000D67EE">
        <w:rPr>
          <w:sz w:val="24"/>
          <w:lang w:val="lt-LT"/>
        </w:rPr>
        <w:t>.</w:t>
      </w:r>
    </w:p>
  </w:footnote>
  <w:footnote w:id="5">
    <w:p w14:paraId="331F06FE" w14:textId="1795D6E1"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lang w:val="lt-LT"/>
        </w:rPr>
        <w:t xml:space="preserve"> </w:t>
      </w:r>
      <w:r w:rsidR="000D67EE" w:rsidRPr="000D67EE">
        <w:rPr>
          <w:sz w:val="24"/>
          <w:lang w:val="lt-LT"/>
        </w:rPr>
        <w:tab/>
      </w:r>
      <w:r w:rsidRPr="000D67EE">
        <w:rPr>
          <w:sz w:val="24"/>
          <w:lang w:val="lt-LT"/>
        </w:rPr>
        <w:t>Pagal EGF reglamento 3 straipsnį.</w:t>
      </w:r>
    </w:p>
  </w:footnote>
  <w:footnote w:id="6">
    <w:p w14:paraId="485C02C2" w14:textId="2BCA7C6A" w:rsidR="00A95289" w:rsidRPr="000D67EE" w:rsidRDefault="00A95289" w:rsidP="000D67EE">
      <w:pPr>
        <w:pStyle w:val="FootnoteText"/>
        <w:ind w:left="567" w:hanging="567"/>
        <w:rPr>
          <w:sz w:val="24"/>
          <w:lang w:val="lt-LT"/>
        </w:rPr>
      </w:pPr>
      <w:r w:rsidRPr="000D67EE">
        <w:rPr>
          <w:rStyle w:val="FootnoteReference"/>
          <w:sz w:val="24"/>
          <w:lang w:val="lt-LT"/>
        </w:rPr>
        <w:footnoteRef/>
      </w:r>
      <w:r w:rsidR="000D67EE" w:rsidRPr="000D67EE">
        <w:rPr>
          <w:sz w:val="24"/>
          <w:lang w:val="lt-LT"/>
        </w:rPr>
        <w:t xml:space="preserve"> </w:t>
      </w:r>
      <w:r w:rsidR="000D67EE" w:rsidRPr="000D67EE">
        <w:rPr>
          <w:sz w:val="24"/>
          <w:lang w:val="lt-LT"/>
        </w:rPr>
        <w:tab/>
      </w:r>
      <w:r w:rsidRPr="000D67EE">
        <w:rPr>
          <w:sz w:val="24"/>
          <w:lang w:val="lt-LT"/>
        </w:rPr>
        <w:t>DFP reglamento 8 straipsnis.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7E7E7" w14:textId="77777777" w:rsidR="00A95289" w:rsidRPr="000D67EE" w:rsidRDefault="00A95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F241" w14:textId="77777777" w:rsidR="00A95289" w:rsidRPr="000D67EE" w:rsidRDefault="00A95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2FCE1" w14:textId="77777777" w:rsidR="00A95289" w:rsidRPr="000D67EE" w:rsidRDefault="00A95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8230" w14:textId="77777777" w:rsidR="00064002" w:rsidRPr="000D67EE"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D8483" w14:textId="77777777" w:rsidR="00064002" w:rsidRPr="000D67EE"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E0FA" w14:textId="77777777" w:rsidR="00064002" w:rsidRPr="000D67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5048693">
    <w:abstractNumId w:val="9"/>
  </w:num>
  <w:num w:numId="2" w16cid:durableId="1553421660">
    <w:abstractNumId w:val="9"/>
  </w:num>
  <w:num w:numId="3" w16cid:durableId="48770961">
    <w:abstractNumId w:val="7"/>
  </w:num>
  <w:num w:numId="4" w16cid:durableId="1442724295">
    <w:abstractNumId w:val="7"/>
  </w:num>
  <w:num w:numId="5" w16cid:durableId="1558937239">
    <w:abstractNumId w:val="6"/>
  </w:num>
  <w:num w:numId="6" w16cid:durableId="1588151315">
    <w:abstractNumId w:val="6"/>
  </w:num>
  <w:num w:numId="7" w16cid:durableId="404567427">
    <w:abstractNumId w:val="5"/>
  </w:num>
  <w:num w:numId="8" w16cid:durableId="1976369734">
    <w:abstractNumId w:val="5"/>
  </w:num>
  <w:num w:numId="9" w16cid:durableId="1656687709">
    <w:abstractNumId w:val="4"/>
  </w:num>
  <w:num w:numId="10" w16cid:durableId="1342508480">
    <w:abstractNumId w:val="4"/>
  </w:num>
  <w:num w:numId="11" w16cid:durableId="651565521">
    <w:abstractNumId w:val="8"/>
  </w:num>
  <w:num w:numId="12" w16cid:durableId="1344087727">
    <w:abstractNumId w:val="8"/>
  </w:num>
  <w:num w:numId="13" w16cid:durableId="1890072826">
    <w:abstractNumId w:val="3"/>
  </w:num>
  <w:num w:numId="14" w16cid:durableId="496261918">
    <w:abstractNumId w:val="3"/>
  </w:num>
  <w:num w:numId="15" w16cid:durableId="1807620134">
    <w:abstractNumId w:val="2"/>
  </w:num>
  <w:num w:numId="16" w16cid:durableId="1771121521">
    <w:abstractNumId w:val="2"/>
  </w:num>
  <w:num w:numId="17" w16cid:durableId="223688527">
    <w:abstractNumId w:val="1"/>
  </w:num>
  <w:num w:numId="18" w16cid:durableId="753161815">
    <w:abstractNumId w:val="1"/>
  </w:num>
  <w:num w:numId="19" w16cid:durableId="121316642">
    <w:abstractNumId w:val="0"/>
  </w:num>
  <w:num w:numId="20" w16cid:durableId="555354477">
    <w:abstractNumId w:val="0"/>
  </w:num>
  <w:num w:numId="21" w16cid:durableId="1075975265">
    <w:abstractNumId w:val="9"/>
  </w:num>
  <w:num w:numId="22" w16cid:durableId="49430569">
    <w:abstractNumId w:val="7"/>
  </w:num>
  <w:num w:numId="23" w16cid:durableId="503975187">
    <w:abstractNumId w:val="6"/>
  </w:num>
  <w:num w:numId="24" w16cid:durableId="2093548596">
    <w:abstractNumId w:val="5"/>
  </w:num>
  <w:num w:numId="25" w16cid:durableId="218253174">
    <w:abstractNumId w:val="4"/>
  </w:num>
  <w:num w:numId="26" w16cid:durableId="1926760901">
    <w:abstractNumId w:val="8"/>
  </w:num>
  <w:num w:numId="27" w16cid:durableId="1171406180">
    <w:abstractNumId w:val="3"/>
  </w:num>
  <w:num w:numId="28" w16cid:durableId="2112820859">
    <w:abstractNumId w:val="2"/>
  </w:num>
  <w:num w:numId="29" w16cid:durableId="1610426148">
    <w:abstractNumId w:val="1"/>
  </w:num>
  <w:num w:numId="30" w16cid:durableId="1680698846">
    <w:abstractNumId w:val="0"/>
  </w:num>
  <w:num w:numId="31" w16cid:durableId="363215406">
    <w:abstractNumId w:val="9"/>
  </w:num>
  <w:num w:numId="32" w16cid:durableId="103311228">
    <w:abstractNumId w:val="7"/>
  </w:num>
  <w:num w:numId="33" w16cid:durableId="2021159882">
    <w:abstractNumId w:val="6"/>
  </w:num>
  <w:num w:numId="34" w16cid:durableId="1787657837">
    <w:abstractNumId w:val="5"/>
  </w:num>
  <w:num w:numId="35" w16cid:durableId="2113667513">
    <w:abstractNumId w:val="4"/>
  </w:num>
  <w:num w:numId="36" w16cid:durableId="11152000">
    <w:abstractNumId w:val="8"/>
  </w:num>
  <w:num w:numId="37" w16cid:durableId="974717624">
    <w:abstractNumId w:val="3"/>
  </w:num>
  <w:num w:numId="38" w16cid:durableId="1279946055">
    <w:abstractNumId w:val="2"/>
  </w:num>
  <w:num w:numId="39" w16cid:durableId="977686467">
    <w:abstractNumId w:val="1"/>
  </w:num>
  <w:num w:numId="40" w16cid:durableId="318384116">
    <w:abstractNumId w:val="0"/>
  </w:num>
  <w:num w:numId="41" w16cid:durableId="1290739480">
    <w:abstractNumId w:val="10"/>
  </w:num>
  <w:num w:numId="42" w16cid:durableId="1045523483">
    <w:abstractNumId w:val="10"/>
  </w:num>
  <w:num w:numId="43" w16cid:durableId="1078015047">
    <w:abstractNumId w:val="10"/>
  </w:num>
  <w:num w:numId="44" w16cid:durableId="26955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LT"/>
    <w:docVar w:name="dvnumam" w:val="0"/>
    <w:docVar w:name="dvpe" w:val="782.226"/>
    <w:docVar w:name="dvrapporteur" w:val="Pranešėjas: "/>
    <w:docVar w:name="dvtitre" w:val="2026 m. vasario 11 d. Europos Parlamento rezoliucija dėl pasiūlymo dėl Europos Parlamento ir Tarybos sprendimo dėl Europos prisitaikymo prie globalizacijos padarinių fondo atleistiems darbuotojams lėšų mobilizavimo pagal Belgijos paraišką „EGF/2025/006 BE/Audi“(COM(2026)0002 – C10-0002/2026 – 2026/0001(BUD))"/>
  </w:docVars>
  <w:rsids>
    <w:rsidRoot w:val="009D6772"/>
    <w:rsid w:val="00002272"/>
    <w:rsid w:val="00064002"/>
    <w:rsid w:val="000677B9"/>
    <w:rsid w:val="000831BA"/>
    <w:rsid w:val="000A42CC"/>
    <w:rsid w:val="000D67EE"/>
    <w:rsid w:val="000E7DD9"/>
    <w:rsid w:val="0010095E"/>
    <w:rsid w:val="00106FE8"/>
    <w:rsid w:val="00125B37"/>
    <w:rsid w:val="00187494"/>
    <w:rsid w:val="001F32AE"/>
    <w:rsid w:val="002767FF"/>
    <w:rsid w:val="002814BE"/>
    <w:rsid w:val="002B18FE"/>
    <w:rsid w:val="002B5493"/>
    <w:rsid w:val="00343214"/>
    <w:rsid w:val="00361C00"/>
    <w:rsid w:val="00395FA1"/>
    <w:rsid w:val="003A6DE9"/>
    <w:rsid w:val="003E15D4"/>
    <w:rsid w:val="00411CCE"/>
    <w:rsid w:val="0041666E"/>
    <w:rsid w:val="00421060"/>
    <w:rsid w:val="00471C19"/>
    <w:rsid w:val="004867E3"/>
    <w:rsid w:val="00494A28"/>
    <w:rsid w:val="004C0004"/>
    <w:rsid w:val="004C5D52"/>
    <w:rsid w:val="0050519A"/>
    <w:rsid w:val="005072A1"/>
    <w:rsid w:val="00514517"/>
    <w:rsid w:val="005443F5"/>
    <w:rsid w:val="00545827"/>
    <w:rsid w:val="00560270"/>
    <w:rsid w:val="005C2568"/>
    <w:rsid w:val="005F1B17"/>
    <w:rsid w:val="006037C0"/>
    <w:rsid w:val="006268F6"/>
    <w:rsid w:val="00643839"/>
    <w:rsid w:val="006631B6"/>
    <w:rsid w:val="00680577"/>
    <w:rsid w:val="00681EE4"/>
    <w:rsid w:val="006F74FA"/>
    <w:rsid w:val="00731ADD"/>
    <w:rsid w:val="00734777"/>
    <w:rsid w:val="007448AE"/>
    <w:rsid w:val="00747932"/>
    <w:rsid w:val="00751A4A"/>
    <w:rsid w:val="00756632"/>
    <w:rsid w:val="00762C74"/>
    <w:rsid w:val="00777FC6"/>
    <w:rsid w:val="00786EC0"/>
    <w:rsid w:val="007D1690"/>
    <w:rsid w:val="007E22AD"/>
    <w:rsid w:val="00817416"/>
    <w:rsid w:val="00842779"/>
    <w:rsid w:val="00865F67"/>
    <w:rsid w:val="00881A7B"/>
    <w:rsid w:val="008840E5"/>
    <w:rsid w:val="00887B3E"/>
    <w:rsid w:val="008C2AC6"/>
    <w:rsid w:val="008D56C7"/>
    <w:rsid w:val="00930C23"/>
    <w:rsid w:val="0093193B"/>
    <w:rsid w:val="009509D8"/>
    <w:rsid w:val="00950B64"/>
    <w:rsid w:val="00981893"/>
    <w:rsid w:val="009B56B4"/>
    <w:rsid w:val="009D6772"/>
    <w:rsid w:val="009E5766"/>
    <w:rsid w:val="00A1687D"/>
    <w:rsid w:val="00A317A3"/>
    <w:rsid w:val="00A43E52"/>
    <w:rsid w:val="00A4678D"/>
    <w:rsid w:val="00A778C7"/>
    <w:rsid w:val="00A95289"/>
    <w:rsid w:val="00AB441E"/>
    <w:rsid w:val="00AB6293"/>
    <w:rsid w:val="00AE0928"/>
    <w:rsid w:val="00AF3B82"/>
    <w:rsid w:val="00B12E95"/>
    <w:rsid w:val="00B22876"/>
    <w:rsid w:val="00B558F0"/>
    <w:rsid w:val="00B817D2"/>
    <w:rsid w:val="00BA4FD6"/>
    <w:rsid w:val="00BD48FE"/>
    <w:rsid w:val="00BD7BD8"/>
    <w:rsid w:val="00BE6ADC"/>
    <w:rsid w:val="00C05BFE"/>
    <w:rsid w:val="00C23CD4"/>
    <w:rsid w:val="00C61C0C"/>
    <w:rsid w:val="00C941CB"/>
    <w:rsid w:val="00CC2357"/>
    <w:rsid w:val="00CF071A"/>
    <w:rsid w:val="00D058B8"/>
    <w:rsid w:val="00D56751"/>
    <w:rsid w:val="00D56C11"/>
    <w:rsid w:val="00D834A0"/>
    <w:rsid w:val="00D872DF"/>
    <w:rsid w:val="00D91E21"/>
    <w:rsid w:val="00DA2CCA"/>
    <w:rsid w:val="00DA4785"/>
    <w:rsid w:val="00DA7FCD"/>
    <w:rsid w:val="00E21D7D"/>
    <w:rsid w:val="00E365E1"/>
    <w:rsid w:val="00E820A4"/>
    <w:rsid w:val="00E858C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12F2F"/>
  <w15:chartTrackingRefBased/>
  <w15:docId w15:val="{0C631114-026A-4187-BD0E-07A85992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528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95289"/>
    <w:pPr>
      <w:keepNext/>
      <w:spacing w:after="480"/>
      <w:jc w:val="center"/>
    </w:pPr>
    <w:rPr>
      <w:rFonts w:ascii="Arial" w:hAnsi="Arial" w:cs="Arial"/>
      <w:b/>
    </w:rPr>
  </w:style>
  <w:style w:type="paragraph" w:customStyle="1" w:styleId="NormalHanging12a">
    <w:name w:val="NormalHanging12a"/>
    <w:basedOn w:val="Normal"/>
    <w:link w:val="NormalHanging12aChar"/>
    <w:rsid w:val="00A95289"/>
    <w:pPr>
      <w:spacing w:after="240"/>
      <w:ind w:left="567" w:hanging="567"/>
    </w:pPr>
  </w:style>
  <w:style w:type="paragraph" w:styleId="Header">
    <w:name w:val="header"/>
    <w:basedOn w:val="Normal"/>
    <w:link w:val="HeaderChar"/>
    <w:rsid w:val="00A95289"/>
    <w:pPr>
      <w:tabs>
        <w:tab w:val="center" w:pos="4513"/>
        <w:tab w:val="right" w:pos="9026"/>
      </w:tabs>
    </w:pPr>
  </w:style>
  <w:style w:type="character" w:customStyle="1" w:styleId="HeaderChar">
    <w:name w:val="Header Char"/>
    <w:basedOn w:val="DefaultParagraphFont"/>
    <w:link w:val="Header"/>
    <w:rsid w:val="00A95289"/>
    <w:rPr>
      <w:sz w:val="24"/>
      <w:lang w:val="lt-LT"/>
    </w:rPr>
  </w:style>
  <w:style w:type="paragraph" w:customStyle="1" w:styleId="NormalBold24a">
    <w:name w:val="NormalBold24a"/>
    <w:basedOn w:val="Normal"/>
    <w:rsid w:val="00A95289"/>
    <w:pPr>
      <w:spacing w:after="480"/>
    </w:pPr>
    <w:rPr>
      <w:b/>
      <w:bCs/>
    </w:rPr>
  </w:style>
  <w:style w:type="paragraph" w:customStyle="1" w:styleId="EPFooter">
    <w:name w:val="EPFooter"/>
    <w:basedOn w:val="Normal"/>
    <w:rsid w:val="00A95289"/>
    <w:pPr>
      <w:tabs>
        <w:tab w:val="center" w:pos="4535"/>
        <w:tab w:val="right" w:pos="9071"/>
      </w:tabs>
      <w:spacing w:before="240" w:after="240"/>
    </w:pPr>
    <w:rPr>
      <w:color w:val="010000"/>
      <w:sz w:val="22"/>
    </w:rPr>
  </w:style>
  <w:style w:type="paragraph" w:customStyle="1" w:styleId="EPComma">
    <w:name w:val="EPComma"/>
    <w:basedOn w:val="Normal"/>
    <w:rsid w:val="00A95289"/>
    <w:pPr>
      <w:spacing w:before="480" w:after="240"/>
    </w:pPr>
  </w:style>
  <w:style w:type="character" w:styleId="Hyperlink">
    <w:name w:val="Hyperlink"/>
    <w:basedOn w:val="DefaultParagraphFont"/>
    <w:rsid w:val="00A95289"/>
    <w:rPr>
      <w:rFonts w:cs="Times New Roman"/>
      <w:color w:val="0563C1" w:themeColor="hyperlink"/>
      <w:u w:val="single"/>
    </w:rPr>
  </w:style>
  <w:style w:type="character" w:customStyle="1" w:styleId="NormalHanging12aChar">
    <w:name w:val="NormalHanging12a Char"/>
    <w:basedOn w:val="DefaultParagraphFont"/>
    <w:link w:val="NormalHanging12a"/>
    <w:locked/>
    <w:rsid w:val="00A95289"/>
    <w:rPr>
      <w:sz w:val="24"/>
      <w:lang w:val="lt-LT"/>
    </w:rPr>
  </w:style>
  <w:style w:type="character" w:customStyle="1" w:styleId="PageHeadingChar">
    <w:name w:val="PageHeading Char"/>
    <w:basedOn w:val="DefaultParagraphFont"/>
    <w:link w:val="PageHeading"/>
    <w:locked/>
    <w:rsid w:val="00A95289"/>
    <w:rPr>
      <w:rFonts w:ascii="Arial" w:hAnsi="Arial" w:cs="Arial"/>
      <w:b/>
      <w:sz w:val="24"/>
      <w:lang w:val="lt-LT"/>
    </w:rPr>
  </w:style>
  <w:style w:type="paragraph" w:styleId="Revision">
    <w:name w:val="Revision"/>
    <w:hidden/>
    <w:uiPriority w:val="99"/>
    <w:semiHidden/>
    <w:rsid w:val="00777FC6"/>
    <w:rPr>
      <w:sz w:val="24"/>
      <w:lang w:val="lt-LT"/>
    </w:rPr>
  </w:style>
  <w:style w:type="character" w:customStyle="1" w:styleId="italic">
    <w:name w:val="italic"/>
    <w:rsid w:val="00DA47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1554</Words>
  <Characters>10466</Characters>
  <Application>Microsoft Office Word</Application>
  <DocSecurity>0</DocSecurity>
  <Lines>418</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2026-03-24T09:55:00Z</dcterms:created>
  <dcterms:modified xsi:type="dcterms:W3CDTF">2026-03-24T09:55:00Z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P10_TA(2026)0038_</vt:lpwstr>
  </property>
  <property fmtid="{D5CDD505-2E9C-101B-9397-08002B2CF9AE}" pid="4" name="&lt;Type&gt;">
    <vt:lpwstr>RR</vt:lpwstr>
  </property>
</Properties>
</file>