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5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680B51" w14:paraId="1ED2F6B5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42128FA0" w14:textId="6DCE9A66" w:rsidR="00751A4A" w:rsidRPr="00680B51" w:rsidRDefault="008232CE" w:rsidP="0010095E">
            <w:pPr>
              <w:pStyle w:val="EPName"/>
            </w:pPr>
            <w:r w:rsidRPr="00680B51">
              <w:t>Parlament Europejski</w:t>
            </w:r>
          </w:p>
          <w:p w14:paraId="5D1CCC78" w14:textId="77777777" w:rsidR="00751A4A" w:rsidRPr="00680B51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680B51">
              <w:t>2024</w:t>
            </w:r>
            <w:r w:rsidR="00817416" w:rsidRPr="00680B51">
              <w:t>-202</w:t>
            </w:r>
            <w:r w:rsidRPr="00680B51">
              <w:t>9</w:t>
            </w:r>
          </w:p>
        </w:tc>
        <w:tc>
          <w:tcPr>
            <w:tcW w:w="2268" w:type="dxa"/>
            <w:shd w:val="clear" w:color="auto" w:fill="auto"/>
          </w:tcPr>
          <w:p w14:paraId="34DD09EF" w14:textId="77777777" w:rsidR="00751A4A" w:rsidRPr="00680B51" w:rsidRDefault="00187494" w:rsidP="0010095E">
            <w:pPr>
              <w:pStyle w:val="EPLogo"/>
            </w:pPr>
            <w:r w:rsidRPr="00680B51">
              <w:rPr>
                <w:noProof/>
                <w:lang w:eastAsia="ja-JP"/>
              </w:rPr>
              <w:drawing>
                <wp:inline distT="0" distB="0" distL="0" distR="0" wp14:anchorId="3CCEAA4A" wp14:editId="5F67B5B8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E4F5247" w14:textId="77777777" w:rsidR="00D058B8" w:rsidRPr="00680B51" w:rsidRDefault="00D058B8" w:rsidP="004C5D52">
      <w:pPr>
        <w:pStyle w:val="LineTop"/>
      </w:pPr>
    </w:p>
    <w:p w14:paraId="64141D12" w14:textId="4BF6C67B" w:rsidR="00680577" w:rsidRPr="00680B51" w:rsidRDefault="008232CE" w:rsidP="00680577">
      <w:pPr>
        <w:pStyle w:val="EPBodyTA1"/>
      </w:pPr>
      <w:r w:rsidRPr="00680B51">
        <w:t>TEKSTY PRZYJĘTE</w:t>
      </w:r>
    </w:p>
    <w:p w14:paraId="72AC2CFA" w14:textId="77777777" w:rsidR="00D058B8" w:rsidRPr="00680B51" w:rsidRDefault="00D058B8" w:rsidP="00D058B8">
      <w:pPr>
        <w:pStyle w:val="LineBottom"/>
      </w:pPr>
    </w:p>
    <w:p w14:paraId="5AEFEE30" w14:textId="4ECB11C0" w:rsidR="008232CE" w:rsidRPr="00680B51" w:rsidRDefault="008232CE" w:rsidP="008232CE">
      <w:pPr>
        <w:pStyle w:val="ATHeading1"/>
      </w:pPr>
      <w:bookmarkStart w:id="0" w:name="TANumber"/>
      <w:r w:rsidRPr="00680B51">
        <w:t>P10_TA(2026)00</w:t>
      </w:r>
      <w:r w:rsidR="002E6802">
        <w:t>38</w:t>
      </w:r>
      <w:bookmarkEnd w:id="0"/>
    </w:p>
    <w:p w14:paraId="743EDD51" w14:textId="35283DE6" w:rsidR="008232CE" w:rsidRPr="00680B51" w:rsidRDefault="008232CE" w:rsidP="008232CE">
      <w:pPr>
        <w:pStyle w:val="ATHeading2"/>
      </w:pPr>
      <w:bookmarkStart w:id="1" w:name="title"/>
      <w:r w:rsidRPr="00680B51">
        <w:t>Uruchomienie Europejskiego Funduszu Dostosowania do Globalizacji: wniosek EGF/2025/006 BE/</w:t>
      </w:r>
      <w:r w:rsidR="00012512">
        <w:t xml:space="preserve"> </w:t>
      </w:r>
      <w:r w:rsidRPr="00680B51">
        <w:t>Audi – Belgia</w:t>
      </w:r>
      <w:bookmarkEnd w:id="1"/>
    </w:p>
    <w:p w14:paraId="3C5F4612" w14:textId="77777777" w:rsidR="008232CE" w:rsidRPr="00680B51" w:rsidRDefault="008232CE" w:rsidP="008232CE">
      <w:pPr>
        <w:rPr>
          <w:i/>
          <w:vanish/>
        </w:rPr>
      </w:pPr>
      <w:r w:rsidRPr="00680B51">
        <w:rPr>
          <w:i/>
        </w:rPr>
        <w:fldChar w:fldCharType="begin"/>
      </w:r>
      <w:r w:rsidRPr="00680B51">
        <w:rPr>
          <w:i/>
        </w:rPr>
        <w:instrText xml:space="preserve"> TC"(</w:instrText>
      </w:r>
      <w:bookmarkStart w:id="2" w:name="DocNumber"/>
      <w:r w:rsidRPr="00680B51">
        <w:rPr>
          <w:i/>
        </w:rPr>
        <w:instrText>A10-0006/2026</w:instrText>
      </w:r>
      <w:bookmarkEnd w:id="2"/>
      <w:r w:rsidRPr="00680B51">
        <w:rPr>
          <w:i/>
        </w:rPr>
        <w:instrText xml:space="preserve"> - Sprawozdawca: Nicolae Ștefănuță)"\l3 \n&gt; \* MERGEFORMAT </w:instrText>
      </w:r>
      <w:r w:rsidRPr="00680B51">
        <w:rPr>
          <w:i/>
        </w:rPr>
        <w:fldChar w:fldCharType="end"/>
      </w:r>
    </w:p>
    <w:p w14:paraId="26BA9746" w14:textId="77777777" w:rsidR="008232CE" w:rsidRPr="00680B51" w:rsidRDefault="008232CE" w:rsidP="008232CE">
      <w:pPr>
        <w:rPr>
          <w:vanish/>
        </w:rPr>
      </w:pPr>
      <w:bookmarkStart w:id="3" w:name="Commission"/>
      <w:r w:rsidRPr="00680B51">
        <w:rPr>
          <w:vanish/>
        </w:rPr>
        <w:t>Komisja Budżetowa</w:t>
      </w:r>
      <w:bookmarkEnd w:id="3"/>
    </w:p>
    <w:p w14:paraId="3AE1452D" w14:textId="77777777" w:rsidR="008232CE" w:rsidRPr="00680B51" w:rsidRDefault="008232CE" w:rsidP="008232CE">
      <w:pPr>
        <w:rPr>
          <w:vanish/>
        </w:rPr>
      </w:pPr>
      <w:bookmarkStart w:id="4" w:name="PE"/>
      <w:r w:rsidRPr="00680B51">
        <w:rPr>
          <w:vanish/>
        </w:rPr>
        <w:t>PE782.226</w:t>
      </w:r>
      <w:bookmarkEnd w:id="4"/>
    </w:p>
    <w:p w14:paraId="114F1868" w14:textId="71642E12" w:rsidR="008232CE" w:rsidRPr="00680B51" w:rsidRDefault="008232CE" w:rsidP="008232CE">
      <w:pPr>
        <w:pStyle w:val="ATHeading3"/>
      </w:pPr>
      <w:bookmarkStart w:id="5" w:name="Sujet"/>
      <w:r w:rsidRPr="00680B51">
        <w:t xml:space="preserve">Rezolucja Parlamentu Europejskiego z dnia </w:t>
      </w:r>
      <w:r w:rsidR="00962A35">
        <w:t>11 lutego</w:t>
      </w:r>
      <w:r w:rsidRPr="00680B51">
        <w:t xml:space="preserve"> 2026 r. w sprawie wniosku dotyczącego decyzji Parlamentu Europejskiego i Rady w sprawie uruchomienia Europejskiego Funduszu Dostosowania do Globalizacji dla Zwalnianych Pracowników w następstwie wniosku złożonego przez Belgię – EGF/2025/006 BE/Audi</w:t>
      </w:r>
      <w:bookmarkEnd w:id="5"/>
      <w:r w:rsidRPr="00680B51">
        <w:t xml:space="preserve"> </w:t>
      </w:r>
      <w:bookmarkStart w:id="6" w:name="References"/>
      <w:r w:rsidRPr="00680B51">
        <w:t>(COM(2026)0002 – C10-0002/2026 – 2026/0001(BUD))</w:t>
      </w:r>
      <w:bookmarkEnd w:id="6"/>
    </w:p>
    <w:p w14:paraId="288B29C6" w14:textId="77777777" w:rsidR="00CC78FF" w:rsidRPr="00680B51" w:rsidRDefault="00CC78FF" w:rsidP="00CC78FF">
      <w:pPr>
        <w:pStyle w:val="EPComma"/>
        <w:rPr>
          <w:noProof/>
        </w:rPr>
      </w:pPr>
      <w:r w:rsidRPr="00680B51">
        <w:rPr>
          <w:i/>
        </w:rPr>
        <w:t>Parlament Europejski</w:t>
      </w:r>
      <w:r w:rsidRPr="00680B51">
        <w:t>,</w:t>
      </w:r>
    </w:p>
    <w:p w14:paraId="7DCE5B2E" w14:textId="77777777" w:rsidR="00CC78FF" w:rsidRPr="00680B51" w:rsidRDefault="00CC78FF" w:rsidP="00CC78FF">
      <w:pPr>
        <w:pStyle w:val="NormalHanging12a"/>
        <w:rPr>
          <w:noProof/>
        </w:rPr>
      </w:pPr>
      <w:r w:rsidRPr="00680B51">
        <w:t>–</w:t>
      </w:r>
      <w:r w:rsidRPr="00680B51">
        <w:tab/>
        <w:t>uwzględniając wniosek Komisji przedłożony Parlamentowi Europejskiemu i Radzie (COM(2026)0002 – C10-0002/2026),</w:t>
      </w:r>
    </w:p>
    <w:p w14:paraId="708CF423" w14:textId="77777777" w:rsidR="00CC78FF" w:rsidRPr="00680B51" w:rsidRDefault="00CC78FF" w:rsidP="00CC78FF">
      <w:pPr>
        <w:pStyle w:val="NormalHanging12a"/>
      </w:pPr>
      <w:r w:rsidRPr="00680B51">
        <w:t>–</w:t>
      </w:r>
      <w:r w:rsidRPr="00680B51">
        <w:tab/>
        <w:t>uwzględniając rozporządzenie Parlamentu Europejskiego i Rady (UE) 2021/691 z dnia 28 kwietnia 2021 r. w sprawie Europejskiego Funduszu Dostosowania do Globalizacji dla Zwalnianych Pracowników (EFG) oraz uchylenia rozporządzenia (UE) nr 1309/2013</w:t>
      </w:r>
      <w:r w:rsidRPr="00680B51">
        <w:rPr>
          <w:vertAlign w:val="superscript"/>
        </w:rPr>
        <w:footnoteReference w:id="1"/>
      </w:r>
      <w:r w:rsidRPr="00680B51">
        <w:t xml:space="preserve"> („rozporządzenie w sprawie EFG”), </w:t>
      </w:r>
    </w:p>
    <w:p w14:paraId="6A7EC970" w14:textId="77777777" w:rsidR="00CC78FF" w:rsidRPr="00680B51" w:rsidRDefault="00CC78FF" w:rsidP="00CC78FF">
      <w:pPr>
        <w:pStyle w:val="NormalHanging12a"/>
        <w:rPr>
          <w:noProof/>
        </w:rPr>
      </w:pPr>
      <w:r w:rsidRPr="00680B51">
        <w:t>–</w:t>
      </w:r>
      <w:r w:rsidRPr="00680B51">
        <w:tab/>
        <w:t xml:space="preserve">uwzględniając rozporządzenie Rady (UE, </w:t>
      </w:r>
      <w:proofErr w:type="spellStart"/>
      <w:r w:rsidRPr="00680B51">
        <w:t>Euratom</w:t>
      </w:r>
      <w:proofErr w:type="spellEnd"/>
      <w:r w:rsidRPr="00680B51">
        <w:t>) 2020/2093 z dnia 17 grudnia 2020 r. określające wieloletnie ramy finansowe na lata 2021−2027</w:t>
      </w:r>
      <w:r w:rsidRPr="00680B51">
        <w:rPr>
          <w:noProof/>
          <w:vertAlign w:val="superscript"/>
        </w:rPr>
        <w:footnoteReference w:id="2"/>
      </w:r>
      <w:r w:rsidRPr="00680B51">
        <w:t xml:space="preserve">, zmienione rozporządzeniem (UE, </w:t>
      </w:r>
      <w:proofErr w:type="spellStart"/>
      <w:r w:rsidRPr="00680B51">
        <w:t>Euratom</w:t>
      </w:r>
      <w:proofErr w:type="spellEnd"/>
      <w:r w:rsidRPr="00680B51">
        <w:t>) 2024/765</w:t>
      </w:r>
      <w:r w:rsidRPr="00680B51">
        <w:rPr>
          <w:noProof/>
          <w:vertAlign w:val="superscript"/>
        </w:rPr>
        <w:footnoteReference w:id="3"/>
      </w:r>
      <w:r w:rsidRPr="00680B51">
        <w:t xml:space="preserve"> („rozporządzenie w sprawie WRF”), w szczególności jego art. 8, </w:t>
      </w:r>
    </w:p>
    <w:p w14:paraId="1D02CF17" w14:textId="77777777" w:rsidR="00CC78FF" w:rsidRPr="00680B51" w:rsidRDefault="00CC78FF" w:rsidP="00CC78FF">
      <w:pPr>
        <w:pStyle w:val="NormalHanging12a"/>
        <w:rPr>
          <w:noProof/>
        </w:rPr>
      </w:pPr>
      <w:r w:rsidRPr="00680B51">
        <w:t>–</w:t>
      </w:r>
      <w:r w:rsidRPr="00680B51">
        <w:tab/>
        <w:t xml:space="preserve">uwzględniając Porozumienie międzyinstytucjonalne z dnia 16 grudnia 2020 r. między Parlamentem Europejskim, Radą Unii Europejskiej i Komisją Europejską w sprawie dyscypliny budżetowej, współpracy w kwestiach budżetowych i należytego zarządzania </w:t>
      </w:r>
      <w:r w:rsidRPr="00680B51">
        <w:lastRenderedPageBreak/>
        <w:t>finansami oraz w sprawie nowych zasobów własnych, w tym również harmonogramu wprowadzania nowych zasobów własnych</w:t>
      </w:r>
      <w:r w:rsidRPr="00680B51">
        <w:rPr>
          <w:rStyle w:val="FootnoteReference"/>
          <w:noProof/>
        </w:rPr>
        <w:footnoteReference w:id="4"/>
      </w:r>
      <w:r w:rsidRPr="00680B51">
        <w:t>, w szczególności jego pkt 9,</w:t>
      </w:r>
    </w:p>
    <w:p w14:paraId="0FCF736F" w14:textId="77777777" w:rsidR="00CC78FF" w:rsidRPr="00680B51" w:rsidRDefault="00CC78FF" w:rsidP="00CC78FF">
      <w:pPr>
        <w:pStyle w:val="NormalHanging12a"/>
      </w:pPr>
      <w:r w:rsidRPr="00680B51">
        <w:t>–</w:t>
      </w:r>
      <w:r w:rsidRPr="00680B51">
        <w:tab/>
        <w:t>uwzględniając Europejski filar praw socjalnych,</w:t>
      </w:r>
    </w:p>
    <w:p w14:paraId="248C2724" w14:textId="77777777" w:rsidR="00CC78FF" w:rsidRPr="00680B51" w:rsidRDefault="00CC78FF" w:rsidP="00CC78FF">
      <w:pPr>
        <w:pStyle w:val="NormalHanging12a"/>
      </w:pPr>
      <w:r w:rsidRPr="00680B51">
        <w:t>–</w:t>
      </w:r>
      <w:r w:rsidRPr="00680B51">
        <w:tab/>
        <w:t>uwzględniając pismo przesłane przez Komisję Zatrudnienia i Spraw Socjalnych,</w:t>
      </w:r>
    </w:p>
    <w:p w14:paraId="2FC6644D" w14:textId="77777777" w:rsidR="00CC78FF" w:rsidRPr="00680B51" w:rsidRDefault="00CC78FF" w:rsidP="00CC78FF">
      <w:pPr>
        <w:pStyle w:val="NormalHanging12a"/>
      </w:pPr>
      <w:r w:rsidRPr="00680B51">
        <w:t>–</w:t>
      </w:r>
      <w:r w:rsidRPr="00680B51">
        <w:tab/>
        <w:t>uwzględniając sprawozdanie Komisji Budżetowej (A10-0006/2026),</w:t>
      </w:r>
    </w:p>
    <w:p w14:paraId="690297BD" w14:textId="77777777" w:rsidR="00CC78FF" w:rsidRPr="00680B51" w:rsidRDefault="00CC78FF" w:rsidP="00CC78FF">
      <w:pPr>
        <w:pStyle w:val="NormalHanging12a"/>
        <w:rPr>
          <w:noProof/>
        </w:rPr>
      </w:pPr>
      <w:r w:rsidRPr="00680B51">
        <w:t>A.</w:t>
      </w:r>
      <w:r w:rsidRPr="00680B51">
        <w:tab/>
        <w:t>mając na uwadze, że Unia opracowała instrumenty ustawodawcze i budżetowe, za pomocą których udziela dodatkowego wsparcia pracownikom dotkniętym skutkami istotnych działań restrukturyzacyjnych i zmian w strukturze światowego handlu oraz ułatwia im powrót na rynek pracy; mając na uwadze, że pomoc ta ma formę wsparcia finansowego dla pracowników;</w:t>
      </w:r>
    </w:p>
    <w:p w14:paraId="23842F96" w14:textId="77777777" w:rsidR="00CC78FF" w:rsidRPr="00680B51" w:rsidRDefault="00CC78FF" w:rsidP="00CC78FF">
      <w:pPr>
        <w:pStyle w:val="NormalHanging12a"/>
      </w:pPr>
      <w:r w:rsidRPr="00680B51">
        <w:t xml:space="preserve">B. </w:t>
      </w:r>
      <w:r w:rsidRPr="00680B51">
        <w:tab/>
        <w:t>mając na uwadze, że Belgia złożyła wniosek EGF/2025/006 BE/Audi o wkład finansowy z EFG w następstwie 3 414 zwolnień</w:t>
      </w:r>
      <w:r w:rsidRPr="00680B51">
        <w:rPr>
          <w:vertAlign w:val="superscript"/>
        </w:rPr>
        <w:footnoteReference w:id="5"/>
      </w:r>
      <w:r w:rsidRPr="00680B51">
        <w:t xml:space="preserve"> w sektorze działalności gospodarczej zaklasyfikowanym do działu 29 według NACE </w:t>
      </w:r>
      <w:proofErr w:type="spellStart"/>
      <w:r w:rsidRPr="00680B51">
        <w:t>Rev</w:t>
      </w:r>
      <w:proofErr w:type="spellEnd"/>
      <w:r w:rsidRPr="00680B51">
        <w:t xml:space="preserve">. 2 (Produkcja pojazdów samochodowych, przyczep i naczep) w regionach </w:t>
      </w:r>
      <w:proofErr w:type="spellStart"/>
      <w:r w:rsidRPr="00680B51">
        <w:t>Bruxelles</w:t>
      </w:r>
      <w:proofErr w:type="spellEnd"/>
      <w:r w:rsidRPr="00680B51">
        <w:t xml:space="preserve"> </w:t>
      </w:r>
      <w:proofErr w:type="spellStart"/>
      <w:r w:rsidRPr="00680B51">
        <w:t>Capitale</w:t>
      </w:r>
      <w:proofErr w:type="spellEnd"/>
      <w:r w:rsidRPr="00680B51">
        <w:t xml:space="preserve"> (BE10), </w:t>
      </w:r>
      <w:proofErr w:type="spellStart"/>
      <w:r w:rsidRPr="00680B51">
        <w:t>Provincie</w:t>
      </w:r>
      <w:proofErr w:type="spellEnd"/>
      <w:r w:rsidRPr="00680B51">
        <w:t xml:space="preserve"> </w:t>
      </w:r>
      <w:proofErr w:type="spellStart"/>
      <w:r w:rsidRPr="00680B51">
        <w:t>Oost-Vlaanderen</w:t>
      </w:r>
      <w:proofErr w:type="spellEnd"/>
      <w:r w:rsidRPr="00680B51">
        <w:t xml:space="preserve"> (BE23) i </w:t>
      </w:r>
      <w:proofErr w:type="spellStart"/>
      <w:r w:rsidRPr="00680B51">
        <w:t>Province</w:t>
      </w:r>
      <w:proofErr w:type="spellEnd"/>
      <w:r w:rsidRPr="00680B51">
        <w:t xml:space="preserve"> </w:t>
      </w:r>
      <w:proofErr w:type="spellStart"/>
      <w:r w:rsidRPr="00680B51">
        <w:t>Hainaut</w:t>
      </w:r>
      <w:proofErr w:type="spellEnd"/>
      <w:r w:rsidRPr="00680B51">
        <w:t xml:space="preserve"> (BE32), przy czym 3 148 zwolnień nastąpiło w okresie odniesienia od 28 lutego 2025 r. do 28 czerwca 2025 r. – na co składa się 2 580 zwolnień w przedsiębiorstwie Audi S.A./</w:t>
      </w:r>
      <w:proofErr w:type="spellStart"/>
      <w:r w:rsidRPr="00680B51">
        <w:t>n.V</w:t>
      </w:r>
      <w:proofErr w:type="spellEnd"/>
      <w:r w:rsidRPr="00680B51">
        <w:t xml:space="preserve">. (Audi) i jego jednostkach zależnych oraz 568 zwolnień u pięciu dostawców i producentów na wcześniejszych etapach w łańcuchu dostaw – a także 266 zwolnień przed okresem odniesienia lub po nim; </w:t>
      </w:r>
    </w:p>
    <w:p w14:paraId="212265FC" w14:textId="77777777" w:rsidR="00CC78FF" w:rsidRPr="00680B51" w:rsidRDefault="00CC78FF" w:rsidP="00CC78FF">
      <w:pPr>
        <w:pStyle w:val="NormalHanging12a"/>
      </w:pPr>
      <w:r w:rsidRPr="00680B51">
        <w:t>C.</w:t>
      </w:r>
      <w:r w:rsidRPr="00680B51">
        <w:tab/>
        <w:t xml:space="preserve">mając na uwadze, że wniosek opiera się na kryteriach interwencji określonych w art. 4 ust. 2 lit. a) rozporządzenia w sprawie EFG; mając na uwadze, że w przypadku 266 zwolnionych pracowników, którzy zaprzestali działalności przed czteromiesięcznym okresem odniesienia lub po nim, można ustalić wyraźny związek przyczynowy ze zdarzeniem, które doprowadziło do zaprzestania działalności przez zwolnionych pracowników w okresie odniesienia, zgodnie z wymogami art. 6 ust. 2 rozporządzenia w sprawie EFG; </w:t>
      </w:r>
    </w:p>
    <w:p w14:paraId="3FAF3BE1" w14:textId="77777777" w:rsidR="00CC78FF" w:rsidRPr="00680B51" w:rsidRDefault="00CC78FF" w:rsidP="00CC78FF">
      <w:pPr>
        <w:pStyle w:val="NormalHanging12a"/>
      </w:pPr>
      <w:r w:rsidRPr="00680B51">
        <w:t xml:space="preserve">D. </w:t>
      </w:r>
      <w:r w:rsidRPr="00680B51">
        <w:tab/>
        <w:t xml:space="preserve">mając na uwadze, że we wspomnianym zakładzie Audi produkowano tylko jeden model, a produkcji zaprzestano wcześniej niż planowano ze względu na wysokie koszty związane z lokalizacją zakładu; mając na uwadze, że zakład zamknięto 28 lutego 2025 r.; </w:t>
      </w:r>
    </w:p>
    <w:p w14:paraId="4098FD95" w14:textId="77777777" w:rsidR="00CC78FF" w:rsidRPr="00680B51" w:rsidRDefault="00CC78FF" w:rsidP="00CC78FF">
      <w:pPr>
        <w:pStyle w:val="NormalHanging12a"/>
      </w:pPr>
      <w:r w:rsidRPr="00680B51">
        <w:t>E.</w:t>
      </w:r>
      <w:r w:rsidRPr="00680B51">
        <w:tab/>
        <w:t>mając na uwadze, że Belgia wypłaca zaliczki na poczet wspomnianych środków i je współfinansuje;</w:t>
      </w:r>
    </w:p>
    <w:p w14:paraId="4845049C" w14:textId="77777777" w:rsidR="00CC78FF" w:rsidRPr="00680B51" w:rsidRDefault="00CC78FF" w:rsidP="00CC78FF">
      <w:pPr>
        <w:pStyle w:val="NormalHanging12a"/>
      </w:pPr>
      <w:r w:rsidRPr="00680B51">
        <w:t>F.</w:t>
      </w:r>
      <w:r w:rsidRPr="00680B51">
        <w:tab/>
        <w:t>mając na uwadze, że odpowiednie przedsiębiorstwa spełniły wymogi przepisów unijnych i krajowych dotyczących zwolnień grupowych;</w:t>
      </w:r>
    </w:p>
    <w:p w14:paraId="1ACEB974" w14:textId="77777777" w:rsidR="00CC78FF" w:rsidRPr="00680B51" w:rsidRDefault="00CC78FF" w:rsidP="00CC78FF">
      <w:pPr>
        <w:pStyle w:val="NormalHanging12a"/>
      </w:pPr>
      <w:r w:rsidRPr="00680B51">
        <w:t>G.</w:t>
      </w:r>
      <w:r w:rsidRPr="00680B51">
        <w:tab/>
        <w:t xml:space="preserve">mając na uwadze, że wkłady finansowe z EFG powinny być ukierunkowane przede </w:t>
      </w:r>
      <w:r w:rsidRPr="00680B51">
        <w:lastRenderedPageBreak/>
        <w:t>wszystkim na środki aktywnej polityki rynku pracy i zindywidualizowane usługi, które mają na celu szybką reintegrację beneficjentów przez umożliwienie im godnego i trwałego zatrudnienia, takie jak szkolenia rozwijające umiejętności, które ułatwią beneficjentom wejście na rynek pracy, a zarazem przygotują ich do funkcjonowania w bardziej ekologicznej i cyfrowej gospodarce europejskiej;</w:t>
      </w:r>
    </w:p>
    <w:p w14:paraId="07AD5662" w14:textId="77777777" w:rsidR="00CC78FF" w:rsidRPr="00680B51" w:rsidRDefault="00CC78FF" w:rsidP="00CC78FF">
      <w:pPr>
        <w:pStyle w:val="NormalHanging12a"/>
      </w:pPr>
      <w:r w:rsidRPr="00680B51">
        <w:t>H.</w:t>
      </w:r>
      <w:r w:rsidRPr="00680B51">
        <w:tab/>
        <w:t>mając na uwadze, że wkłady finansowe z EFG nie mogą przekroczyć maksymalnej rocznej kwoty 30 mln EUR (w cenach z 2018 r.)</w:t>
      </w:r>
      <w:r w:rsidRPr="00680B51">
        <w:rPr>
          <w:rStyle w:val="FootnoteReference"/>
        </w:rPr>
        <w:footnoteReference w:id="6"/>
      </w:r>
      <w:r w:rsidRPr="00680B51">
        <w:t xml:space="preserve">; </w:t>
      </w:r>
    </w:p>
    <w:p w14:paraId="1FD7ACC5" w14:textId="77777777" w:rsidR="00CC78FF" w:rsidRPr="00680B51" w:rsidRDefault="00CC78FF" w:rsidP="00CC78FF">
      <w:pPr>
        <w:pStyle w:val="NormalHanging12a"/>
      </w:pPr>
      <w:r w:rsidRPr="00680B51">
        <w:t>1.</w:t>
      </w:r>
      <w:r w:rsidRPr="00680B51">
        <w:tab/>
        <w:t>zgadza się z Komisją, że spełniono warunki wymienione w rozporządzeniu w sprawie EFG, a w szczególności w jego art. 4 ust. 2 lit. a), i że Belgia ma prawo do wkładu finansowego w wysokości 7 527 625 EUR na mocy tego rozporządzenia, co stanowi 85 % łącznych kosztów wynoszących 8 856 030 EUR (wliczając wydatki na zindywidualizowane usługi w wysokości 8 738 968 EUR oraz wydatki na działania przygotowawcze, zarządzanie, informacje, reklamy, kontrolę i sprawozdawczość w wysokości 117 062 EUR);</w:t>
      </w:r>
    </w:p>
    <w:p w14:paraId="300BB9C4" w14:textId="45F727DE" w:rsidR="00CC78FF" w:rsidRPr="00680B51" w:rsidRDefault="00CC78FF" w:rsidP="00CC78FF">
      <w:pPr>
        <w:pStyle w:val="NormalHanging12a"/>
      </w:pPr>
      <w:r w:rsidRPr="00680B51">
        <w:t xml:space="preserve">2. </w:t>
      </w:r>
      <w:r w:rsidRPr="00680B51">
        <w:tab/>
        <w:t>zauważa, że władze belgijskie złożyły wniosek 18 września 2025 r. oraz że Komisja – po tym, jak otrzymała od Belgii dodatkowe informacje – zakończyła jego ocenę 9 stycznia 2026 r. i tego samego dnia przekazała ją Parlamentowi; podkreśla, jak ważne jest skrócenie czasu między złożeniem wniosku o pomoc z EFG a decyzją w sprawie finansowania przy jednoczesnym pełnym zabezpieczeniu praw Parlamentu jako jednego z organów władzy budżetowej;</w:t>
      </w:r>
    </w:p>
    <w:p w14:paraId="4CE25085" w14:textId="77777777" w:rsidR="00CC78FF" w:rsidRPr="00680B51" w:rsidRDefault="00CC78FF" w:rsidP="00CC78FF">
      <w:pPr>
        <w:pStyle w:val="NormalHanging12a"/>
      </w:pPr>
      <w:r w:rsidRPr="00680B51">
        <w:t>3.</w:t>
      </w:r>
      <w:r w:rsidRPr="00680B51">
        <w:tab/>
        <w:t>zauważa, że wniosek dotyczy pracowników, którzy zaprzestali pracy dla Audi oraz dla pięciu dostawców i producentów na wcześniejszych etapach w łańcuchu dostaw, oraz że wszyscy oni będą beneficjentami pomocy;</w:t>
      </w:r>
    </w:p>
    <w:p w14:paraId="77B11996" w14:textId="77777777" w:rsidR="00CC78FF" w:rsidRPr="00680B51" w:rsidRDefault="00CC78FF" w:rsidP="00CC78FF">
      <w:pPr>
        <w:pStyle w:val="NormalHanging12a"/>
      </w:pPr>
      <w:r w:rsidRPr="00680B51">
        <w:t>4.</w:t>
      </w:r>
      <w:r w:rsidRPr="00680B51">
        <w:tab/>
        <w:t xml:space="preserve">zauważa, że wzrost liczby upadłości w ciągu ostatnich dwóch lat znacznie podniósł stopę bezrobocia w niektórych regionach Belgii, zwłaszcza w Brukseli i </w:t>
      </w:r>
      <w:proofErr w:type="spellStart"/>
      <w:r w:rsidRPr="00680B51">
        <w:t>Hainaut</w:t>
      </w:r>
      <w:proofErr w:type="spellEnd"/>
      <w:r w:rsidRPr="00680B51">
        <w:t xml:space="preserve"> (Walonia); podkreśla, że ryzyko bezrobocia jest skorelowane z poziomem wykształcenia – połowa osób o wykształceniu podstawowym i jedna trzecia osób o wykształceniu średnim są bardziej narażone na ryzyko bezrobocia, a reprezentanci tych grup stanowią 83 % zwalnianych pracowników; ubolewa, że zwolnienia, których dotyczy wniosek, jeszcze bardziej pogorszą sytuację; wzywa władze belgijskie do podjęcia działań, które zmniejszą liczbę upadłości, tak aby zapobiec strukturalnemu i regionalnemu regresowi, a zarazem do wyeliminowania dysproporcji społecznych, które prowadzą do wykluczenia pracowników, takich jak różnice w traktowaniu kobiet i mężczyzn oraz niski poziom wykształcenia;</w:t>
      </w:r>
    </w:p>
    <w:p w14:paraId="1ACB1B72" w14:textId="77777777" w:rsidR="00CC78FF" w:rsidRPr="00680B51" w:rsidRDefault="00CC78FF" w:rsidP="00CC78FF">
      <w:pPr>
        <w:pStyle w:val="NormalHanging12a"/>
        <w:rPr>
          <w:noProof/>
        </w:rPr>
      </w:pPr>
      <w:r w:rsidRPr="00680B51">
        <w:t>5.</w:t>
      </w:r>
      <w:r w:rsidRPr="00680B51">
        <w:tab/>
        <w:t xml:space="preserve">zauważa, że światowy rynek produkcji i sprzedaży samochodów, w szczególności samochodów elektrycznych, charakteryzuje się coraz bardziej agresywną konkurencją globalną; podkreśla rosnące wyzwania stojące przed europejskimi producentami samochodów w związku z wprowadzaniem na rynek innowacyjnych i przystępnych cenowo modeli w przyszłościowych segmentach, takich jak pojazdy elektryczne o napędzie akumulatorowym;  ubolewa, że pomimo rentowności przedsiębiorstwo Audi zaprzestało działalności w Belgii oraz że produkcja zostanie przeniesiona do Chin i </w:t>
      </w:r>
      <w:r w:rsidRPr="00680B51">
        <w:lastRenderedPageBreak/>
        <w:t>Meksyku, co doprowadziło do zwolnienia 3 414 pracowników; zauważa z zaniepokojeniem, że trudne warunki produkcji, w tym niewystarczający dostęp i wdrożenie tańszych źródeł energii, przyczyniły się do relokacji zakładów Audi poza Unię;</w:t>
      </w:r>
    </w:p>
    <w:p w14:paraId="05ACCE40" w14:textId="77777777" w:rsidR="00CC78FF" w:rsidRPr="00680B51" w:rsidRDefault="00CC78FF" w:rsidP="00CC78FF">
      <w:pPr>
        <w:pStyle w:val="NormalHanging12a"/>
        <w:rPr>
          <w:bCs/>
          <w:iCs/>
        </w:rPr>
      </w:pPr>
      <w:r w:rsidRPr="00680B51">
        <w:t>6.</w:t>
      </w:r>
      <w:r w:rsidRPr="00680B51">
        <w:tab/>
        <w:t>podkreśla, że zamknięcie zakładu po ponad 70 latach eksploatacji, mimo produkowania w nim pojazdów elektrycznych, pokazuje, że wyzwania stojące przed przemysłem europejskim mają charakter strukturalny, a nie wyłącznie technologiczny;</w:t>
      </w:r>
    </w:p>
    <w:p w14:paraId="7A69239A" w14:textId="77777777" w:rsidR="00CC78FF" w:rsidRPr="00680B51" w:rsidRDefault="00CC78FF" w:rsidP="00CC78FF">
      <w:pPr>
        <w:pStyle w:val="NormalHanging12a"/>
      </w:pPr>
      <w:r w:rsidRPr="00680B51">
        <w:t xml:space="preserve">7. </w:t>
      </w:r>
      <w:r w:rsidRPr="00680B51">
        <w:tab/>
        <w:t>podkreśla, jak ważne jest znalezienie trwałego rozwiązania, które umożliwi zmianę przeznaczenia zamkniętej fabryki, tak aby stworzyć wysokiej jakości miejsca pracy w regionie; wzywa władze belgijskie, by podjęły niezbędne działania, które ułatwią otwarcie nowego zakładu produkcyjnego w byłej fabryce Audi;</w:t>
      </w:r>
    </w:p>
    <w:p w14:paraId="2E87D471" w14:textId="77777777" w:rsidR="00CC78FF" w:rsidRPr="00680B51" w:rsidRDefault="00CC78FF" w:rsidP="00CC78FF">
      <w:pPr>
        <w:pStyle w:val="NormalHanging12a"/>
        <w:ind w:left="720" w:hanging="720"/>
        <w:rPr>
          <w:bCs/>
          <w:iCs/>
        </w:rPr>
      </w:pPr>
      <w:r w:rsidRPr="00680B51">
        <w:t>8.</w:t>
      </w:r>
      <w:r w:rsidRPr="00680B51">
        <w:tab/>
        <w:t>podkreśla, że kwalifikacje i umiejętności zwolnionych pracowników mają kluczowe znaczenie dla przygotowanej na przyszłe wyzwania gospodarki europejskiej, która dokonuje transformacji ekologicznej, a jednocześnie utrzymuje silną bazę przemysłową; uważa w związku z tym, że uruchomienie EFG musi być częścią szerszej reakcji politycznej na wszystkich szczeblach politycznych, która zagwarantuje zwolnionym pracownikom odpowiednie możliwości zatrudnienia zgodne z ich kwalifikacjami i umiejętnościami;</w:t>
      </w:r>
    </w:p>
    <w:p w14:paraId="2BEDB284" w14:textId="77777777" w:rsidR="00CC78FF" w:rsidRPr="00680B51" w:rsidRDefault="00CC78FF" w:rsidP="00CC78FF">
      <w:pPr>
        <w:pStyle w:val="NormalHanging12a"/>
      </w:pPr>
      <w:r w:rsidRPr="00680B51">
        <w:t>9.</w:t>
      </w:r>
      <w:r w:rsidRPr="00680B51">
        <w:tab/>
        <w:t xml:space="preserve">przypomina, że zgodnie z porozumieniem zawartym ze związkami zawodowymi i z partnerami społecznymi na rzecz pracowników mają być świadczone następujące spersonalizowane usługi: usługi w obszarze doradztwa, informacji i pośrednictwa pracy; szkolenia, w tym w zakresie umiejętności informatycznych; wydarzenie poświęcone poszukiwaniu pracy (ang. </w:t>
      </w:r>
      <w:proofErr w:type="spellStart"/>
      <w:r w:rsidRPr="00680B51">
        <w:t>job</w:t>
      </w:r>
      <w:proofErr w:type="spellEnd"/>
      <w:r w:rsidRPr="00680B51">
        <w:t xml:space="preserve"> </w:t>
      </w:r>
      <w:proofErr w:type="spellStart"/>
      <w:r w:rsidRPr="00680B51">
        <w:t>day</w:t>
      </w:r>
      <w:proofErr w:type="spellEnd"/>
      <w:r w:rsidRPr="00680B51">
        <w:t>); pomoc finansowa na założenie działalności gospodarczej; zachęty do działań w zakresie poszukiwania pracy; podkreśla, jak ważne jest wspieranie wysokiej jakości, zorientowanych na przyszłość miejsc pracy, aby zagwarantować długoterminową odporność gospodarczą i społeczną;</w:t>
      </w:r>
    </w:p>
    <w:p w14:paraId="58E64605" w14:textId="77777777" w:rsidR="00CC78FF" w:rsidRPr="00680B51" w:rsidRDefault="00CC78FF" w:rsidP="00CC78FF">
      <w:pPr>
        <w:pStyle w:val="NormalHanging12a"/>
        <w:rPr>
          <w:bCs/>
          <w:iCs/>
        </w:rPr>
      </w:pPr>
      <w:r w:rsidRPr="00680B51">
        <w:t>10.</w:t>
      </w:r>
      <w:r w:rsidRPr="00680B51">
        <w:tab/>
        <w:t>podkreśla, że władze belgijskie powinny zapewnić widoczność finansowania unijnego i zwracać uwagę na jego wartość dodaną za pomocą skutecznych i ukierunkowanych informacji dla beneficjentów, władz regionalnych i lokalnych, partnerów społecznych i ogółu społeczeństwa;</w:t>
      </w:r>
    </w:p>
    <w:p w14:paraId="15192661" w14:textId="77777777" w:rsidR="00CC78FF" w:rsidRPr="00680B51" w:rsidRDefault="00CC78FF" w:rsidP="00CC78FF">
      <w:pPr>
        <w:pStyle w:val="NormalHanging12a"/>
      </w:pPr>
      <w:r w:rsidRPr="00680B51">
        <w:t>11.</w:t>
      </w:r>
      <w:r w:rsidRPr="00680B51">
        <w:tab/>
        <w:t xml:space="preserve">apeluje o przeprowadzenie gruntownych ocen końcowych wdrożonych środków, w tym o przedstawienie jasnych informacji o sposobie wykorzystania funduszy i tego, czy udało się dzięki nim osiągnąć </w:t>
      </w:r>
      <w:proofErr w:type="gramStart"/>
      <w:r w:rsidRPr="00680B51">
        <w:t>cele</w:t>
      </w:r>
      <w:proofErr w:type="gramEnd"/>
      <w:r w:rsidRPr="00680B51">
        <w:t xml:space="preserve"> dla których powstał EFG, w tym danych i kalendarium dotyczących liczby pracowników, którzy pomyślnie wrócili na rynek pracy, oraz uzyskanego przez nich zatrudnienia, a także dotyczących osób, które ukończyły szkolenia i podniosły swoje kwalifikacje, wraz z odpowiednimi kalendariami;</w:t>
      </w:r>
    </w:p>
    <w:p w14:paraId="00E214AF" w14:textId="77777777" w:rsidR="00CC78FF" w:rsidRPr="00680B51" w:rsidRDefault="00CC78FF" w:rsidP="00CC78FF">
      <w:pPr>
        <w:pStyle w:val="NormalHanging12a"/>
      </w:pPr>
      <w:r w:rsidRPr="00680B51">
        <w:t>12.</w:t>
      </w:r>
      <w:r w:rsidRPr="00680B51">
        <w:tab/>
        <w:t>stwierdza, że 17 lutego 2025 r. Belgia rozpoczęła świadczenie zindywidualizowanych usług na rzecz beneficjentów, a zatem okres kwalifikowalności do otrzymania wkładu finansowego z EFG będzie trwał od tego dnia do dnia przypadającego 24 miesiące od daty wejścia w życie decyzji w sprawie finansowania;</w:t>
      </w:r>
    </w:p>
    <w:p w14:paraId="7C402EF3" w14:textId="77777777" w:rsidR="00CC78FF" w:rsidRPr="00680B51" w:rsidRDefault="00CC78FF" w:rsidP="00CC78FF">
      <w:pPr>
        <w:pStyle w:val="NormalHanging12a"/>
        <w:rPr>
          <w:sz w:val="23"/>
          <w:szCs w:val="23"/>
        </w:rPr>
      </w:pPr>
      <w:r w:rsidRPr="00680B51">
        <w:lastRenderedPageBreak/>
        <w:t>13.</w:t>
      </w:r>
      <w:r w:rsidRPr="00680B51">
        <w:tab/>
        <w:t>stwierdza, że Belgia zaczęła ponosić wydatki administracyjne związane z wdrażaniem EFG 9 lipca 2024 r. i że takie wydatki kwalifikują się do wkładu finansowego z EFG od tego dnia do dnia przypadającego 31 miesięcy od daty wejścia w życie decyzji w sprawie finansowania;</w:t>
      </w:r>
    </w:p>
    <w:p w14:paraId="45561504" w14:textId="77777777" w:rsidR="00CC78FF" w:rsidRPr="00680B51" w:rsidRDefault="00CC78FF" w:rsidP="00CC78FF">
      <w:pPr>
        <w:pStyle w:val="NormalHanging12a"/>
      </w:pPr>
      <w:r w:rsidRPr="00680B51">
        <w:t>14.</w:t>
      </w:r>
      <w:r w:rsidRPr="00680B51">
        <w:tab/>
        <w:t>zauważa, że władze belgijskie potwierdziły, iż przy dostępie do proponowanych działań i ich wdrażaniu przestrzegane będą zasady równego traktowania i niedyskryminacji oraz że będzie się zapobiegać ewentualnym przypadkom podwójnego finansowania;</w:t>
      </w:r>
    </w:p>
    <w:p w14:paraId="12711FAF" w14:textId="77777777" w:rsidR="00CC78FF" w:rsidRPr="00680B51" w:rsidRDefault="00CC78FF" w:rsidP="00CC78FF">
      <w:pPr>
        <w:pStyle w:val="NormalHanging12a"/>
      </w:pPr>
      <w:r w:rsidRPr="00680B51">
        <w:t>15.</w:t>
      </w:r>
      <w:r w:rsidRPr="00680B51">
        <w:tab/>
        <w:t>przypomina, że pomoc z EFG nie może zastępować działań, za które na mocy prawa krajowego lub układów zbiorowych odpowiedzialne są przedsiębiorstwa;</w:t>
      </w:r>
    </w:p>
    <w:p w14:paraId="18D93F43" w14:textId="77777777" w:rsidR="00CC78FF" w:rsidRPr="00680B51" w:rsidRDefault="00CC78FF" w:rsidP="00CC78FF">
      <w:pPr>
        <w:pStyle w:val="NormalHanging12a"/>
        <w:rPr>
          <w:bCs/>
          <w:iCs/>
        </w:rPr>
      </w:pPr>
      <w:r w:rsidRPr="00680B51">
        <w:t>16.</w:t>
      </w:r>
      <w:r w:rsidRPr="00680B51">
        <w:tab/>
        <w:t xml:space="preserve">przypomina, że EFG jest instrumentem solidarności i sprawiedliwej transformacji oraz że – chociaż zapewnia on wsparcie po utracie miejsc pracy – nie może zastąpić proaktywnej, spójnej i skoordynowanej polityki przemysłowej Unii na rzecz ochrony europejskiej bazy zatrudnienia w przemyśle, zabezpieczenia społecznego oraz długoterminowej odporności gospodarczej i społecznej, a także na rzecz zapobiegania regionalnemu regresowi strukturalnemu; podkreśla, że Unia musi koncentrować się na zapobieganiu takim zamknięciom zakładów, tworząc warunki dla dostaw przystępnej cenowo, czystej i niezawodnej energii, co pozwoli jej utrzymać konkurencyjność produkcji przemysłowej, oraz inwestując w rozwój umiejętności zarówno wysoko wykwalifikowanych pracowników, jak i pracowników przemysłowych; ponadto podkreśla, że Unia musi pilnie podjąć spójne i skoordynowane działania na rzecz konkurencyjności, opracowane w ścisłej współpracy z państwami członkowskimi, w celu ochrony europejskiej bazy zatrudnienia w przemyśle i zabezpieczenia społecznego, a także podkreśla, że jedynie solidna i odporna gospodarka europejska może skutecznie zapobiegać zwolnieniom na dużą skalę, co ograniczy potrzebę wypłat z EFG; </w:t>
      </w:r>
    </w:p>
    <w:p w14:paraId="615CBA24" w14:textId="77777777" w:rsidR="00CC78FF" w:rsidRPr="00680B51" w:rsidRDefault="00CC78FF" w:rsidP="00CC78FF">
      <w:pPr>
        <w:pStyle w:val="NormalHanging12a"/>
      </w:pPr>
      <w:r w:rsidRPr="00680B51">
        <w:t>17.</w:t>
      </w:r>
      <w:r w:rsidRPr="00680B51">
        <w:tab/>
        <w:t>zatwierdza decyzję załączoną do rezolucji;</w:t>
      </w:r>
    </w:p>
    <w:p w14:paraId="3D5DD7E3" w14:textId="77777777" w:rsidR="00CC78FF" w:rsidRPr="00680B51" w:rsidRDefault="00CC78FF" w:rsidP="00CC78FF">
      <w:pPr>
        <w:pStyle w:val="NormalHanging12a"/>
      </w:pPr>
      <w:r w:rsidRPr="00680B51">
        <w:t>18.</w:t>
      </w:r>
      <w:r w:rsidRPr="00680B51">
        <w:tab/>
        <w:t xml:space="preserve">zobowiązuje swoją przewodniczącą, by wraz z przewodniczącym Rady podpisała niniejszą decyzję i zadbała o jej publikację w </w:t>
      </w:r>
      <w:r w:rsidRPr="00680B51">
        <w:rPr>
          <w:i/>
        </w:rPr>
        <w:t>Dzienniku Urzędowym Unii Europejskiej</w:t>
      </w:r>
      <w:r w:rsidRPr="00680B51">
        <w:t>;</w:t>
      </w:r>
    </w:p>
    <w:p w14:paraId="542FED04" w14:textId="77777777" w:rsidR="00CC78FF" w:rsidRPr="00680B51" w:rsidRDefault="00CC78FF" w:rsidP="00CC78FF">
      <w:pPr>
        <w:pStyle w:val="NormalHanging12a"/>
      </w:pPr>
      <w:r w:rsidRPr="00680B51">
        <w:t>19.</w:t>
      </w:r>
      <w:r w:rsidRPr="00680B51">
        <w:tab/>
        <w:t>zobowiązuje swoją przewodniczącą do przekazania niniejszej rezolucji wraz z załącznikiem Radzie i Komisji.</w:t>
      </w:r>
    </w:p>
    <w:p w14:paraId="4DA48C37" w14:textId="77777777" w:rsidR="00CC78FF" w:rsidRPr="00680B51" w:rsidRDefault="00CC78FF" w:rsidP="00CC78FF">
      <w:pPr>
        <w:pStyle w:val="NormalHanging12a"/>
      </w:pPr>
    </w:p>
    <w:p w14:paraId="3CA40B0C" w14:textId="77777777" w:rsidR="00CC78FF" w:rsidRPr="00680B51" w:rsidRDefault="00CC78FF" w:rsidP="00CC78FF">
      <w:pPr>
        <w:pStyle w:val="NormalHanging12a"/>
      </w:pPr>
    </w:p>
    <w:p w14:paraId="7C48A8DE" w14:textId="77777777" w:rsidR="00CC78FF" w:rsidRPr="00680B51" w:rsidRDefault="00CC78FF" w:rsidP="00CC78FF">
      <w:pPr>
        <w:rPr>
          <w:noProof/>
        </w:rPr>
      </w:pPr>
    </w:p>
    <w:p w14:paraId="0A8340DE" w14:textId="77777777" w:rsidR="00CC78FF" w:rsidRPr="00680B51" w:rsidRDefault="00CC78FF" w:rsidP="00CC78FF">
      <w:pPr>
        <w:pStyle w:val="PageHeading"/>
        <w:rPr>
          <w:noProof/>
        </w:rPr>
        <w:sectPr w:rsidR="00CC78FF" w:rsidRPr="00680B51" w:rsidSect="00680B51">
          <w:headerReference w:type="even" r:id="rId9"/>
          <w:headerReference w:type="default" r:id="rId10"/>
          <w:footerReference w:type="even" r:id="rId11"/>
          <w:footerReference w:type="default" r:id="rId12"/>
          <w:footerReference w:type="first" r:id="rId13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260DFBEA" w14:textId="77777777" w:rsidR="00A1680D" w:rsidRDefault="00CC78FF" w:rsidP="00CC78FF">
      <w:pPr>
        <w:pStyle w:val="PageHeading"/>
        <w:rPr>
          <w:rFonts w:ascii="Times New Roman" w:hAnsi="Times New Roman" w:cs="Times New Roman"/>
        </w:rPr>
      </w:pPr>
      <w:bookmarkStart w:id="7" w:name="_Toc221179172"/>
      <w:r w:rsidRPr="00A1680D">
        <w:rPr>
          <w:rFonts w:ascii="Times New Roman" w:hAnsi="Times New Roman" w:cs="Times New Roman"/>
        </w:rPr>
        <w:lastRenderedPageBreak/>
        <w:t>ZAŁĄCZNIK</w:t>
      </w:r>
      <w:bookmarkStart w:id="8" w:name="_Hlk219192825"/>
    </w:p>
    <w:p w14:paraId="685C2DA2" w14:textId="4E1C12E7" w:rsidR="00CC78FF" w:rsidRPr="00A1680D" w:rsidRDefault="00CC78FF" w:rsidP="00CC78FF">
      <w:pPr>
        <w:pStyle w:val="PageHeading"/>
        <w:rPr>
          <w:rFonts w:ascii="Times New Roman" w:hAnsi="Times New Roman" w:cs="Times New Roman"/>
        </w:rPr>
      </w:pPr>
      <w:r w:rsidRPr="00A1680D">
        <w:rPr>
          <w:rFonts w:ascii="Times New Roman" w:hAnsi="Times New Roman" w:cs="Times New Roman"/>
        </w:rPr>
        <w:t>DECYZJA PARLAMENTU EUROPEJSKIEGO I RADY</w:t>
      </w:r>
      <w:bookmarkEnd w:id="7"/>
    </w:p>
    <w:p w14:paraId="334F8767" w14:textId="275B711B" w:rsidR="00CC78FF" w:rsidRDefault="00CC78FF" w:rsidP="00A1680D">
      <w:pPr>
        <w:pStyle w:val="NormalHanging12a"/>
        <w:ind w:left="0" w:firstLine="0"/>
        <w:jc w:val="center"/>
        <w:rPr>
          <w:b/>
        </w:rPr>
      </w:pPr>
      <w:bookmarkStart w:id="9" w:name="_Hlk212804276"/>
      <w:bookmarkStart w:id="10" w:name="_Hlk212804598"/>
      <w:r w:rsidRPr="00680B51">
        <w:rPr>
          <w:b/>
        </w:rPr>
        <w:t>w sprawie uruchomienia Europejskiego Funduszu Dostosowania do Globalizacji dla Zwalnianych Pracowników w następstwie wniosku złożonego przez Belgię – EGF/2025/006 BE/Audi</w:t>
      </w:r>
    </w:p>
    <w:p w14:paraId="16391A8A" w14:textId="71ED301C" w:rsidR="00A1680D" w:rsidRPr="00680B51" w:rsidRDefault="00A1680D" w:rsidP="00CC78FF">
      <w:pPr>
        <w:pStyle w:val="NormalHanging12a"/>
        <w:ind w:left="0" w:firstLine="0"/>
        <w:rPr>
          <w:b/>
          <w:bCs/>
        </w:rPr>
      </w:pPr>
      <w:r w:rsidRPr="00D550EC">
        <w:rPr>
          <w:i/>
        </w:rPr>
        <w:t xml:space="preserve">(Tekst tego załącznika nie został powtórzony w tym miejscu, ponieważ odpowiada on końcowej wersji decyzji </w:t>
      </w:r>
      <w:r>
        <w:rPr>
          <w:i/>
        </w:rPr>
        <w:t xml:space="preserve">(UE) </w:t>
      </w:r>
      <w:r w:rsidRPr="00D550EC">
        <w:rPr>
          <w:i/>
        </w:rPr>
        <w:t>20</w:t>
      </w:r>
      <w:r>
        <w:rPr>
          <w:i/>
        </w:rPr>
        <w:t>26</w:t>
      </w:r>
      <w:r w:rsidRPr="00D550EC">
        <w:rPr>
          <w:i/>
        </w:rPr>
        <w:t>/</w:t>
      </w:r>
      <w:r>
        <w:rPr>
          <w:i/>
        </w:rPr>
        <w:t>454</w:t>
      </w:r>
      <w:r w:rsidRPr="00D550EC">
        <w:rPr>
          <w:i/>
        </w:rPr>
        <w:t>.)</w:t>
      </w:r>
    </w:p>
    <w:bookmarkEnd w:id="9"/>
    <w:bookmarkEnd w:id="10"/>
    <w:bookmarkEnd w:id="8"/>
    <w:sectPr w:rsidR="00A1680D" w:rsidRPr="00680B51" w:rsidSect="00680B51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84D27E" w14:textId="77777777" w:rsidR="008232CE" w:rsidRPr="00680B51" w:rsidRDefault="008232CE">
      <w:r w:rsidRPr="00680B51">
        <w:separator/>
      </w:r>
    </w:p>
  </w:endnote>
  <w:endnote w:type="continuationSeparator" w:id="0">
    <w:p w14:paraId="44E32AAF" w14:textId="77777777" w:rsidR="008232CE" w:rsidRPr="00680B51" w:rsidRDefault="008232CE">
      <w:r w:rsidRPr="00680B5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F4597B" w14:textId="77777777" w:rsidR="00CC78FF" w:rsidRPr="00680B51" w:rsidRDefault="00CC78FF" w:rsidP="00674F0D">
    <w:pPr>
      <w:pStyle w:val="EPFooter"/>
    </w:pPr>
    <w:r w:rsidRPr="00680B51">
      <w:t>PE</w:t>
    </w:r>
    <w:r w:rsidRPr="00680B51">
      <w:rPr>
        <w:rStyle w:val="HideTWBExt"/>
      </w:rPr>
      <w:t>&lt;NoPE&gt;</w:t>
    </w:r>
    <w:r w:rsidRPr="00680B51">
      <w:t>782.226</w:t>
    </w:r>
    <w:r w:rsidRPr="00680B51">
      <w:rPr>
        <w:rStyle w:val="HideTWBExt"/>
      </w:rPr>
      <w:t>&lt;/NoPE&gt;&lt;Version&gt;</w:t>
    </w:r>
    <w:r w:rsidRPr="00680B51">
      <w:t>v02-00</w:t>
    </w:r>
    <w:r w:rsidRPr="00680B51">
      <w:rPr>
        <w:rStyle w:val="HideTWBExt"/>
      </w:rPr>
      <w:t>&lt;/Version&gt;</w:t>
    </w:r>
    <w:r w:rsidRPr="00680B51">
      <w:tab/>
    </w:r>
    <w:r w:rsidRPr="00680B51">
      <w:fldChar w:fldCharType="begin"/>
    </w:r>
    <w:r w:rsidRPr="00680B51">
      <w:instrText xml:space="preserve"> PAGE  \* MERGEFORMAT </w:instrText>
    </w:r>
    <w:r w:rsidRPr="00680B51">
      <w:fldChar w:fldCharType="separate"/>
    </w:r>
    <w:r w:rsidRPr="00680B51">
      <w:rPr>
        <w:noProof/>
      </w:rPr>
      <w:t>2</w:t>
    </w:r>
    <w:r w:rsidRPr="00680B51">
      <w:fldChar w:fldCharType="end"/>
    </w:r>
    <w:r w:rsidRPr="00680B51">
      <w:t>/</w:t>
    </w:r>
    <w:fldSimple w:instr=" NUMPAGES  \* MERGEFORMAT ">
      <w:r w:rsidRPr="00680B51">
        <w:rPr>
          <w:noProof/>
        </w:rPr>
        <w:t>20</w:t>
      </w:r>
    </w:fldSimple>
    <w:r w:rsidRPr="00680B51">
      <w:tab/>
    </w:r>
    <w:r w:rsidRPr="00680B51">
      <w:rPr>
        <w:rStyle w:val="HideTWBExt"/>
      </w:rPr>
      <w:t>&lt;PathFdR&gt;</w:t>
    </w:r>
    <w:r w:rsidRPr="00680B51">
      <w:t>RR\1336415PL.docx</w:t>
    </w:r>
    <w:r w:rsidRPr="00680B51">
      <w:rPr>
        <w:rStyle w:val="HideTWBExt"/>
      </w:rPr>
      <w:t>&lt;/PathFdR&gt;</w:t>
    </w:r>
  </w:p>
  <w:p w14:paraId="3019AF48" w14:textId="77777777" w:rsidR="00CC78FF" w:rsidRPr="00680B51" w:rsidRDefault="00CC78FF" w:rsidP="00674F0D">
    <w:pPr>
      <w:pStyle w:val="EPFooter2"/>
    </w:pPr>
    <w:r w:rsidRPr="00680B51">
      <w:t>PL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EB888B" w14:textId="3E16697D" w:rsidR="00CC78FF" w:rsidRPr="00012512" w:rsidRDefault="00CC78FF" w:rsidP="00674F0D">
    <w:pPr>
      <w:pStyle w:val="EPFooter2"/>
      <w:rPr>
        <w:b w:val="0"/>
        <w:bCs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9061CD" w14:textId="77777777" w:rsidR="00CC78FF" w:rsidRPr="00680B51" w:rsidRDefault="00CC78FF" w:rsidP="00674F0D">
    <w:pPr>
      <w:pStyle w:val="EPFooter"/>
    </w:pPr>
    <w:r w:rsidRPr="00680B51">
      <w:rPr>
        <w:rStyle w:val="HideTWBExt"/>
      </w:rPr>
      <w:t>&lt;PathFdR&gt;</w:t>
    </w:r>
    <w:r w:rsidRPr="00680B51">
      <w:t>RR\1336415PL.docx</w:t>
    </w:r>
    <w:r w:rsidRPr="00680B51">
      <w:rPr>
        <w:rStyle w:val="HideTWBExt"/>
      </w:rPr>
      <w:t>&lt;/PathFdR&gt;</w:t>
    </w:r>
    <w:r w:rsidRPr="00680B51">
      <w:tab/>
    </w:r>
    <w:r w:rsidRPr="00680B51">
      <w:tab/>
      <w:t>PE</w:t>
    </w:r>
    <w:r w:rsidRPr="00680B51">
      <w:rPr>
        <w:rStyle w:val="HideTWBExt"/>
      </w:rPr>
      <w:t>&lt;NoPE&gt;</w:t>
    </w:r>
    <w:r w:rsidRPr="00680B51">
      <w:t>782.226</w:t>
    </w:r>
    <w:r w:rsidRPr="00680B51">
      <w:rPr>
        <w:rStyle w:val="HideTWBExt"/>
      </w:rPr>
      <w:t>&lt;/NoPE&gt;&lt;Version&gt;</w:t>
    </w:r>
    <w:r w:rsidRPr="00680B51">
      <w:t>v02-00</w:t>
    </w:r>
    <w:r w:rsidRPr="00680B51">
      <w:rPr>
        <w:rStyle w:val="HideTWBExt"/>
      </w:rPr>
      <w:t>&lt;/Version&gt;</w:t>
    </w:r>
  </w:p>
  <w:p w14:paraId="3304FD05" w14:textId="77777777" w:rsidR="00CC78FF" w:rsidRPr="00680B51" w:rsidRDefault="00CC78FF" w:rsidP="00674F0D">
    <w:pPr>
      <w:pStyle w:val="EPFooter2"/>
    </w:pPr>
    <w:r w:rsidRPr="00680B51">
      <w:t>PL</w:t>
    </w:r>
    <w:r w:rsidRPr="00680B51">
      <w:tab/>
    </w:r>
    <w:r w:rsidRPr="00680B51">
      <w:rPr>
        <w:b w:val="0"/>
        <w:i/>
        <w:color w:val="C0C0C0"/>
        <w:sz w:val="22"/>
      </w:rPr>
      <w:t>Zjednoczona w różnorodności</w:t>
    </w:r>
    <w:r w:rsidRPr="00680B51">
      <w:tab/>
      <w:t>PL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0DB6C4" w14:textId="77777777" w:rsidR="00064002" w:rsidRPr="00680B51" w:rsidRDefault="00064002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ACED50" w14:textId="77777777" w:rsidR="00064002" w:rsidRPr="00680B51" w:rsidRDefault="00064002"/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C38733" w14:textId="77777777" w:rsidR="00064002" w:rsidRPr="00680B51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3A00C0" w14:textId="77777777" w:rsidR="008232CE" w:rsidRPr="00680B51" w:rsidRDefault="008232CE">
      <w:r w:rsidRPr="00680B51">
        <w:separator/>
      </w:r>
    </w:p>
  </w:footnote>
  <w:footnote w:type="continuationSeparator" w:id="0">
    <w:p w14:paraId="51A74D7E" w14:textId="77777777" w:rsidR="008232CE" w:rsidRPr="00680B51" w:rsidRDefault="008232CE">
      <w:r w:rsidRPr="00680B51">
        <w:continuationSeparator/>
      </w:r>
    </w:p>
  </w:footnote>
  <w:footnote w:id="1">
    <w:p w14:paraId="783A7311" w14:textId="6BBE3B53" w:rsidR="00CC78FF" w:rsidRPr="00680B51" w:rsidRDefault="00CC78FF" w:rsidP="00680B51">
      <w:pPr>
        <w:pStyle w:val="FootnoteText"/>
        <w:ind w:left="567" w:hanging="567"/>
        <w:rPr>
          <w:sz w:val="24"/>
          <w:lang w:val="pl-PL"/>
        </w:rPr>
      </w:pPr>
      <w:r w:rsidRPr="00680B51">
        <w:rPr>
          <w:rStyle w:val="FootnoteReference"/>
          <w:sz w:val="24"/>
          <w:lang w:val="pl-PL"/>
        </w:rPr>
        <w:footnoteRef/>
      </w:r>
      <w:r w:rsidR="00680B51" w:rsidRPr="00680B51">
        <w:rPr>
          <w:sz w:val="24"/>
          <w:lang w:val="pl-PL"/>
        </w:rPr>
        <w:t xml:space="preserve"> </w:t>
      </w:r>
      <w:r w:rsidR="00680B51" w:rsidRPr="00680B51">
        <w:rPr>
          <w:sz w:val="24"/>
          <w:lang w:val="pl-PL"/>
        </w:rPr>
        <w:tab/>
      </w:r>
      <w:r w:rsidRPr="00680B51">
        <w:rPr>
          <w:sz w:val="24"/>
          <w:lang w:val="pl-PL"/>
        </w:rPr>
        <w:t xml:space="preserve">Dz.U. L 153 z 3.5.2021, s. 48, ELI: </w:t>
      </w:r>
      <w:r w:rsidR="00A1680D">
        <w:fldChar w:fldCharType="begin"/>
      </w:r>
      <w:r w:rsidR="00A1680D" w:rsidRPr="00A1680D">
        <w:rPr>
          <w:lang w:val="pl-PL"/>
        </w:rPr>
        <w:instrText>HYPERLINK "http://data.europa.eu/eli/reg/2021/691/oj"</w:instrText>
      </w:r>
      <w:r w:rsidR="00A1680D">
        <w:fldChar w:fldCharType="separate"/>
      </w:r>
      <w:r w:rsidRPr="00680B51">
        <w:rPr>
          <w:rStyle w:val="Hyperlink"/>
          <w:sz w:val="24"/>
          <w:lang w:val="pl-PL"/>
        </w:rPr>
        <w:t>http://data.europa.eu/eli/reg/2021/691/oj</w:t>
      </w:r>
      <w:r w:rsidR="00A1680D">
        <w:rPr>
          <w:rStyle w:val="Hyperlink"/>
          <w:sz w:val="24"/>
          <w:lang w:val="pl-PL"/>
        </w:rPr>
        <w:fldChar w:fldCharType="end"/>
      </w:r>
      <w:r w:rsidRPr="00680B51">
        <w:rPr>
          <w:sz w:val="24"/>
          <w:lang w:val="pl-PL"/>
        </w:rPr>
        <w:t>.</w:t>
      </w:r>
    </w:p>
  </w:footnote>
  <w:footnote w:id="2">
    <w:p w14:paraId="755D4AD5" w14:textId="461A97E1" w:rsidR="00CC78FF" w:rsidRPr="00680B51" w:rsidRDefault="00CC78FF" w:rsidP="00680B51">
      <w:pPr>
        <w:pStyle w:val="FootnoteText"/>
        <w:ind w:left="567" w:hanging="567"/>
        <w:rPr>
          <w:sz w:val="24"/>
          <w:lang w:val="pl-PL"/>
        </w:rPr>
      </w:pPr>
      <w:r w:rsidRPr="00680B51">
        <w:rPr>
          <w:rStyle w:val="FootnoteReference"/>
          <w:sz w:val="24"/>
          <w:lang w:val="pl-PL"/>
        </w:rPr>
        <w:footnoteRef/>
      </w:r>
      <w:r w:rsidR="00680B51" w:rsidRPr="00680B51">
        <w:rPr>
          <w:sz w:val="24"/>
          <w:lang w:val="pl-PL"/>
        </w:rPr>
        <w:t xml:space="preserve"> </w:t>
      </w:r>
      <w:r w:rsidR="00680B51" w:rsidRPr="00680B51">
        <w:rPr>
          <w:sz w:val="24"/>
          <w:lang w:val="pl-PL"/>
        </w:rPr>
        <w:tab/>
      </w:r>
      <w:r w:rsidRPr="00680B51">
        <w:rPr>
          <w:sz w:val="24"/>
          <w:lang w:val="pl-PL"/>
        </w:rPr>
        <w:t xml:space="preserve">Dz.U. L 433 I z 22.12.2020, s. 11, ELI: </w:t>
      </w:r>
      <w:r w:rsidR="00A1680D">
        <w:fldChar w:fldCharType="begin"/>
      </w:r>
      <w:r w:rsidR="00A1680D" w:rsidRPr="00A1680D">
        <w:rPr>
          <w:lang w:val="pl-PL"/>
        </w:rPr>
        <w:instrText>HYPERLINK "http://data.europa.eu/eli/reg/2020/2093/oj"</w:instrText>
      </w:r>
      <w:r w:rsidR="00A1680D">
        <w:fldChar w:fldCharType="separate"/>
      </w:r>
      <w:r w:rsidRPr="00680B51">
        <w:rPr>
          <w:rStyle w:val="Hyperlink"/>
          <w:sz w:val="24"/>
          <w:lang w:val="pl-PL"/>
        </w:rPr>
        <w:t>http://data.europa.eu/eli/reg/2020/2093/oj</w:t>
      </w:r>
      <w:r w:rsidR="00A1680D">
        <w:rPr>
          <w:rStyle w:val="Hyperlink"/>
          <w:sz w:val="24"/>
          <w:lang w:val="pl-PL"/>
        </w:rPr>
        <w:fldChar w:fldCharType="end"/>
      </w:r>
      <w:r w:rsidRPr="00680B51">
        <w:rPr>
          <w:sz w:val="24"/>
          <w:lang w:val="pl-PL"/>
        </w:rPr>
        <w:t>.</w:t>
      </w:r>
    </w:p>
  </w:footnote>
  <w:footnote w:id="3">
    <w:p w14:paraId="170CD0BB" w14:textId="38DB47DA" w:rsidR="00CC78FF" w:rsidRPr="00680B51" w:rsidRDefault="00CC78FF" w:rsidP="00680B51">
      <w:pPr>
        <w:pStyle w:val="FootnoteText"/>
        <w:ind w:left="567" w:hanging="567"/>
        <w:rPr>
          <w:sz w:val="24"/>
          <w:lang w:val="pl-PL"/>
        </w:rPr>
      </w:pPr>
      <w:r w:rsidRPr="00680B51">
        <w:rPr>
          <w:rStyle w:val="FootnoteReference"/>
          <w:sz w:val="24"/>
          <w:lang w:val="pl-PL"/>
        </w:rPr>
        <w:footnoteRef/>
      </w:r>
      <w:r w:rsidR="00680B51" w:rsidRPr="00680B51">
        <w:rPr>
          <w:sz w:val="24"/>
          <w:shd w:val="clear" w:color="auto" w:fill="FFFFFF"/>
          <w:lang w:val="pl-PL"/>
        </w:rPr>
        <w:t xml:space="preserve"> </w:t>
      </w:r>
      <w:r w:rsidR="00680B51" w:rsidRPr="00680B51">
        <w:rPr>
          <w:sz w:val="24"/>
          <w:shd w:val="clear" w:color="auto" w:fill="FFFFFF"/>
          <w:lang w:val="pl-PL"/>
        </w:rPr>
        <w:tab/>
      </w:r>
      <w:r w:rsidRPr="00680B51">
        <w:rPr>
          <w:sz w:val="24"/>
          <w:shd w:val="clear" w:color="auto" w:fill="FFFFFF"/>
          <w:lang w:val="pl-PL"/>
        </w:rPr>
        <w:t xml:space="preserve">Rozporządzenie Rady (UE, </w:t>
      </w:r>
      <w:proofErr w:type="spellStart"/>
      <w:r w:rsidRPr="00680B51">
        <w:rPr>
          <w:sz w:val="24"/>
          <w:shd w:val="clear" w:color="auto" w:fill="FFFFFF"/>
          <w:lang w:val="pl-PL"/>
        </w:rPr>
        <w:t>Euratom</w:t>
      </w:r>
      <w:proofErr w:type="spellEnd"/>
      <w:r w:rsidRPr="00680B51">
        <w:rPr>
          <w:sz w:val="24"/>
          <w:shd w:val="clear" w:color="auto" w:fill="FFFFFF"/>
          <w:lang w:val="pl-PL"/>
        </w:rPr>
        <w:t xml:space="preserve">) 2024/765 z dnia 29 lutego 2024 r. w sprawie zmiany rozporządzenia (UE, </w:t>
      </w:r>
      <w:proofErr w:type="spellStart"/>
      <w:r w:rsidRPr="00680B51">
        <w:rPr>
          <w:sz w:val="24"/>
          <w:shd w:val="clear" w:color="auto" w:fill="FFFFFF"/>
          <w:lang w:val="pl-PL"/>
        </w:rPr>
        <w:t>Euratom</w:t>
      </w:r>
      <w:proofErr w:type="spellEnd"/>
      <w:r w:rsidRPr="00680B51">
        <w:rPr>
          <w:sz w:val="24"/>
          <w:shd w:val="clear" w:color="auto" w:fill="FFFFFF"/>
          <w:lang w:val="pl-PL"/>
        </w:rPr>
        <w:t>) 2020/2093 określającego wieloletnie ramy finansowe na lata 2021–2027 (Dz.U. L, 2024/765, 29.2.2024, ELI:</w:t>
      </w:r>
      <w:r w:rsidRPr="00680B51">
        <w:rPr>
          <w:color w:val="333333"/>
          <w:sz w:val="24"/>
          <w:shd w:val="clear" w:color="auto" w:fill="FFFFFF"/>
          <w:lang w:val="pl-PL"/>
        </w:rPr>
        <w:t xml:space="preserve"> </w:t>
      </w:r>
      <w:r w:rsidR="00A1680D">
        <w:fldChar w:fldCharType="begin"/>
      </w:r>
      <w:r w:rsidR="00A1680D" w:rsidRPr="00A1680D">
        <w:rPr>
          <w:lang w:val="pl-PL"/>
        </w:rPr>
        <w:instrText>HYPERLINK "http://data.europa.eu/eli/reg/2024/765/oj"</w:instrText>
      </w:r>
      <w:r w:rsidR="00A1680D">
        <w:fldChar w:fldCharType="separate"/>
      </w:r>
      <w:r w:rsidRPr="00680B51">
        <w:rPr>
          <w:rStyle w:val="Hyperlink"/>
          <w:sz w:val="24"/>
          <w:shd w:val="clear" w:color="auto" w:fill="FFFFFF"/>
          <w:lang w:val="pl-PL"/>
        </w:rPr>
        <w:t>http://data.europa.eu/eli/reg/2024/765/oj</w:t>
      </w:r>
      <w:r w:rsidR="00A1680D">
        <w:rPr>
          <w:rStyle w:val="Hyperlink"/>
          <w:sz w:val="24"/>
          <w:shd w:val="clear" w:color="auto" w:fill="FFFFFF"/>
          <w:lang w:val="pl-PL"/>
        </w:rPr>
        <w:fldChar w:fldCharType="end"/>
      </w:r>
      <w:r w:rsidRPr="00680B51">
        <w:rPr>
          <w:i/>
          <w:color w:val="333333"/>
          <w:sz w:val="24"/>
          <w:shd w:val="clear" w:color="auto" w:fill="FFFFFF"/>
          <w:lang w:val="pl-PL"/>
        </w:rPr>
        <w:t>).</w:t>
      </w:r>
    </w:p>
  </w:footnote>
  <w:footnote w:id="4">
    <w:p w14:paraId="61B05971" w14:textId="3EA5E707" w:rsidR="00CC78FF" w:rsidRPr="00680B51" w:rsidRDefault="00CC78FF" w:rsidP="00680B51">
      <w:pPr>
        <w:pStyle w:val="FootnoteText"/>
        <w:ind w:left="567" w:hanging="567"/>
        <w:rPr>
          <w:sz w:val="24"/>
          <w:lang w:val="pl-PL"/>
        </w:rPr>
      </w:pPr>
      <w:r w:rsidRPr="00680B51">
        <w:rPr>
          <w:rStyle w:val="FootnoteReference"/>
          <w:sz w:val="24"/>
          <w:lang w:val="pl-PL"/>
        </w:rPr>
        <w:footnoteRef/>
      </w:r>
      <w:r w:rsidR="00680B51" w:rsidRPr="00680B51">
        <w:rPr>
          <w:sz w:val="24"/>
          <w:lang w:val="pl-PL"/>
        </w:rPr>
        <w:t xml:space="preserve"> </w:t>
      </w:r>
      <w:r w:rsidR="00680B51" w:rsidRPr="00680B51">
        <w:rPr>
          <w:sz w:val="24"/>
          <w:lang w:val="pl-PL"/>
        </w:rPr>
        <w:tab/>
      </w:r>
      <w:r w:rsidRPr="00680B51">
        <w:rPr>
          <w:sz w:val="24"/>
          <w:lang w:val="pl-PL"/>
        </w:rPr>
        <w:t xml:space="preserve">Dz.U. L 433 I z 22.12.2020, s. 28, ELI: </w:t>
      </w:r>
      <w:r w:rsidR="00A1680D">
        <w:fldChar w:fldCharType="begin"/>
      </w:r>
      <w:r w:rsidR="00A1680D" w:rsidRPr="00A1680D">
        <w:rPr>
          <w:lang w:val="pl-PL"/>
        </w:rPr>
        <w:instrText>HYPERLINK "http://data.europa.eu/eli/agree_interinstit/2020/1222/oj"</w:instrText>
      </w:r>
      <w:r w:rsidR="00A1680D">
        <w:fldChar w:fldCharType="separate"/>
      </w:r>
      <w:r w:rsidRPr="00680B51">
        <w:rPr>
          <w:rStyle w:val="Hyperlink"/>
          <w:sz w:val="24"/>
          <w:lang w:val="pl-PL"/>
        </w:rPr>
        <w:t>http://data.europa.eu/eli/agree_interinstit/2020/1222/oj</w:t>
      </w:r>
      <w:r w:rsidR="00A1680D">
        <w:rPr>
          <w:rStyle w:val="Hyperlink"/>
          <w:sz w:val="24"/>
          <w:lang w:val="pl-PL"/>
        </w:rPr>
        <w:fldChar w:fldCharType="end"/>
      </w:r>
      <w:r w:rsidRPr="00680B51">
        <w:rPr>
          <w:sz w:val="24"/>
          <w:lang w:val="pl-PL"/>
        </w:rPr>
        <w:t>.</w:t>
      </w:r>
    </w:p>
  </w:footnote>
  <w:footnote w:id="5">
    <w:p w14:paraId="45643724" w14:textId="00E91302" w:rsidR="00CC78FF" w:rsidRPr="00680B51" w:rsidRDefault="00CC78FF" w:rsidP="00680B51">
      <w:pPr>
        <w:pStyle w:val="FootnoteText"/>
        <w:ind w:left="567" w:hanging="567"/>
        <w:rPr>
          <w:sz w:val="24"/>
          <w:lang w:val="pl-PL"/>
        </w:rPr>
      </w:pPr>
      <w:r w:rsidRPr="00680B51">
        <w:rPr>
          <w:rStyle w:val="FootnoteReference"/>
          <w:sz w:val="24"/>
          <w:lang w:val="pl-PL"/>
        </w:rPr>
        <w:footnoteRef/>
      </w:r>
      <w:r w:rsidR="00680B51" w:rsidRPr="00680B51">
        <w:rPr>
          <w:sz w:val="24"/>
          <w:lang w:val="pl-PL"/>
        </w:rPr>
        <w:t xml:space="preserve"> </w:t>
      </w:r>
      <w:r w:rsidR="00680B51" w:rsidRPr="00680B51">
        <w:rPr>
          <w:sz w:val="24"/>
          <w:lang w:val="pl-PL"/>
        </w:rPr>
        <w:tab/>
      </w:r>
      <w:r w:rsidRPr="00680B51">
        <w:rPr>
          <w:sz w:val="24"/>
          <w:lang w:val="pl-PL"/>
        </w:rPr>
        <w:t>W rozumieniu art. 3 rozporządzenia w sprawie EFG.</w:t>
      </w:r>
    </w:p>
  </w:footnote>
  <w:footnote w:id="6">
    <w:p w14:paraId="30A439EB" w14:textId="50F4A8AC" w:rsidR="00CC78FF" w:rsidRPr="00680B51" w:rsidRDefault="00CC78FF" w:rsidP="00680B51">
      <w:pPr>
        <w:pStyle w:val="FootnoteText"/>
        <w:ind w:left="567" w:hanging="567"/>
        <w:rPr>
          <w:sz w:val="24"/>
          <w:lang w:val="pl-PL"/>
        </w:rPr>
      </w:pPr>
      <w:r w:rsidRPr="00680B51">
        <w:rPr>
          <w:rStyle w:val="FootnoteReference"/>
          <w:sz w:val="24"/>
          <w:lang w:val="pl-PL"/>
        </w:rPr>
        <w:footnoteRef/>
      </w:r>
      <w:r w:rsidR="00680B51" w:rsidRPr="00680B51">
        <w:rPr>
          <w:sz w:val="24"/>
          <w:lang w:val="pl-PL"/>
        </w:rPr>
        <w:t xml:space="preserve"> </w:t>
      </w:r>
      <w:r w:rsidR="00680B51" w:rsidRPr="00680B51">
        <w:rPr>
          <w:sz w:val="24"/>
          <w:lang w:val="pl-PL"/>
        </w:rPr>
        <w:tab/>
      </w:r>
      <w:r w:rsidRPr="00680B51">
        <w:rPr>
          <w:sz w:val="24"/>
          <w:lang w:val="pl-PL"/>
        </w:rPr>
        <w:t>Artykuł 8 rozporządzenia w sprawie WRF.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C872B0" w14:textId="77777777" w:rsidR="00CC78FF" w:rsidRPr="00680B51" w:rsidRDefault="00CC78FF">
    <w:pPr>
      <w:pStyle w:val="Header"/>
    </w:pPr>
  </w:p>
  <w:p w14:paraId="2DE47938" w14:textId="77777777" w:rsidR="00CC78FF" w:rsidRPr="00680B51" w:rsidRDefault="00CC78FF"/>
  <w:p w14:paraId="310B246C" w14:textId="77777777" w:rsidR="00CC78FF" w:rsidRPr="00680B51" w:rsidRDefault="00CC78FF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4AF350" w14:textId="77777777" w:rsidR="00CC78FF" w:rsidRPr="00680B51" w:rsidRDefault="00CC78FF">
    <w:pPr>
      <w:pStyle w:val="Header"/>
    </w:pPr>
  </w:p>
  <w:p w14:paraId="65653B92" w14:textId="77777777" w:rsidR="00CC78FF" w:rsidRPr="00680B51" w:rsidRDefault="00CC78FF"/>
  <w:p w14:paraId="77AB4560" w14:textId="77777777" w:rsidR="00CC78FF" w:rsidRPr="00680B51" w:rsidRDefault="00CC78FF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AF1BF5" w14:textId="77777777" w:rsidR="00064002" w:rsidRPr="00680B51" w:rsidRDefault="00064002"/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F5CE36" w14:textId="77777777" w:rsidR="00064002" w:rsidRPr="00680B51" w:rsidRDefault="00064002"/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A4FD0C" w14:textId="77777777" w:rsidR="00064002" w:rsidRPr="00680B51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909730118">
    <w:abstractNumId w:val="9"/>
  </w:num>
  <w:num w:numId="2" w16cid:durableId="1141188996">
    <w:abstractNumId w:val="9"/>
  </w:num>
  <w:num w:numId="3" w16cid:durableId="1944458854">
    <w:abstractNumId w:val="7"/>
  </w:num>
  <w:num w:numId="4" w16cid:durableId="1471658">
    <w:abstractNumId w:val="7"/>
  </w:num>
  <w:num w:numId="5" w16cid:durableId="1281182629">
    <w:abstractNumId w:val="6"/>
  </w:num>
  <w:num w:numId="6" w16cid:durableId="2003775907">
    <w:abstractNumId w:val="6"/>
  </w:num>
  <w:num w:numId="7" w16cid:durableId="1806696966">
    <w:abstractNumId w:val="5"/>
  </w:num>
  <w:num w:numId="8" w16cid:durableId="428815187">
    <w:abstractNumId w:val="5"/>
  </w:num>
  <w:num w:numId="9" w16cid:durableId="993752380">
    <w:abstractNumId w:val="4"/>
  </w:num>
  <w:num w:numId="10" w16cid:durableId="1739591095">
    <w:abstractNumId w:val="4"/>
  </w:num>
  <w:num w:numId="11" w16cid:durableId="1610353089">
    <w:abstractNumId w:val="8"/>
  </w:num>
  <w:num w:numId="12" w16cid:durableId="1662586922">
    <w:abstractNumId w:val="8"/>
  </w:num>
  <w:num w:numId="13" w16cid:durableId="1423648931">
    <w:abstractNumId w:val="3"/>
  </w:num>
  <w:num w:numId="14" w16cid:durableId="1727752570">
    <w:abstractNumId w:val="3"/>
  </w:num>
  <w:num w:numId="15" w16cid:durableId="592740285">
    <w:abstractNumId w:val="2"/>
  </w:num>
  <w:num w:numId="16" w16cid:durableId="1792162996">
    <w:abstractNumId w:val="2"/>
  </w:num>
  <w:num w:numId="17" w16cid:durableId="386614535">
    <w:abstractNumId w:val="1"/>
  </w:num>
  <w:num w:numId="18" w16cid:durableId="1396784602">
    <w:abstractNumId w:val="1"/>
  </w:num>
  <w:num w:numId="19" w16cid:durableId="1115440380">
    <w:abstractNumId w:val="0"/>
  </w:num>
  <w:num w:numId="20" w16cid:durableId="736628084">
    <w:abstractNumId w:val="0"/>
  </w:num>
  <w:num w:numId="21" w16cid:durableId="1604146290">
    <w:abstractNumId w:val="9"/>
  </w:num>
  <w:num w:numId="22" w16cid:durableId="1590041935">
    <w:abstractNumId w:val="7"/>
  </w:num>
  <w:num w:numId="23" w16cid:durableId="1352563110">
    <w:abstractNumId w:val="6"/>
  </w:num>
  <w:num w:numId="24" w16cid:durableId="373697010">
    <w:abstractNumId w:val="5"/>
  </w:num>
  <w:num w:numId="25" w16cid:durableId="1233543052">
    <w:abstractNumId w:val="4"/>
  </w:num>
  <w:num w:numId="26" w16cid:durableId="622081679">
    <w:abstractNumId w:val="8"/>
  </w:num>
  <w:num w:numId="27" w16cid:durableId="690452783">
    <w:abstractNumId w:val="3"/>
  </w:num>
  <w:num w:numId="28" w16cid:durableId="10420868">
    <w:abstractNumId w:val="2"/>
  </w:num>
  <w:num w:numId="29" w16cid:durableId="366683643">
    <w:abstractNumId w:val="1"/>
  </w:num>
  <w:num w:numId="30" w16cid:durableId="160003496">
    <w:abstractNumId w:val="0"/>
  </w:num>
  <w:num w:numId="31" w16cid:durableId="1977760498">
    <w:abstractNumId w:val="9"/>
  </w:num>
  <w:num w:numId="32" w16cid:durableId="275715767">
    <w:abstractNumId w:val="7"/>
  </w:num>
  <w:num w:numId="33" w16cid:durableId="2100441232">
    <w:abstractNumId w:val="6"/>
  </w:num>
  <w:num w:numId="34" w16cid:durableId="37170874">
    <w:abstractNumId w:val="5"/>
  </w:num>
  <w:num w:numId="35" w16cid:durableId="2047025947">
    <w:abstractNumId w:val="4"/>
  </w:num>
  <w:num w:numId="36" w16cid:durableId="841161715">
    <w:abstractNumId w:val="8"/>
  </w:num>
  <w:num w:numId="37" w16cid:durableId="1552645123">
    <w:abstractNumId w:val="3"/>
  </w:num>
  <w:num w:numId="38" w16cid:durableId="757286690">
    <w:abstractNumId w:val="2"/>
  </w:num>
  <w:num w:numId="39" w16cid:durableId="2072073991">
    <w:abstractNumId w:val="1"/>
  </w:num>
  <w:num w:numId="40" w16cid:durableId="793597768">
    <w:abstractNumId w:val="0"/>
  </w:num>
  <w:num w:numId="41" w16cid:durableId="574322900">
    <w:abstractNumId w:val="10"/>
  </w:num>
  <w:num w:numId="42" w16cid:durableId="1811903263">
    <w:abstractNumId w:val="10"/>
  </w:num>
  <w:num w:numId="43" w16cid:durableId="830952971">
    <w:abstractNumId w:val="10"/>
  </w:num>
  <w:num w:numId="44" w16cid:durableId="177165618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06/2026"/>
    <w:docVar w:name="dvlangue" w:val="PL"/>
    <w:docVar w:name="dvnumam" w:val="0"/>
    <w:docVar w:name="dvpe" w:val="782.226"/>
    <w:docVar w:name="dvrapporteur" w:val="Sprawozdawca: "/>
    <w:docVar w:name="dvtitre" w:val="Rezolucja Parlamentu Europejskiego z dnia  2026 r. w sprawie wniosku dotyczącego decyzji Parlamentu Europejskiego i Rady w sprawie uruchomienia Europejskiego Funduszu Dostosowania do Globalizacji dla Zwalnianych Pracowników w następstwie wniosku złożonego przez Belgię – EGF/2025/006 BE/Audi(COM(2026)0002 – C10-0002/2026 – 2026/0001(BUD))"/>
  </w:docVars>
  <w:rsids>
    <w:rsidRoot w:val="008232CE"/>
    <w:rsid w:val="00002272"/>
    <w:rsid w:val="00012512"/>
    <w:rsid w:val="00064002"/>
    <w:rsid w:val="000677B9"/>
    <w:rsid w:val="000831BA"/>
    <w:rsid w:val="000A42CC"/>
    <w:rsid w:val="000E7DD9"/>
    <w:rsid w:val="0010095E"/>
    <w:rsid w:val="00125B37"/>
    <w:rsid w:val="00186761"/>
    <w:rsid w:val="00187494"/>
    <w:rsid w:val="001F32AE"/>
    <w:rsid w:val="002767FF"/>
    <w:rsid w:val="002B18FE"/>
    <w:rsid w:val="002B5493"/>
    <w:rsid w:val="002E6802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80B51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232CE"/>
    <w:rsid w:val="00842779"/>
    <w:rsid w:val="00865F67"/>
    <w:rsid w:val="00881A7B"/>
    <w:rsid w:val="008840E5"/>
    <w:rsid w:val="00887B3E"/>
    <w:rsid w:val="008C2AC6"/>
    <w:rsid w:val="00930C23"/>
    <w:rsid w:val="0093193B"/>
    <w:rsid w:val="00946A64"/>
    <w:rsid w:val="009509D8"/>
    <w:rsid w:val="00950B64"/>
    <w:rsid w:val="00962A35"/>
    <w:rsid w:val="00981893"/>
    <w:rsid w:val="00A1680D"/>
    <w:rsid w:val="00A1687D"/>
    <w:rsid w:val="00A43E52"/>
    <w:rsid w:val="00A4678D"/>
    <w:rsid w:val="00A778C7"/>
    <w:rsid w:val="00A87FC5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C78FF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EE051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1975065"/>
  <w15:chartTrackingRefBased/>
  <w15:docId w15:val="{741309D6-3D2B-493A-BCAD-4976C181F4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l-P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aliases w:val="Footnote Reference Superscript,Footnote symbol,Footnote,16 Point,Superscript 6 Point,Footnote Reference Number,Footnote Reference_LVL6,Footnote Reference_LVL61,Footnote Reference_LVL62,Footnote Reference_LVL63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CC78FF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PageHeading">
    <w:name w:val="PageHeading"/>
    <w:basedOn w:val="Normal"/>
    <w:link w:val="PageHeadingChar"/>
    <w:rsid w:val="00CC78FF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Hanging12a">
    <w:name w:val="NormalHanging12a"/>
    <w:basedOn w:val="Normal"/>
    <w:link w:val="NormalHanging12aChar"/>
    <w:rsid w:val="00CC78FF"/>
    <w:pPr>
      <w:spacing w:after="240"/>
      <w:ind w:left="567" w:hanging="567"/>
    </w:pPr>
  </w:style>
  <w:style w:type="paragraph" w:styleId="Header">
    <w:name w:val="header"/>
    <w:basedOn w:val="Normal"/>
    <w:link w:val="HeaderChar"/>
    <w:rsid w:val="00CC78F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CC78FF"/>
    <w:rPr>
      <w:sz w:val="24"/>
      <w:lang w:val="pl-PL"/>
    </w:rPr>
  </w:style>
  <w:style w:type="paragraph" w:customStyle="1" w:styleId="EPFooter">
    <w:name w:val="EPFooter"/>
    <w:basedOn w:val="Normal"/>
    <w:rsid w:val="00CC78FF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CC78FF"/>
    <w:pPr>
      <w:spacing w:before="480" w:after="240"/>
    </w:pPr>
  </w:style>
  <w:style w:type="character" w:styleId="Hyperlink">
    <w:name w:val="Hyperlink"/>
    <w:basedOn w:val="DefaultParagraphFont"/>
    <w:uiPriority w:val="99"/>
    <w:rsid w:val="00CC78FF"/>
    <w:rPr>
      <w:color w:val="0563C1" w:themeColor="hyperlink"/>
      <w:u w:val="single"/>
    </w:rPr>
  </w:style>
  <w:style w:type="character" w:customStyle="1" w:styleId="NormalHanging12aChar">
    <w:name w:val="NormalHanging12a Char"/>
    <w:basedOn w:val="DefaultParagraphFont"/>
    <w:link w:val="NormalHanging12a"/>
    <w:locked/>
    <w:rsid w:val="00CC78FF"/>
    <w:rPr>
      <w:sz w:val="24"/>
      <w:lang w:val="pl-PL"/>
    </w:rPr>
  </w:style>
  <w:style w:type="character" w:customStyle="1" w:styleId="PageHeadingChar">
    <w:name w:val="PageHeading Char"/>
    <w:basedOn w:val="DefaultParagraphFont"/>
    <w:link w:val="PageHeading"/>
    <w:locked/>
    <w:rsid w:val="00CC78FF"/>
    <w:rPr>
      <w:rFonts w:ascii="Arial" w:hAnsi="Arial" w:cs="Arial"/>
      <w:b/>
      <w:sz w:val="24"/>
      <w:lang w:val="pl-PL"/>
    </w:rPr>
  </w:style>
  <w:style w:type="paragraph" w:customStyle="1" w:styleId="Personnequisigne">
    <w:name w:val="Personne qui signe"/>
    <w:basedOn w:val="Normal"/>
    <w:next w:val="Normal"/>
    <w:rsid w:val="00CC78FF"/>
    <w:pPr>
      <w:widowControl/>
      <w:tabs>
        <w:tab w:val="left" w:pos="5669"/>
      </w:tabs>
      <w:spacing w:line="360" w:lineRule="auto"/>
    </w:pPr>
    <w:rPr>
      <w:rFonts w:eastAsiaTheme="minorHAnsi"/>
      <w:i/>
      <w:szCs w:val="22"/>
      <w:lang w:eastAsia="pl-PL" w:bidi="pl-PL"/>
    </w:rPr>
  </w:style>
  <w:style w:type="paragraph" w:styleId="Footer">
    <w:name w:val="footer"/>
    <w:basedOn w:val="Normal"/>
    <w:link w:val="FooterChar"/>
    <w:rsid w:val="0001251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012512"/>
    <w:rPr>
      <w:sz w:val="24"/>
      <w:lang w:val="pl-PL"/>
    </w:rPr>
  </w:style>
  <w:style w:type="paragraph" w:styleId="Revision">
    <w:name w:val="Revision"/>
    <w:hidden/>
    <w:uiPriority w:val="99"/>
    <w:semiHidden/>
    <w:rsid w:val="00962A35"/>
    <w:rPr>
      <w:sz w:val="24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3.xml"/><Relationship Id="rId18" Type="http://schemas.openxmlformats.org/officeDocument/2006/relationships/header" Target="header5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5.xml"/><Relationship Id="rId2" Type="http://schemas.openxmlformats.org/officeDocument/2006/relationships/numbering" Target="numbering.xml"/><Relationship Id="rId16" Type="http://schemas.openxmlformats.org/officeDocument/2006/relationships/footer" Target="footer4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19" Type="http://schemas.openxmlformats.org/officeDocument/2006/relationships/footer" Target="footer6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1658</Words>
  <Characters>10968</Characters>
  <Application>Microsoft Office Word</Application>
  <DocSecurity>0</DocSecurity>
  <Lines>91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12601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ZALESKI Tomasz</dc:creator>
  <cp:keywords/>
  <cp:lastModifiedBy>BOZYK-MAZURENKO Agnieszka</cp:lastModifiedBy>
  <cp:revision>2</cp:revision>
  <cp:lastPrinted>2004-11-19T15:42:00Z</cp:lastPrinted>
  <dcterms:created xsi:type="dcterms:W3CDTF">2026-03-27T08:25:00Z</dcterms:created>
  <dcterms:modified xsi:type="dcterms:W3CDTF">2026-03-27T08:25:00Z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P10_TA(2026)0038_</vt:lpwstr>
  </property>
  <property fmtid="{D5CDD505-2E9C-101B-9397-08002B2CF9AE}" pid="4" name="&lt;Type&gt;">
    <vt:lpwstr>RR</vt:lpwstr>
  </property>
</Properties>
</file>