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21F3" w14:paraId="72D78E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2B2B56" w14:textId="77777777" w:rsidR="00751A4A" w:rsidRPr="00F421F3" w:rsidRDefault="0078515E" w:rsidP="0010095E">
            <w:pPr>
              <w:pStyle w:val="EPName"/>
            </w:pPr>
            <w:r w:rsidRPr="00F421F3">
              <w:t xml:space="preserve">Parlamento </w:t>
            </w:r>
            <w:proofErr w:type="gramStart"/>
            <w:r w:rsidRPr="00F421F3">
              <w:t>Europeu</w:t>
            </w:r>
            <w:proofErr w:type="gramEnd"/>
          </w:p>
          <w:p w14:paraId="4C2A3C3C" w14:textId="77777777" w:rsidR="00751A4A" w:rsidRPr="00F421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21F3">
              <w:t>2024</w:t>
            </w:r>
            <w:r w:rsidR="00817416" w:rsidRPr="00F421F3">
              <w:t>-202</w:t>
            </w:r>
            <w:r w:rsidRPr="00F421F3">
              <w:t>9</w:t>
            </w:r>
          </w:p>
        </w:tc>
        <w:tc>
          <w:tcPr>
            <w:tcW w:w="2268" w:type="dxa"/>
            <w:shd w:val="clear" w:color="auto" w:fill="auto"/>
          </w:tcPr>
          <w:p w14:paraId="0B55BA45" w14:textId="77777777" w:rsidR="00751A4A" w:rsidRPr="00F421F3" w:rsidRDefault="00187494" w:rsidP="0010095E">
            <w:pPr>
              <w:pStyle w:val="EPLogo"/>
            </w:pPr>
            <w:r w:rsidRPr="00F421F3">
              <w:rPr>
                <w:noProof/>
                <w:lang w:eastAsia="ja-JP"/>
              </w:rPr>
              <w:drawing>
                <wp:inline distT="0" distB="0" distL="0" distR="0" wp14:anchorId="7D6A697E" wp14:editId="765E0F9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F49D5" w14:textId="77777777" w:rsidR="00D058B8" w:rsidRPr="00F421F3" w:rsidRDefault="00D058B8" w:rsidP="004C5D52">
      <w:pPr>
        <w:pStyle w:val="LineTop"/>
      </w:pPr>
    </w:p>
    <w:p w14:paraId="5E106318" w14:textId="77777777" w:rsidR="00680577" w:rsidRPr="00F421F3" w:rsidRDefault="0078515E" w:rsidP="00680577">
      <w:pPr>
        <w:pStyle w:val="EPBodyTA1"/>
      </w:pPr>
      <w:r w:rsidRPr="00F421F3">
        <w:t>TEXTOS APROVADOS</w:t>
      </w:r>
    </w:p>
    <w:p w14:paraId="35B66D15" w14:textId="77777777" w:rsidR="00D058B8" w:rsidRPr="00F421F3" w:rsidRDefault="00D058B8" w:rsidP="00D058B8">
      <w:pPr>
        <w:pStyle w:val="LineBottom"/>
      </w:pPr>
    </w:p>
    <w:p w14:paraId="32837E8B" w14:textId="10918F70" w:rsidR="0078515E" w:rsidRPr="00F421F3" w:rsidRDefault="0078515E" w:rsidP="0078515E">
      <w:pPr>
        <w:pStyle w:val="ATHeading1"/>
      </w:pPr>
      <w:bookmarkStart w:id="0" w:name="TANumber"/>
      <w:r w:rsidRPr="00F421F3">
        <w:t>P10_TA(2026)00</w:t>
      </w:r>
      <w:bookmarkEnd w:id="0"/>
      <w:r w:rsidR="00CE52AF" w:rsidRPr="00F421F3">
        <w:t>38</w:t>
      </w:r>
    </w:p>
    <w:p w14:paraId="799A7202" w14:textId="6EC48CE1" w:rsidR="0078515E" w:rsidRPr="00F421F3" w:rsidRDefault="0078515E" w:rsidP="0078515E">
      <w:pPr>
        <w:pStyle w:val="ATHeading2"/>
      </w:pPr>
      <w:bookmarkStart w:id="1" w:name="title"/>
      <w:r w:rsidRPr="00F421F3">
        <w:t xml:space="preserve">Mobilização do Fundo Europeu de Ajustamento à Globalização: candidatura EGF/2025/006 BE/Audi </w:t>
      </w:r>
      <w:r w:rsidR="00B060BD" w:rsidRPr="00F421F3">
        <w:t>–</w:t>
      </w:r>
      <w:r w:rsidRPr="00F421F3">
        <w:t xml:space="preserve"> Bélgica</w:t>
      </w:r>
      <w:bookmarkEnd w:id="1"/>
    </w:p>
    <w:p w14:paraId="3514BCED" w14:textId="77777777" w:rsidR="0078515E" w:rsidRPr="00F421F3" w:rsidRDefault="0078515E" w:rsidP="0078515E">
      <w:pPr>
        <w:rPr>
          <w:i/>
          <w:vanish/>
        </w:rPr>
      </w:pPr>
      <w:r w:rsidRPr="00F421F3">
        <w:rPr>
          <w:i/>
        </w:rPr>
        <w:fldChar w:fldCharType="begin"/>
      </w:r>
      <w:r w:rsidRPr="00F421F3">
        <w:rPr>
          <w:i/>
        </w:rPr>
        <w:instrText xml:space="preserve"> TC"(</w:instrText>
      </w:r>
      <w:bookmarkStart w:id="2" w:name="DocNumber"/>
      <w:r w:rsidRPr="00F421F3">
        <w:rPr>
          <w:i/>
        </w:rPr>
        <w:instrText>A10-0006/2026</w:instrText>
      </w:r>
      <w:bookmarkEnd w:id="2"/>
      <w:r w:rsidRPr="00F421F3">
        <w:rPr>
          <w:i/>
        </w:rPr>
        <w:instrText xml:space="preserve"> - Relator: Nicolae Ștefănuță)"\l3 \n&gt; \* MERGEFORMAT </w:instrText>
      </w:r>
      <w:r w:rsidRPr="00F421F3">
        <w:rPr>
          <w:i/>
        </w:rPr>
        <w:fldChar w:fldCharType="end"/>
      </w:r>
    </w:p>
    <w:p w14:paraId="77A08FDC" w14:textId="77777777" w:rsidR="0078515E" w:rsidRPr="00F421F3" w:rsidRDefault="0078515E" w:rsidP="0078515E">
      <w:pPr>
        <w:rPr>
          <w:vanish/>
        </w:rPr>
      </w:pPr>
      <w:bookmarkStart w:id="3" w:name="Commission"/>
      <w:r w:rsidRPr="00F421F3">
        <w:rPr>
          <w:vanish/>
        </w:rPr>
        <w:t>Comissão dos Orçamentos</w:t>
      </w:r>
      <w:bookmarkEnd w:id="3"/>
    </w:p>
    <w:p w14:paraId="65BBDADD" w14:textId="77777777" w:rsidR="0078515E" w:rsidRPr="00F421F3" w:rsidRDefault="0078515E" w:rsidP="0078515E">
      <w:pPr>
        <w:rPr>
          <w:vanish/>
        </w:rPr>
      </w:pPr>
      <w:bookmarkStart w:id="4" w:name="PE"/>
      <w:r w:rsidRPr="00F421F3">
        <w:rPr>
          <w:vanish/>
        </w:rPr>
        <w:t>PE782.226</w:t>
      </w:r>
      <w:bookmarkEnd w:id="4"/>
    </w:p>
    <w:p w14:paraId="062CC678" w14:textId="7195361F" w:rsidR="0078515E" w:rsidRPr="00F421F3" w:rsidRDefault="0078515E" w:rsidP="0078515E">
      <w:pPr>
        <w:pStyle w:val="ATHeading3"/>
      </w:pPr>
      <w:bookmarkStart w:id="5" w:name="Sujet"/>
      <w:r w:rsidRPr="00F421F3">
        <w:t xml:space="preserve">Resolução do Parlamento Europeu, de </w:t>
      </w:r>
      <w:r w:rsidR="004E514F" w:rsidRPr="00F421F3">
        <w:t xml:space="preserve">11 </w:t>
      </w:r>
      <w:r w:rsidRPr="00F421F3">
        <w:t xml:space="preserve">de </w:t>
      </w:r>
      <w:r w:rsidR="00360001" w:rsidRPr="00F421F3">
        <w:t xml:space="preserve">fevereiro </w:t>
      </w:r>
      <w:r w:rsidRPr="00F421F3">
        <w:t xml:space="preserve">de 2026, sobre a proposta de decisão do Parlamento Europeu e do Conselho relativa à mobilização do Fundo Europeu de Ajustamento à Globalização a favor dos Trabalhadores Despedidos na sequência de uma candidatura da Bélgica </w:t>
      </w:r>
      <w:r w:rsidR="00360001" w:rsidRPr="00F421F3">
        <w:t>–</w:t>
      </w:r>
      <w:r w:rsidRPr="00F421F3">
        <w:t xml:space="preserve"> EGF/2025/006 BE/Audi</w:t>
      </w:r>
      <w:bookmarkEnd w:id="5"/>
      <w:r w:rsidRPr="00F421F3">
        <w:t xml:space="preserve"> </w:t>
      </w:r>
      <w:bookmarkStart w:id="6" w:name="References"/>
      <w:r w:rsidRPr="00F421F3">
        <w:t>(COM(2026)0002 – C10-0002/2026 – 2026/0001(BUD))</w:t>
      </w:r>
      <w:bookmarkEnd w:id="6"/>
    </w:p>
    <w:p w14:paraId="406DF77C" w14:textId="77777777" w:rsidR="00C44F60" w:rsidRPr="00F421F3" w:rsidRDefault="00C44F60" w:rsidP="00C44F60">
      <w:pPr>
        <w:pStyle w:val="EPComma"/>
        <w:rPr>
          <w:noProof/>
        </w:rPr>
      </w:pPr>
      <w:r w:rsidRPr="00F421F3">
        <w:rPr>
          <w:i/>
        </w:rPr>
        <w:t>O Parlamento Europeu</w:t>
      </w:r>
      <w:r w:rsidRPr="00F421F3">
        <w:t>,</w:t>
      </w:r>
    </w:p>
    <w:p w14:paraId="55BC18F3" w14:textId="203A6038" w:rsidR="00C44F60" w:rsidRPr="00F421F3" w:rsidRDefault="00C44F60" w:rsidP="00C44F60">
      <w:pPr>
        <w:pStyle w:val="NormalHanging12a"/>
        <w:rPr>
          <w:noProof/>
        </w:rPr>
      </w:pPr>
      <w:r w:rsidRPr="00F421F3">
        <w:t>–</w:t>
      </w:r>
      <w:r w:rsidRPr="00F421F3">
        <w:tab/>
        <w:t>Tendo em conta a proposta da Comissão ao Parlamento e ao Conselho (COM(2026)0002 – C10</w:t>
      </w:r>
      <w:r w:rsidRPr="00F421F3">
        <w:noBreakHyphen/>
        <w:t>0002/2026),</w:t>
      </w:r>
    </w:p>
    <w:p w14:paraId="2C16185E" w14:textId="77777777" w:rsidR="00C44F60" w:rsidRPr="00F421F3" w:rsidRDefault="00C44F60" w:rsidP="00C44F60">
      <w:pPr>
        <w:pStyle w:val="NormalHanging12a"/>
      </w:pPr>
      <w:r w:rsidRPr="00F421F3">
        <w:t>–</w:t>
      </w:r>
      <w:r w:rsidRPr="00F421F3">
        <w:tab/>
        <w:t>Tendo em conta o Regulamento (UE) 2021/691 do Parlamento Europeu e do Conselho, de 28 de abril de 2021, relativo ao Fundo Europeu de Ajustamento à Globalização a favor dos Trabalhadores Despedidos (FEG) e que revoga o Regulamento (UE) n.º 1309/2013</w:t>
      </w:r>
      <w:r w:rsidRPr="00F421F3">
        <w:rPr>
          <w:vertAlign w:val="superscript"/>
        </w:rPr>
        <w:footnoteReference w:id="1"/>
      </w:r>
      <w:r w:rsidRPr="00F421F3">
        <w:t xml:space="preserve"> («Regulamento FEG»), </w:t>
      </w:r>
    </w:p>
    <w:p w14:paraId="66B18BD0" w14:textId="77777777" w:rsidR="00C44F60" w:rsidRPr="00F421F3" w:rsidRDefault="00C44F60" w:rsidP="00C44F60">
      <w:pPr>
        <w:pStyle w:val="NormalHanging12a"/>
        <w:rPr>
          <w:noProof/>
        </w:rPr>
      </w:pPr>
      <w:r w:rsidRPr="00F421F3">
        <w:t>–</w:t>
      </w:r>
      <w:r w:rsidRPr="00F421F3">
        <w:tab/>
        <w:t>Tendo em conta o Regulamento (UE, Euratom) 2020/2093 do Conselho, de 17 de dezembro de 2020, que estabelece o quadro financeiro plurianual para o período de 2021 a 2027</w:t>
      </w:r>
      <w:r w:rsidRPr="00F421F3">
        <w:rPr>
          <w:noProof/>
          <w:vertAlign w:val="superscript"/>
        </w:rPr>
        <w:footnoteReference w:id="2"/>
      </w:r>
      <w:r w:rsidRPr="00F421F3">
        <w:t>, com a redação que lhe foi dada pelo Regulamento (UE, Euratom) 2024/765</w:t>
      </w:r>
      <w:r w:rsidRPr="00F421F3">
        <w:rPr>
          <w:noProof/>
          <w:vertAlign w:val="superscript"/>
        </w:rPr>
        <w:footnoteReference w:id="3"/>
      </w:r>
      <w:r w:rsidRPr="00F421F3">
        <w:t xml:space="preserve"> («Regulamento QFP»), nomeadamente o artigo 8.º, </w:t>
      </w:r>
    </w:p>
    <w:p w14:paraId="444D9735" w14:textId="77777777" w:rsidR="00C44F60" w:rsidRPr="00F421F3" w:rsidRDefault="00C44F60" w:rsidP="00C44F60">
      <w:pPr>
        <w:pStyle w:val="NormalHanging12a"/>
        <w:rPr>
          <w:noProof/>
        </w:rPr>
      </w:pPr>
      <w:r w:rsidRPr="00F421F3">
        <w:t>–</w:t>
      </w:r>
      <w:r w:rsidRPr="00F421F3">
        <w:tab/>
        <w:t xml:space="preserve">Tendo em conta o Acordo Interinstitucional de 16 de dezembro de 2020 entre o Parlamento Europeu, o Conselho da União Europeia e a Comissão Europeia sobre a disciplina orçamental, a cooperação em matéria orçamental e a boa gestão financeira, bem como sobre os novos recursos próprios, incluindo um roteiro para a introdução de </w:t>
      </w:r>
      <w:r w:rsidRPr="00F421F3">
        <w:lastRenderedPageBreak/>
        <w:t>novos recursos próprios</w:t>
      </w:r>
      <w:r w:rsidRPr="00F421F3">
        <w:rPr>
          <w:rStyle w:val="FootnoteReference"/>
          <w:noProof/>
        </w:rPr>
        <w:footnoteReference w:id="4"/>
      </w:r>
      <w:r w:rsidRPr="00F421F3">
        <w:t>, nomeadamente o ponto 9,</w:t>
      </w:r>
    </w:p>
    <w:p w14:paraId="6FAEB4A0" w14:textId="77777777" w:rsidR="00C44F60" w:rsidRPr="00F421F3" w:rsidRDefault="00C44F60" w:rsidP="00C44F60">
      <w:pPr>
        <w:pStyle w:val="NormalHanging12a"/>
      </w:pPr>
      <w:r w:rsidRPr="00F421F3">
        <w:t>–</w:t>
      </w:r>
      <w:r w:rsidRPr="00F421F3">
        <w:tab/>
        <w:t>Tendo em conta o Pilar Europeu dos Direitos Sociais,</w:t>
      </w:r>
    </w:p>
    <w:p w14:paraId="1C545F4E" w14:textId="77777777" w:rsidR="00C44F60" w:rsidRPr="00F421F3" w:rsidRDefault="00C44F60" w:rsidP="00C44F60">
      <w:pPr>
        <w:pStyle w:val="NormalHanging12a"/>
      </w:pPr>
      <w:r w:rsidRPr="00F421F3">
        <w:t>–</w:t>
      </w:r>
      <w:r w:rsidRPr="00F421F3">
        <w:tab/>
        <w:t>Tendo em conta a carta da Comissão do Emprego e dos Assuntos Sociais,</w:t>
      </w:r>
    </w:p>
    <w:p w14:paraId="6BD8EC81" w14:textId="77777777" w:rsidR="00C44F60" w:rsidRPr="00F421F3" w:rsidRDefault="00C44F60" w:rsidP="00C44F60">
      <w:pPr>
        <w:pStyle w:val="NormalHanging12a"/>
      </w:pPr>
      <w:r w:rsidRPr="00F421F3">
        <w:t>–</w:t>
      </w:r>
      <w:r w:rsidRPr="00F421F3">
        <w:tab/>
        <w:t>Tendo em conta o relatório da Comissão dos Orçamentos (A10</w:t>
      </w:r>
      <w:r w:rsidRPr="00F421F3">
        <w:noBreakHyphen/>
        <w:t>0006/2026),</w:t>
      </w:r>
    </w:p>
    <w:p w14:paraId="7BF60167" w14:textId="3AFB7E78" w:rsidR="00C44F60" w:rsidRPr="00F421F3" w:rsidRDefault="00C44F60" w:rsidP="00C44F60">
      <w:pPr>
        <w:pStyle w:val="NormalHanging12a"/>
        <w:rPr>
          <w:noProof/>
        </w:rPr>
      </w:pPr>
      <w:r w:rsidRPr="00F421F3">
        <w:t>A.</w:t>
      </w:r>
      <w:r w:rsidRPr="00F421F3">
        <w:tab/>
        <w:t xml:space="preserve">Considerando que a União criou instrumentos legislativos e orçamentais para prestar um apoio complementar aos trabalhadores afetados pelas consequências de importantes mudanças e acontecimentos com efeitos estruturais nos padrões do comércio mundial e para ajudar à sua reintegração no mercado de trabalho; </w:t>
      </w:r>
      <w:r w:rsidR="00943644" w:rsidRPr="00F421F3">
        <w:t xml:space="preserve">considerando </w:t>
      </w:r>
      <w:r w:rsidRPr="00F421F3">
        <w:t>que esta assistência é prestada através de um apoio financeiro concedido aos trabalhadores;</w:t>
      </w:r>
    </w:p>
    <w:p w14:paraId="27A0C607" w14:textId="1B67D448" w:rsidR="00C44F60" w:rsidRPr="00F421F3" w:rsidRDefault="00C44F60" w:rsidP="00C44F60">
      <w:pPr>
        <w:pStyle w:val="NormalHanging12a"/>
      </w:pPr>
      <w:r w:rsidRPr="00F421F3">
        <w:t>B.</w:t>
      </w:r>
      <w:r w:rsidRPr="00F421F3">
        <w:tab/>
        <w:t>Considerando que a Bélgica apresentou a candidatura EGF/2025/006 BE/Audi a uma contribuição financeira do FEG, na sequência de 3 414 despedimentos</w:t>
      </w:r>
      <w:r w:rsidRPr="00F421F3">
        <w:rPr>
          <w:vertAlign w:val="superscript"/>
        </w:rPr>
        <w:footnoteReference w:id="5"/>
      </w:r>
      <w:r w:rsidRPr="00F421F3">
        <w:t xml:space="preserve"> no setor económico classificado na divisão 29 (Fabricação de veículos automóveis, reboques e semirreboques) da NACE Revisão 2 nas regiões de Bruxelas Capital (BE10), província da Flandres Oriental (BE23) e província do </w:t>
      </w:r>
      <w:proofErr w:type="spellStart"/>
      <w:r w:rsidRPr="00F421F3">
        <w:t>Hainaut</w:t>
      </w:r>
      <w:proofErr w:type="spellEnd"/>
      <w:r w:rsidRPr="00F421F3">
        <w:t xml:space="preserve"> (BE32), com 3 148 despedimentos no período de referência de 28 de fevereiro de 2025 a 28 de junho de 2025, incluindo 2 580 trabalhadores despedidos cuja atividade cessou na Audi S.A</w:t>
      </w:r>
      <w:r w:rsidR="008C0D1D" w:rsidRPr="00F421F3">
        <w:t>./</w:t>
      </w:r>
      <w:proofErr w:type="spellStart"/>
      <w:r w:rsidRPr="00F421F3">
        <w:t>n.V</w:t>
      </w:r>
      <w:proofErr w:type="spellEnd"/>
      <w:r w:rsidRPr="00F421F3">
        <w:t xml:space="preserve">. (Audi) e suas filiais, 568 trabalhadores despedidos em 5 fornecedores e produtores a jusante e 266 despedimentos antes ou depois do período de referência; </w:t>
      </w:r>
    </w:p>
    <w:p w14:paraId="5DD9CCE3" w14:textId="22F3737B" w:rsidR="00C44F60" w:rsidRPr="00F421F3" w:rsidRDefault="00C44F60" w:rsidP="00C44F60">
      <w:pPr>
        <w:pStyle w:val="NormalHanging12a"/>
      </w:pPr>
      <w:r w:rsidRPr="00F421F3">
        <w:t>C.</w:t>
      </w:r>
      <w:r w:rsidRPr="00F421F3">
        <w:tab/>
        <w:t xml:space="preserve">Considerando que a candidatura se baseia nos critérios de intervenção previstos no artigo 4.º, n.º 2, alínea a), do Regulamento FEG; </w:t>
      </w:r>
      <w:r w:rsidR="00943644" w:rsidRPr="00F421F3">
        <w:t xml:space="preserve">considerando </w:t>
      </w:r>
      <w:r w:rsidRPr="00F421F3">
        <w:t xml:space="preserve">que, no que diz respeito ao despedimento de 266 trabalhadores cuja atividade cessou antes ou depois do período de referência de quatro meses, pode ser estabelecido um nexo de causalidade claro com o acontecimento que desencadeou a cessação da atividade dos trabalhadores despedidos durante o período de referência, tal como exigido pelo artigo 6.º, n.º 2, do Regulamento FEG; </w:t>
      </w:r>
    </w:p>
    <w:p w14:paraId="07961236" w14:textId="794786B9" w:rsidR="00C44F60" w:rsidRPr="00F421F3" w:rsidRDefault="00C44F60" w:rsidP="00C44F60">
      <w:pPr>
        <w:pStyle w:val="NormalHanging12a"/>
      </w:pPr>
      <w:r w:rsidRPr="00F421F3">
        <w:t>D.</w:t>
      </w:r>
      <w:r w:rsidRPr="00F421F3">
        <w:tab/>
        <w:t xml:space="preserve">Considerando que na fábrica em causa da Audi apenas era produzido um modelo, tendo a produção sido interrompida mais cedo do que o previsto devido aos elevados custos de produção associados à localização da fábrica; </w:t>
      </w:r>
      <w:r w:rsidR="00943644" w:rsidRPr="00F421F3">
        <w:t xml:space="preserve">considerando </w:t>
      </w:r>
      <w:r w:rsidRPr="00F421F3">
        <w:t xml:space="preserve">que a fábrica encerrou em 28 de fevereiro de 2025; </w:t>
      </w:r>
    </w:p>
    <w:p w14:paraId="23454AC1" w14:textId="77777777" w:rsidR="00C44F60" w:rsidRPr="00F421F3" w:rsidRDefault="00C44F60" w:rsidP="00C44F60">
      <w:pPr>
        <w:pStyle w:val="NormalHanging12a"/>
      </w:pPr>
      <w:r w:rsidRPr="00F421F3">
        <w:t>E.</w:t>
      </w:r>
      <w:r w:rsidRPr="00F421F3">
        <w:tab/>
        <w:t>Considerando que a Bélgica proporciona o pré</w:t>
      </w:r>
      <w:r w:rsidRPr="00F421F3">
        <w:noBreakHyphen/>
        <w:t>financiamento e o cofinanciamento nacionais das medidas;</w:t>
      </w:r>
    </w:p>
    <w:p w14:paraId="34519D3D" w14:textId="77777777" w:rsidR="00C44F60" w:rsidRPr="00F421F3" w:rsidRDefault="00C44F60" w:rsidP="00C44F60">
      <w:pPr>
        <w:pStyle w:val="NormalHanging12a"/>
      </w:pPr>
      <w:r w:rsidRPr="00F421F3">
        <w:t>F.</w:t>
      </w:r>
      <w:r w:rsidRPr="00F421F3">
        <w:tab/>
        <w:t>Considerando que as empresas em causa cumpriram os requisitos definidos na legislação da União e na legislação nacional em matéria de despedimentos coletivos;</w:t>
      </w:r>
    </w:p>
    <w:p w14:paraId="3A09FFCF" w14:textId="77777777" w:rsidR="00C44F60" w:rsidRPr="00F421F3" w:rsidRDefault="00C44F60" w:rsidP="00C44F60">
      <w:pPr>
        <w:pStyle w:val="NormalHanging12a"/>
      </w:pPr>
      <w:r w:rsidRPr="00F421F3">
        <w:t>G.</w:t>
      </w:r>
      <w:r w:rsidRPr="00F421F3">
        <w:tab/>
        <w:t>Considerando que as contribuições financeiras do FEG se devem destinar principalmente a medidas de política ativa do mercado de trabalho e a serviços personalizados que visem reintegrar rapidamente os beneficiários em empregos dignos e sustentáveis, proporcionando</w:t>
      </w:r>
      <w:r w:rsidRPr="00F421F3">
        <w:noBreakHyphen/>
        <w:t>lhes formação para o desenvolvimento de competências, a fim de facilitar o seu acesso ao mercado de trabalho, preparando</w:t>
      </w:r>
      <w:r w:rsidRPr="00F421F3">
        <w:noBreakHyphen/>
        <w:t xml:space="preserve">os simultaneamente </w:t>
      </w:r>
      <w:r w:rsidRPr="00F421F3">
        <w:lastRenderedPageBreak/>
        <w:t>para uma economia europeia mais ecológica e mais digital;</w:t>
      </w:r>
    </w:p>
    <w:p w14:paraId="2CA76917" w14:textId="77777777" w:rsidR="00C44F60" w:rsidRPr="00F421F3" w:rsidRDefault="00C44F60" w:rsidP="00C44F60">
      <w:pPr>
        <w:pStyle w:val="NormalHanging12a"/>
      </w:pPr>
      <w:r w:rsidRPr="00F421F3">
        <w:t>H.</w:t>
      </w:r>
      <w:r w:rsidRPr="00F421F3">
        <w:tab/>
        <w:t>Considerando que a intervenção do FEG não deve exceder o montante máximo anual de 30 milhões de EUR (a preços de 2018)</w:t>
      </w:r>
      <w:r w:rsidRPr="00F421F3">
        <w:rPr>
          <w:rStyle w:val="FootnoteReference"/>
        </w:rPr>
        <w:footnoteReference w:id="6"/>
      </w:r>
      <w:r w:rsidRPr="00F421F3">
        <w:t xml:space="preserve">; </w:t>
      </w:r>
    </w:p>
    <w:p w14:paraId="2D77565F" w14:textId="77777777" w:rsidR="00C44F60" w:rsidRPr="00F421F3" w:rsidRDefault="00C44F60" w:rsidP="00C44F60">
      <w:pPr>
        <w:pStyle w:val="NormalHanging12a"/>
      </w:pPr>
      <w:r w:rsidRPr="00F421F3">
        <w:t>1.</w:t>
      </w:r>
      <w:r w:rsidRPr="00F421F3">
        <w:tab/>
        <w:t>Partilha do ponto de vista da Comissão, segundo o qual as condições estabelecidas no Regulamento FEG, em especial no artigo 4.º, n.º 2, alínea a), estão preenchidas e a Bélgica tem direito a uma contribuição financeira no montante de 7 527 625 EUR ao abrigo do referido regulamento, o que representa 85 % do custo total de 8 856 030 EUR, incluindo despesas com serviços personalizados no valor de 8 738 968 EUR e despesas com atividades de preparação, gestão, informação e publicidade, controlo e elaboração de relatórios no valor de 117 062 EUR;</w:t>
      </w:r>
    </w:p>
    <w:p w14:paraId="56394B22" w14:textId="06400FCA" w:rsidR="00C44F60" w:rsidRPr="00F421F3" w:rsidRDefault="00C44F60" w:rsidP="00C44F60">
      <w:pPr>
        <w:pStyle w:val="NormalHanging12a"/>
      </w:pPr>
      <w:r w:rsidRPr="00F421F3">
        <w:t>2.</w:t>
      </w:r>
      <w:r w:rsidRPr="00F421F3">
        <w:tab/>
        <w:t>Observa que as autoridades belgas apresentaram a candidatura em 18 de setembro de 2025 e que, na sequência da transmissão de informações complementares pela Bélgica, a Comissão concluiu a avaliação da candidatura em 9 de janeiro de 2026 e transmitiu</w:t>
      </w:r>
      <w:r w:rsidRPr="00F421F3">
        <w:noBreakHyphen/>
        <w:t>a ao Parlamento na mesma data; salienta a importância de encurtar o prazo entre a apresentação de um pedido de assistência do FEG e a decisão de financiamento, salvaguardando plenamente, ao mesmo tempo, os direitos do Parlamento enquanto um dos dois ramos da autoridade orçamental;</w:t>
      </w:r>
    </w:p>
    <w:p w14:paraId="6F044246" w14:textId="77777777" w:rsidR="00C44F60" w:rsidRPr="00F421F3" w:rsidRDefault="00C44F60" w:rsidP="00C44F60">
      <w:pPr>
        <w:pStyle w:val="NormalHanging12a"/>
      </w:pPr>
      <w:r w:rsidRPr="00F421F3">
        <w:t>3.</w:t>
      </w:r>
      <w:r w:rsidRPr="00F421F3">
        <w:tab/>
        <w:t>Constata que a candidatura diz respeito a trabalhadores cuja atividade cessou na Audi e em cinco fornecedores e produtores a jusante e que todos os trabalhadores serão considerados beneficiários visados;</w:t>
      </w:r>
    </w:p>
    <w:p w14:paraId="77B5A891" w14:textId="62AA614B" w:rsidR="00C44F60" w:rsidRPr="00F421F3" w:rsidRDefault="00C44F60" w:rsidP="00C44F60">
      <w:pPr>
        <w:pStyle w:val="NormalHanging12a"/>
      </w:pPr>
      <w:r w:rsidRPr="00F421F3">
        <w:t>4.</w:t>
      </w:r>
      <w:r w:rsidRPr="00F421F3">
        <w:tab/>
        <w:t xml:space="preserve">Regista que o aumento das falências nos últimos dois anos agravou consideravelmente a taxa de desemprego em algumas regiões da Bélgica, em particular em Bruxelas e no </w:t>
      </w:r>
      <w:proofErr w:type="spellStart"/>
      <w:r w:rsidRPr="00F421F3">
        <w:t>Hainaut</w:t>
      </w:r>
      <w:proofErr w:type="spellEnd"/>
      <w:r w:rsidRPr="00F421F3">
        <w:t xml:space="preserve"> (Valónia); frisa que o risco de desemprego está correlacionado com o nível de instrução e que uma em cada duas pessoas com baixo nível de instrução e uma em cada três com um nível de instrução médio se deparam com um risco de desemprego mais elevado, representando </w:t>
      </w:r>
      <w:r w:rsidR="002D3BEE" w:rsidRPr="00F421F3">
        <w:t xml:space="preserve">esses </w:t>
      </w:r>
      <w:r w:rsidRPr="00F421F3">
        <w:t>grupos 83 % dos trabalhadores despedidos; lamenta que estes despedimentos agravem ainda mais a situação; insta as autoridades belgas a tomarem medidas para reduzir o número de falências, a fim de evitarem um declínio estrutural regional, e a combaterem também as disparidades sociais que conduzem à exclusão dos trabalhadores, como as desigualdades de género e o baixo nível de educação;</w:t>
      </w:r>
    </w:p>
    <w:p w14:paraId="0CF7D2C4" w14:textId="77777777" w:rsidR="00C44F60" w:rsidRPr="00F421F3" w:rsidRDefault="00C44F60" w:rsidP="00C44F60">
      <w:pPr>
        <w:pStyle w:val="NormalHanging12a"/>
        <w:rPr>
          <w:noProof/>
        </w:rPr>
      </w:pPr>
      <w:r w:rsidRPr="00F421F3">
        <w:t>5.</w:t>
      </w:r>
      <w:r w:rsidRPr="00F421F3">
        <w:tab/>
        <w:t>Assinala que o mercado mundial de produção e venda de automóveis, sobretudo automóveis elétricos, se caracteriza por uma concorrência mundial cada vez mais intensa; destaca as dificuldades crescentes que os fabricantes de automóveis europeus sentem em colocar modelos inovadores e a preços acessíveis no mercado em segmentos orientados para o futuro, como os veículos elétricos a bateria;  lamenta que a Audi tenha cessado as suas atividades na Bélgica, apesar de continuar a ser rentável, e que a produção seja transferida para a China e para o México, conduzindo ao despedimento de 3 414 trabalhadores; observa com preocupação que as condições de produção difíceis, nomeadamente o acesso e uma implantação insuficientes de fontes de energia limpa mais baratas, contribuíram para a deslocalização das instalações da Audi para fora da União;</w:t>
      </w:r>
    </w:p>
    <w:p w14:paraId="0DF24BC5" w14:textId="77777777" w:rsidR="00C44F60" w:rsidRPr="00F421F3" w:rsidRDefault="00C44F60" w:rsidP="00C44F60">
      <w:pPr>
        <w:pStyle w:val="NormalHanging12a"/>
        <w:rPr>
          <w:bCs/>
          <w:iCs/>
        </w:rPr>
      </w:pPr>
      <w:r w:rsidRPr="00F421F3">
        <w:t>6.</w:t>
      </w:r>
      <w:r w:rsidRPr="00F421F3">
        <w:tab/>
        <w:t xml:space="preserve">Realça que o encerramento da fábrica, após mais de 70 anos de funcionamento, apesar </w:t>
      </w:r>
      <w:r w:rsidRPr="00F421F3">
        <w:lastRenderedPageBreak/>
        <w:t>da sua produção de veículos elétricos, mostra que os desafios com que se depara a indústria europeia são de natureza estrutural e não meramente tecnológica;</w:t>
      </w:r>
    </w:p>
    <w:p w14:paraId="085FE532" w14:textId="3D635AD4" w:rsidR="00C44F60" w:rsidRPr="00F421F3" w:rsidRDefault="00C44F60" w:rsidP="00C44F60">
      <w:pPr>
        <w:pStyle w:val="NormalHanging12a"/>
      </w:pPr>
      <w:r w:rsidRPr="00F421F3">
        <w:t>7.</w:t>
      </w:r>
      <w:r w:rsidRPr="00F421F3">
        <w:tab/>
        <w:t>Salienta a importância de encontrar uma solução sustentável para a reconversão da fábrica encerrada, a fim de criar postos de trabalho de elevada qualidade na região; exorta as autoridades belgas a tomarem as medidas necessárias para facilitar a abertura de um novo local de fabrico na antiga fábrica da Audi;</w:t>
      </w:r>
    </w:p>
    <w:p w14:paraId="61E86DA7" w14:textId="77777777" w:rsidR="00C44F60" w:rsidRPr="00F421F3" w:rsidRDefault="00C44F60" w:rsidP="00CE52AF">
      <w:pPr>
        <w:pStyle w:val="NormalHanging12a"/>
        <w:rPr>
          <w:bCs/>
          <w:iCs/>
        </w:rPr>
      </w:pPr>
      <w:r w:rsidRPr="00F421F3">
        <w:t>8.</w:t>
      </w:r>
      <w:r w:rsidRPr="00F421F3">
        <w:tab/>
        <w:t>Frisa que as qualificações e competências dos trabalhadores despedidos continuam a ser fundamentais para uma economia europeia orientada para o futuro que concretize a transição ecológica, preservando simultaneamente uma base industrial forte; considera, por conseguinte, que a mobilização do FEG deve ser integrada numa resposta política mais ampla, em todos os domínios de intervenção, a fim de garantir que os trabalhadores afetados encontrem oportunidades adequadas que correspondam às suas qualificações e competências;</w:t>
      </w:r>
    </w:p>
    <w:p w14:paraId="64E7E191" w14:textId="77777777" w:rsidR="00C44F60" w:rsidRPr="00F421F3" w:rsidRDefault="00C44F60" w:rsidP="00C44F60">
      <w:pPr>
        <w:pStyle w:val="NormalHanging12a"/>
      </w:pPr>
      <w:r w:rsidRPr="00F421F3">
        <w:t>9.</w:t>
      </w:r>
      <w:r w:rsidRPr="00F421F3">
        <w:tab/>
        <w:t>Recorda que, em concertação com os sindicatos e os parceiros sociais, os serviços personalizados a prestar aos trabalhadores consistem nas seguintes medidas: serviços de aconselhamento, informação e colocação; formação, incluindo competências informáticas; dia do emprego; contribuição para a criação de uma empresa; incentivos à participação em atividades de procura de emprego; destaca a importância de promover empregos de elevada qualidade e virados para o futuro, de modo a assegurar a resiliência económica e social a longo prazo;</w:t>
      </w:r>
    </w:p>
    <w:p w14:paraId="2EC5569C" w14:textId="77777777" w:rsidR="00C44F60" w:rsidRPr="00F421F3" w:rsidRDefault="00C44F60" w:rsidP="00C44F60">
      <w:pPr>
        <w:pStyle w:val="NormalHanging12a"/>
        <w:rPr>
          <w:bCs/>
          <w:iCs/>
        </w:rPr>
      </w:pPr>
      <w:r w:rsidRPr="00F421F3">
        <w:t>10.</w:t>
      </w:r>
      <w:r w:rsidRPr="00F421F3">
        <w:tab/>
        <w:t>Salienta que as autoridades belgas devem garantir a visibilidade do financiamento da União e destacar o seu valor acrescentado, fornecendo informações concretas e específicas aos beneficiários, às autoridades regionais e locais, aos parceiros sociais e ao público em geral;</w:t>
      </w:r>
    </w:p>
    <w:p w14:paraId="63987DD4" w14:textId="77777777" w:rsidR="00C44F60" w:rsidRPr="00F421F3" w:rsidRDefault="00C44F60" w:rsidP="00C44F60">
      <w:pPr>
        <w:pStyle w:val="NormalHanging12a"/>
      </w:pPr>
      <w:r w:rsidRPr="00F421F3">
        <w:t>11.</w:t>
      </w:r>
      <w:r w:rsidRPr="00F421F3">
        <w:tab/>
        <w:t>Solicita a realização de avaliações finais exaustivas das medidas aplicadas, incluindo informações claras sobre a forma se utilizaram os fundos e se atingiram efetivamente os objetivos para os quais foi criado o FEG, nomeadamente dados e prazos sobre o número de trabalhadores reintegrados com sucesso no mercado de trabalho e os empregos a que tiveram acesso, assim como sobre aqueles que concluíram medidas de formação e reforço de competências, bem como os prazos relevantes;</w:t>
      </w:r>
    </w:p>
    <w:p w14:paraId="6C202214" w14:textId="77777777" w:rsidR="00C44F60" w:rsidRPr="00F421F3" w:rsidRDefault="00C44F60" w:rsidP="00C44F60">
      <w:pPr>
        <w:pStyle w:val="NormalHanging12a"/>
      </w:pPr>
      <w:r w:rsidRPr="00F421F3">
        <w:t>12.</w:t>
      </w:r>
      <w:r w:rsidRPr="00F421F3">
        <w:tab/>
        <w:t>Assinala que a Bélgica iniciou a prestação de serviços personalizados aos beneficiários visados em 17 de fevereiro de 2025 e que, por conseguinte, o período de elegibilidade para uma contribuição financeira do FEG decorrerá a partir dessa data até 24 meses após a data de entrada em vigor da decisão de financiamento;</w:t>
      </w:r>
    </w:p>
    <w:p w14:paraId="27C840F8" w14:textId="61DD70AE" w:rsidR="00C44F60" w:rsidRPr="00F421F3" w:rsidRDefault="00C44F60" w:rsidP="00C44F60">
      <w:pPr>
        <w:pStyle w:val="NormalHanging12a"/>
        <w:rPr>
          <w:sz w:val="23"/>
          <w:szCs w:val="23"/>
        </w:rPr>
      </w:pPr>
      <w:r w:rsidRPr="00F421F3">
        <w:t>13.</w:t>
      </w:r>
      <w:r w:rsidRPr="00F421F3">
        <w:tab/>
        <w:t>Regista que a Bélgica iniciou as despesas administrativas para a execução do FEG em 9 de julho de 202</w:t>
      </w:r>
      <w:r w:rsidR="00910BED">
        <w:t>4</w:t>
      </w:r>
      <w:r w:rsidRPr="00F421F3">
        <w:t xml:space="preserve"> e que, portanto, essas despesas serão elegíveis para uma contribuição financeira do FEG a partir dessa data até 31 meses após a data de entrada em vigor da decisão de financiamento;</w:t>
      </w:r>
    </w:p>
    <w:p w14:paraId="48712C8E" w14:textId="77777777" w:rsidR="00C44F60" w:rsidRPr="00F421F3" w:rsidRDefault="00C44F60" w:rsidP="00C44F60">
      <w:pPr>
        <w:pStyle w:val="NormalHanging12a"/>
      </w:pPr>
      <w:r w:rsidRPr="00F421F3">
        <w:t>14.</w:t>
      </w:r>
      <w:r w:rsidRPr="00F421F3">
        <w:tab/>
        <w:t>Observa que as autoridades belgas confirmaram que os princípios da igualdade de tratamento e da não discriminação serão respeitados no acesso às ações propostas e na sua execução e que qualquer duplo financiamento será evitado;</w:t>
      </w:r>
    </w:p>
    <w:p w14:paraId="38C721D9" w14:textId="77777777" w:rsidR="00C44F60" w:rsidRPr="00F421F3" w:rsidRDefault="00C44F60" w:rsidP="00C44F60">
      <w:pPr>
        <w:pStyle w:val="NormalHanging12a"/>
      </w:pPr>
      <w:r w:rsidRPr="00F421F3">
        <w:t>15.</w:t>
      </w:r>
      <w:r w:rsidRPr="00F421F3">
        <w:tab/>
        <w:t xml:space="preserve">Reitera que a assistência do FEG não deve substituir as medidas que são da responsabilidade das empresas ao abrigo da legislação nacional ou das convenções </w:t>
      </w:r>
      <w:r w:rsidRPr="00F421F3">
        <w:lastRenderedPageBreak/>
        <w:t>coletivas;</w:t>
      </w:r>
    </w:p>
    <w:p w14:paraId="4A6A48A4" w14:textId="77777777" w:rsidR="00C44F60" w:rsidRPr="00F421F3" w:rsidRDefault="00C44F60" w:rsidP="00C44F60">
      <w:pPr>
        <w:pStyle w:val="NormalHanging12a"/>
        <w:rPr>
          <w:bCs/>
          <w:iCs/>
        </w:rPr>
      </w:pPr>
      <w:r w:rsidRPr="00F421F3">
        <w:t>16.</w:t>
      </w:r>
      <w:r w:rsidRPr="00F421F3">
        <w:tab/>
        <w:t>Recorda que o FEG é um instrumento de solidariedade e de transição justa e que, embora preste apoio após a perda de postos de trabalho, não pode substituir uma política industrial da União proativa, coerente e coordenada, a fim de salvaguardar a base de emprego industrial e a segurança social da Europa, bem como a resiliência económica e social a longo prazo, e evitar o declínio estrutural regional; salienta que a principal tarefa da UE deve ser, antes de mais, evitar esses encerramentos, criando condições para uma energia limpa, fiável e a preços acessíveis, a fim de manter a competitividade da produção industrial, investindo simultaneamente no desenvolvimento de competências tanto dos trabalhadores altamente qualificados como dos trabalhadores industriais; salienta, além disso, a necessidade urgente de esforços coerentes e coordenados da União em matéria de competitividade, desenvolvidos em estreita parceria com os Estados</w:t>
      </w:r>
      <w:r w:rsidRPr="00F421F3">
        <w:noBreakHyphen/>
        <w:t xml:space="preserve">Membros, a fim de salvaguardar a base de emprego industrial e a segurança social da Europa, e sublinha que só uma economia europeia sólida e resiliente pode prevenir eficazmente despedimentos em grande escala, reduzindo, assim, a necessidade de intervenção do FEG; </w:t>
      </w:r>
    </w:p>
    <w:p w14:paraId="6A718801" w14:textId="77777777" w:rsidR="00C44F60" w:rsidRPr="00F421F3" w:rsidRDefault="00C44F60" w:rsidP="00C44F60">
      <w:pPr>
        <w:pStyle w:val="NormalHanging12a"/>
      </w:pPr>
      <w:r w:rsidRPr="00F421F3">
        <w:t>17.</w:t>
      </w:r>
      <w:r w:rsidRPr="00F421F3">
        <w:tab/>
        <w:t>Aprova a decisão anexa à presente resolução;</w:t>
      </w:r>
    </w:p>
    <w:p w14:paraId="207B72B2" w14:textId="77777777" w:rsidR="00C44F60" w:rsidRPr="00F421F3" w:rsidRDefault="00C44F60" w:rsidP="00C44F60">
      <w:pPr>
        <w:pStyle w:val="NormalHanging12a"/>
      </w:pPr>
      <w:r w:rsidRPr="00F421F3">
        <w:t>18.</w:t>
      </w:r>
      <w:r w:rsidRPr="00F421F3">
        <w:tab/>
        <w:t xml:space="preserve">Encarrega a sua Presidente de assinar a decisão em referência, juntamente com o Presidente do Conselho, e de prover à respetiva publicação no </w:t>
      </w:r>
      <w:r w:rsidRPr="00F421F3">
        <w:rPr>
          <w:i/>
          <w:iCs/>
        </w:rPr>
        <w:t>Jornal Oficial da União Europeia</w:t>
      </w:r>
      <w:r w:rsidRPr="00F421F3">
        <w:t>;</w:t>
      </w:r>
    </w:p>
    <w:p w14:paraId="3AEBD275" w14:textId="77777777" w:rsidR="00C44F60" w:rsidRPr="00F421F3" w:rsidRDefault="00C44F60" w:rsidP="00C44F60">
      <w:pPr>
        <w:pStyle w:val="NormalHanging12a"/>
      </w:pPr>
      <w:r w:rsidRPr="00F421F3">
        <w:t>19.</w:t>
      </w:r>
      <w:r w:rsidRPr="00F421F3">
        <w:tab/>
        <w:t>Encarrega a sua Presidente de transmitir a presente resolução e o respetivo anexo ao Conselho e à Comissão.</w:t>
      </w:r>
    </w:p>
    <w:p w14:paraId="6C7714CF" w14:textId="77777777" w:rsidR="00C44F60" w:rsidRPr="00F421F3" w:rsidRDefault="00C44F60" w:rsidP="00C44F60">
      <w:pPr>
        <w:rPr>
          <w:noProof/>
        </w:rPr>
      </w:pPr>
    </w:p>
    <w:p w14:paraId="2F66340D" w14:textId="77777777" w:rsidR="00C44F60" w:rsidRPr="00F421F3" w:rsidRDefault="00C44F60" w:rsidP="00C44F60">
      <w:pPr>
        <w:pStyle w:val="PageHeading"/>
        <w:rPr>
          <w:noProof/>
        </w:rPr>
        <w:sectPr w:rsidR="00C44F60" w:rsidRPr="00F421F3" w:rsidSect="00441D88">
          <w:headerReference w:type="even" r:id="rId9"/>
          <w:footerReference w:type="even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B5B4EF3" w14:textId="206687EA" w:rsidR="00910BED" w:rsidRDefault="00C44F60" w:rsidP="00C44F60">
      <w:pPr>
        <w:pStyle w:val="PageHeading"/>
        <w:rPr>
          <w:rFonts w:ascii="Times New Roman" w:hAnsi="Times New Roman" w:cs="Times New Roman"/>
        </w:rPr>
      </w:pPr>
      <w:bookmarkStart w:id="7" w:name="_Toc221178406"/>
      <w:r w:rsidRPr="00910BED">
        <w:rPr>
          <w:rFonts w:ascii="Times New Roman" w:hAnsi="Times New Roman" w:cs="Times New Roman"/>
        </w:rPr>
        <w:lastRenderedPageBreak/>
        <w:t>ANEXO</w:t>
      </w:r>
      <w:bookmarkStart w:id="8" w:name="_Hlk219192825"/>
    </w:p>
    <w:p w14:paraId="7EE7A206" w14:textId="273F8844" w:rsidR="00C44F60" w:rsidRPr="00910BED" w:rsidRDefault="00C44F60" w:rsidP="00C44F60">
      <w:pPr>
        <w:pStyle w:val="PageHeading"/>
        <w:rPr>
          <w:rFonts w:ascii="Times New Roman" w:hAnsi="Times New Roman" w:cs="Times New Roman"/>
        </w:rPr>
      </w:pPr>
      <w:r w:rsidRPr="00910BED">
        <w:rPr>
          <w:rFonts w:ascii="Times New Roman" w:hAnsi="Times New Roman" w:cs="Times New Roman"/>
        </w:rPr>
        <w:t>DECISÃO DO PARLAMENTO EUROPEU E DO CONSELHO</w:t>
      </w:r>
      <w:bookmarkEnd w:id="7"/>
    </w:p>
    <w:p w14:paraId="173FAF14" w14:textId="6D74BCF3" w:rsidR="00C44F60" w:rsidRDefault="00C44F60" w:rsidP="00910BED">
      <w:pPr>
        <w:pStyle w:val="NormalHanging12a"/>
        <w:ind w:left="0" w:firstLine="0"/>
        <w:jc w:val="center"/>
        <w:rPr>
          <w:b/>
        </w:rPr>
      </w:pPr>
      <w:bookmarkStart w:id="9" w:name="_Hlk212804276"/>
      <w:bookmarkStart w:id="10" w:name="_Hlk212804598"/>
      <w:r w:rsidRPr="00F421F3">
        <w:rPr>
          <w:b/>
        </w:rPr>
        <w:t>relativa à mobilização do Fundo Europeu de Ajustamento à Globalização a favor dos Trabalhadores Despedidos na sequência de uma candidatura da Bélgica — EGF/2025/006</w:t>
      </w:r>
      <w:r w:rsidR="00910BED">
        <w:rPr>
          <w:b/>
        </w:rPr>
        <w:t> </w:t>
      </w:r>
      <w:r w:rsidRPr="00F421F3">
        <w:rPr>
          <w:b/>
        </w:rPr>
        <w:t>BE/Audi</w:t>
      </w:r>
    </w:p>
    <w:p w14:paraId="67AE2FA4" w14:textId="77777777" w:rsidR="00910BED" w:rsidRDefault="00910BED" w:rsidP="00910BED">
      <w:pPr>
        <w:pStyle w:val="NormalHanging12a"/>
        <w:ind w:left="0" w:firstLine="0"/>
        <w:rPr>
          <w:i/>
          <w:iCs/>
        </w:rPr>
      </w:pPr>
    </w:p>
    <w:p w14:paraId="3B889E74" w14:textId="6C8FE76D" w:rsidR="00910BED" w:rsidRPr="00910BED" w:rsidRDefault="00910BED" w:rsidP="00910BED">
      <w:pPr>
        <w:pStyle w:val="NormalHanging12a"/>
        <w:ind w:left="0" w:firstLine="0"/>
        <w:rPr>
          <w:i/>
          <w:iCs/>
        </w:rPr>
      </w:pPr>
      <w:r w:rsidRPr="00910BED">
        <w:rPr>
          <w:i/>
          <w:iCs/>
        </w:rPr>
        <w:t>(Uma vez que foi alcançado um acordo entre o Parlamento e o Conselho, a posição do Parlamento corresponde ao texto legislativo final, Decisão (UE) 2026/</w:t>
      </w:r>
      <w:r>
        <w:rPr>
          <w:i/>
          <w:iCs/>
        </w:rPr>
        <w:t>454</w:t>
      </w:r>
      <w:r w:rsidRPr="00910BED">
        <w:rPr>
          <w:i/>
          <w:iCs/>
        </w:rPr>
        <w:t>.)</w:t>
      </w:r>
    </w:p>
    <w:bookmarkEnd w:id="9"/>
    <w:bookmarkEnd w:id="10"/>
    <w:bookmarkEnd w:id="8"/>
    <w:sectPr w:rsidR="00910BED" w:rsidRPr="00910BED" w:rsidSect="00441D8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16579" w14:textId="77777777" w:rsidR="0078515E" w:rsidRPr="00441D88" w:rsidRDefault="0078515E">
      <w:r w:rsidRPr="00441D88">
        <w:separator/>
      </w:r>
    </w:p>
  </w:endnote>
  <w:endnote w:type="continuationSeparator" w:id="0">
    <w:p w14:paraId="6E35BC9A" w14:textId="77777777" w:rsidR="0078515E" w:rsidRPr="00441D88" w:rsidRDefault="0078515E">
      <w:r w:rsidRPr="00441D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DB95E" w14:textId="77777777" w:rsidR="00C44F60" w:rsidRPr="00441D88" w:rsidRDefault="00C44F60" w:rsidP="009838E9">
    <w:pPr>
      <w:pStyle w:val="EPFooter"/>
    </w:pPr>
    <w:r w:rsidRPr="00441D88">
      <w:t>PE</w:t>
    </w:r>
    <w:r w:rsidRPr="00441D88">
      <w:rPr>
        <w:rStyle w:val="HideTWBExt"/>
      </w:rPr>
      <w:t>&lt;NoPE&gt;</w:t>
    </w:r>
    <w:r w:rsidRPr="00441D88">
      <w:t>782.226</w:t>
    </w:r>
    <w:r w:rsidRPr="00441D88">
      <w:rPr>
        <w:rStyle w:val="HideTWBExt"/>
      </w:rPr>
      <w:t>&lt;/NoPE&gt;&lt;Version&gt;</w:t>
    </w:r>
    <w:r w:rsidRPr="00441D88">
      <w:t>v02</w:t>
    </w:r>
    <w:r w:rsidRPr="00441D88">
      <w:noBreakHyphen/>
      <w:t>00</w:t>
    </w:r>
    <w:r w:rsidRPr="00441D88">
      <w:rPr>
        <w:rStyle w:val="HideTWBExt"/>
      </w:rPr>
      <w:t>&lt;/Version&gt;</w:t>
    </w:r>
    <w:r w:rsidRPr="00441D88">
      <w:tab/>
    </w:r>
    <w:r w:rsidRPr="00441D88">
      <w:fldChar w:fldCharType="begin"/>
    </w:r>
    <w:r w:rsidRPr="00441D88">
      <w:instrText xml:space="preserve"> PAGE  \* MERGEFORMAT </w:instrText>
    </w:r>
    <w:r w:rsidRPr="00441D88">
      <w:fldChar w:fldCharType="separate"/>
    </w:r>
    <w:r w:rsidRPr="00441D88">
      <w:rPr>
        <w:noProof/>
      </w:rPr>
      <w:t>1</w:t>
    </w:r>
    <w:r w:rsidRPr="00441D88">
      <w:fldChar w:fldCharType="end"/>
    </w:r>
    <w:r w:rsidRPr="00441D88">
      <w:t>/</w:t>
    </w:r>
    <w:r w:rsidR="00910BED">
      <w:fldChar w:fldCharType="begin"/>
    </w:r>
    <w:r w:rsidR="00910BED">
      <w:instrText xml:space="preserve"> NUMPAGES  \* MERGEFORMAT </w:instrText>
    </w:r>
    <w:r w:rsidR="00910BED">
      <w:fldChar w:fldCharType="separate"/>
    </w:r>
    <w:r w:rsidRPr="00441D88">
      <w:rPr>
        <w:noProof/>
      </w:rPr>
      <w:t>1</w:t>
    </w:r>
    <w:r w:rsidR="00910BED">
      <w:rPr>
        <w:noProof/>
      </w:rPr>
      <w:fldChar w:fldCharType="end"/>
    </w:r>
    <w:r w:rsidRPr="00441D88">
      <w:tab/>
    </w:r>
    <w:r w:rsidRPr="00441D88">
      <w:rPr>
        <w:rStyle w:val="HideTWBExt"/>
      </w:rPr>
      <w:t>&lt;PathFdR&gt;</w:t>
    </w:r>
    <w:r w:rsidRPr="00441D88">
      <w:t>RR\1336415PT.docx</w:t>
    </w:r>
    <w:r w:rsidRPr="00441D88">
      <w:rPr>
        <w:rStyle w:val="HideTWBExt"/>
      </w:rPr>
      <w:t>&lt;/PathFdR&gt;</w:t>
    </w:r>
  </w:p>
  <w:p w14:paraId="48AD3206" w14:textId="77777777" w:rsidR="00C44F60" w:rsidRPr="00441D88" w:rsidRDefault="00C44F60" w:rsidP="009838E9">
    <w:pPr>
      <w:pStyle w:val="EPFooter2"/>
    </w:pPr>
    <w:r w:rsidRPr="00441D88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5D1C8" w14:textId="77777777" w:rsidR="00C44F60" w:rsidRPr="00441D88" w:rsidRDefault="00C44F60" w:rsidP="009838E9">
    <w:pPr>
      <w:pStyle w:val="EPFooter"/>
    </w:pPr>
    <w:r w:rsidRPr="00441D88">
      <w:rPr>
        <w:rStyle w:val="HideTWBExt"/>
      </w:rPr>
      <w:t>&lt;PathFdR&gt;</w:t>
    </w:r>
    <w:r w:rsidRPr="00441D88">
      <w:t>RR\1336415PT.docx</w:t>
    </w:r>
    <w:r w:rsidRPr="00441D88">
      <w:rPr>
        <w:rStyle w:val="HideTWBExt"/>
      </w:rPr>
      <w:t>&lt;/PathFdR&gt;</w:t>
    </w:r>
    <w:r w:rsidRPr="00441D88">
      <w:tab/>
    </w:r>
    <w:r w:rsidRPr="00441D88">
      <w:tab/>
      <w:t>PE</w:t>
    </w:r>
    <w:r w:rsidRPr="00441D88">
      <w:rPr>
        <w:rStyle w:val="HideTWBExt"/>
      </w:rPr>
      <w:t>&lt;NoPE&gt;</w:t>
    </w:r>
    <w:r w:rsidRPr="00441D88">
      <w:t>782.226</w:t>
    </w:r>
    <w:r w:rsidRPr="00441D88">
      <w:rPr>
        <w:rStyle w:val="HideTWBExt"/>
      </w:rPr>
      <w:t>&lt;/NoPE&gt;&lt;Version&gt;</w:t>
    </w:r>
    <w:r w:rsidRPr="00441D88">
      <w:t>v02</w:t>
    </w:r>
    <w:r w:rsidRPr="00441D88">
      <w:noBreakHyphen/>
      <w:t>00</w:t>
    </w:r>
    <w:r w:rsidRPr="00441D88">
      <w:rPr>
        <w:rStyle w:val="HideTWBExt"/>
      </w:rPr>
      <w:t>&lt;/Version&gt;</w:t>
    </w:r>
  </w:p>
  <w:p w14:paraId="483DB082" w14:textId="77777777" w:rsidR="00C44F60" w:rsidRPr="00441D88" w:rsidRDefault="00C44F60" w:rsidP="009838E9">
    <w:pPr>
      <w:pStyle w:val="EPFooter2"/>
    </w:pPr>
    <w:r w:rsidRPr="00441D88">
      <w:t>PT</w:t>
    </w:r>
    <w:r w:rsidRPr="00441D88">
      <w:tab/>
    </w:r>
    <w:r w:rsidRPr="00441D88">
      <w:rPr>
        <w:b w:val="0"/>
        <w:i/>
        <w:color w:val="C0C0C0"/>
        <w:sz w:val="22"/>
      </w:rPr>
      <w:t>Unida na diversidade</w:t>
    </w:r>
    <w:r w:rsidRPr="00441D88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C6668" w14:textId="77777777" w:rsidR="00064002" w:rsidRPr="00441D88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2F99" w14:textId="77777777" w:rsidR="00064002" w:rsidRPr="00441D8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7AB32" w14:textId="77777777" w:rsidR="00064002" w:rsidRPr="00441D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BEA68" w14:textId="77777777" w:rsidR="0078515E" w:rsidRPr="00441D88" w:rsidRDefault="0078515E">
      <w:r w:rsidRPr="00441D88">
        <w:separator/>
      </w:r>
    </w:p>
  </w:footnote>
  <w:footnote w:type="continuationSeparator" w:id="0">
    <w:p w14:paraId="53466087" w14:textId="77777777" w:rsidR="0078515E" w:rsidRPr="00441D88" w:rsidRDefault="0078515E">
      <w:r w:rsidRPr="00441D88">
        <w:continuationSeparator/>
      </w:r>
    </w:p>
  </w:footnote>
  <w:footnote w:id="1">
    <w:p w14:paraId="71DCBC77" w14:textId="25F8698C" w:rsidR="00C44F60" w:rsidRPr="00441D88" w:rsidRDefault="00C44F60" w:rsidP="00441D88">
      <w:pPr>
        <w:pStyle w:val="FootnoteText"/>
        <w:ind w:left="567" w:hanging="567"/>
        <w:rPr>
          <w:sz w:val="24"/>
          <w:lang w:val="pt-PT"/>
        </w:rPr>
      </w:pPr>
      <w:r w:rsidRPr="00441D88">
        <w:rPr>
          <w:rStyle w:val="FootnoteReference"/>
          <w:sz w:val="24"/>
          <w:lang w:val="pt-PT"/>
        </w:rPr>
        <w:footnoteRef/>
      </w:r>
      <w:r w:rsidR="00441D88" w:rsidRPr="00441D88">
        <w:rPr>
          <w:sz w:val="24"/>
          <w:lang w:val="pt-PT"/>
        </w:rPr>
        <w:t xml:space="preserve"> </w:t>
      </w:r>
      <w:r w:rsidR="00441D88" w:rsidRPr="00441D88">
        <w:rPr>
          <w:sz w:val="24"/>
          <w:lang w:val="pt-PT"/>
        </w:rPr>
        <w:tab/>
      </w:r>
      <w:r w:rsidRPr="00441D88">
        <w:rPr>
          <w:sz w:val="24"/>
          <w:lang w:val="pt-PT"/>
        </w:rPr>
        <w:t xml:space="preserve">JO L 153 de 3.5.2021, p. 48, ELI: </w:t>
      </w:r>
      <w:hyperlink r:id="rId1" w:history="1">
        <w:r w:rsidRPr="00441D88">
          <w:rPr>
            <w:rStyle w:val="Hyperlink"/>
            <w:sz w:val="24"/>
            <w:lang w:val="pt-PT"/>
          </w:rPr>
          <w:t>http://data.europa.eu/eli/reg/2021/691/oj</w:t>
        </w:r>
      </w:hyperlink>
      <w:r w:rsidRPr="00441D88">
        <w:rPr>
          <w:sz w:val="24"/>
          <w:lang w:val="pt-PT"/>
        </w:rPr>
        <w:t>.</w:t>
      </w:r>
    </w:p>
  </w:footnote>
  <w:footnote w:id="2">
    <w:p w14:paraId="3C37039D" w14:textId="06541267" w:rsidR="00C44F60" w:rsidRPr="00441D88" w:rsidRDefault="00C44F60" w:rsidP="00441D88">
      <w:pPr>
        <w:pStyle w:val="FootnoteText"/>
        <w:ind w:left="567" w:hanging="567"/>
        <w:rPr>
          <w:sz w:val="24"/>
          <w:lang w:val="pt-PT"/>
        </w:rPr>
      </w:pPr>
      <w:r w:rsidRPr="00441D88">
        <w:rPr>
          <w:rStyle w:val="FootnoteReference"/>
          <w:sz w:val="24"/>
          <w:lang w:val="pt-PT"/>
        </w:rPr>
        <w:footnoteRef/>
      </w:r>
      <w:r w:rsidR="00441D88" w:rsidRPr="00441D88">
        <w:rPr>
          <w:sz w:val="24"/>
          <w:lang w:val="pt-PT"/>
        </w:rPr>
        <w:t xml:space="preserve"> </w:t>
      </w:r>
      <w:r w:rsidR="00441D88" w:rsidRPr="00441D88">
        <w:rPr>
          <w:sz w:val="24"/>
          <w:lang w:val="pt-PT"/>
        </w:rPr>
        <w:tab/>
      </w:r>
      <w:r w:rsidRPr="00441D88">
        <w:rPr>
          <w:sz w:val="24"/>
          <w:lang w:val="pt-PT"/>
        </w:rPr>
        <w:t xml:space="preserve">JO L 433 I de 22.12.2020, p. 11, ELI: </w:t>
      </w:r>
      <w:hyperlink r:id="rId2" w:history="1">
        <w:r w:rsidRPr="00441D88">
          <w:rPr>
            <w:rStyle w:val="Hyperlink"/>
            <w:sz w:val="24"/>
            <w:lang w:val="pt-PT"/>
          </w:rPr>
          <w:t>http://data.europa.eu/eli/reg/2020/2093/oj</w:t>
        </w:r>
      </w:hyperlink>
      <w:r w:rsidRPr="00441D88">
        <w:rPr>
          <w:sz w:val="24"/>
          <w:lang w:val="pt-PT"/>
        </w:rPr>
        <w:t>.</w:t>
      </w:r>
    </w:p>
  </w:footnote>
  <w:footnote w:id="3">
    <w:p w14:paraId="2592648B" w14:textId="1BA81D5F" w:rsidR="00C44F60" w:rsidRPr="00441D88" w:rsidRDefault="00C44F60" w:rsidP="00441D88">
      <w:pPr>
        <w:pStyle w:val="FootnoteText"/>
        <w:ind w:left="567" w:hanging="567"/>
        <w:rPr>
          <w:sz w:val="24"/>
          <w:lang w:val="pt-PT"/>
        </w:rPr>
      </w:pPr>
      <w:r w:rsidRPr="00441D88">
        <w:rPr>
          <w:rStyle w:val="FootnoteReference"/>
          <w:sz w:val="24"/>
          <w:lang w:val="pt-PT"/>
        </w:rPr>
        <w:footnoteRef/>
      </w:r>
      <w:r w:rsidR="00441D88" w:rsidRPr="00441D88">
        <w:rPr>
          <w:sz w:val="24"/>
          <w:shd w:val="clear" w:color="auto" w:fill="FFFFFF"/>
          <w:lang w:val="pt-PT"/>
        </w:rPr>
        <w:t xml:space="preserve"> </w:t>
      </w:r>
      <w:r w:rsidR="00441D88" w:rsidRPr="00441D88">
        <w:rPr>
          <w:sz w:val="24"/>
          <w:shd w:val="clear" w:color="auto" w:fill="FFFFFF"/>
          <w:lang w:val="pt-PT"/>
        </w:rPr>
        <w:tab/>
      </w:r>
      <w:r w:rsidRPr="00441D88">
        <w:rPr>
          <w:sz w:val="24"/>
          <w:shd w:val="clear" w:color="auto" w:fill="FFFFFF"/>
          <w:lang w:val="pt-PT"/>
        </w:rPr>
        <w:t>Regulamento (UE, Euratom) 2024/765 do Conselho, de 29 de fevereiro de 2024, que altera o Regulamento (UE, Euratom) 2020/2093 que estabelece o quadro financeiro plurianual para o período de 2021 a 2027 (JO L, 2024/765, 29.2.2024, ELI:</w:t>
      </w:r>
      <w:r w:rsidRPr="00441D88">
        <w:rPr>
          <w:color w:val="333333"/>
          <w:sz w:val="24"/>
          <w:shd w:val="clear" w:color="auto" w:fill="FFFFFF"/>
          <w:lang w:val="pt-PT"/>
        </w:rPr>
        <w:t xml:space="preserve"> </w:t>
      </w:r>
      <w:hyperlink r:id="rId3" w:history="1">
        <w:r w:rsidRPr="00441D88">
          <w:rPr>
            <w:rStyle w:val="Hyperlink"/>
            <w:sz w:val="24"/>
            <w:shd w:val="clear" w:color="auto" w:fill="FFFFFF"/>
            <w:lang w:val="pt-PT"/>
          </w:rPr>
          <w:t>http://data.europa.eu/eli/reg/2024/765/oj</w:t>
        </w:r>
      </w:hyperlink>
      <w:r w:rsidRPr="00441D88">
        <w:rPr>
          <w:i/>
          <w:color w:val="333333"/>
          <w:sz w:val="24"/>
          <w:shd w:val="clear" w:color="auto" w:fill="FFFFFF"/>
          <w:lang w:val="pt-PT"/>
        </w:rPr>
        <w:t>).</w:t>
      </w:r>
    </w:p>
  </w:footnote>
  <w:footnote w:id="4">
    <w:p w14:paraId="7C27FF69" w14:textId="6BD1A896" w:rsidR="00C44F60" w:rsidRPr="00CE52AF" w:rsidRDefault="00C44F60" w:rsidP="00441D88">
      <w:pPr>
        <w:pStyle w:val="FootnoteText"/>
        <w:ind w:left="567" w:hanging="567"/>
        <w:rPr>
          <w:sz w:val="24"/>
          <w:lang w:val="da-DK"/>
        </w:rPr>
      </w:pPr>
      <w:r w:rsidRPr="00441D88">
        <w:rPr>
          <w:rStyle w:val="FootnoteReference"/>
          <w:sz w:val="24"/>
          <w:lang w:val="pt-PT"/>
        </w:rPr>
        <w:footnoteRef/>
      </w:r>
      <w:r w:rsidR="00441D88" w:rsidRPr="00CE52AF">
        <w:rPr>
          <w:sz w:val="24"/>
          <w:lang w:val="da-DK"/>
        </w:rPr>
        <w:t xml:space="preserve"> </w:t>
      </w:r>
      <w:r w:rsidR="00441D88" w:rsidRPr="00CE52AF">
        <w:rPr>
          <w:sz w:val="24"/>
          <w:lang w:val="da-DK"/>
        </w:rPr>
        <w:tab/>
      </w:r>
      <w:r w:rsidRPr="00CE52AF">
        <w:rPr>
          <w:sz w:val="24"/>
          <w:lang w:val="da-DK"/>
        </w:rPr>
        <w:t xml:space="preserve">JO L 433 I de 22.12.2020, p. 28, ELI: </w:t>
      </w:r>
      <w:hyperlink r:id="rId4" w:history="1">
        <w:r w:rsidRPr="00CE52AF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CE52AF">
        <w:rPr>
          <w:sz w:val="24"/>
          <w:lang w:val="da-DK"/>
        </w:rPr>
        <w:t>.</w:t>
      </w:r>
    </w:p>
  </w:footnote>
  <w:footnote w:id="5">
    <w:p w14:paraId="257E53F6" w14:textId="02F9E1EE" w:rsidR="00C44F60" w:rsidRPr="00441D88" w:rsidRDefault="00C44F60" w:rsidP="00441D88">
      <w:pPr>
        <w:pStyle w:val="FootnoteText"/>
        <w:ind w:left="567" w:hanging="567"/>
        <w:rPr>
          <w:sz w:val="24"/>
          <w:lang w:val="pt-PT"/>
        </w:rPr>
      </w:pPr>
      <w:r w:rsidRPr="00441D88">
        <w:rPr>
          <w:rStyle w:val="FootnoteReference"/>
          <w:sz w:val="24"/>
          <w:lang w:val="pt-PT"/>
        </w:rPr>
        <w:footnoteRef/>
      </w:r>
      <w:r w:rsidR="00441D88" w:rsidRPr="00441D88">
        <w:rPr>
          <w:sz w:val="24"/>
          <w:lang w:val="pt-PT"/>
        </w:rPr>
        <w:t xml:space="preserve"> </w:t>
      </w:r>
      <w:r w:rsidR="00441D88" w:rsidRPr="00441D88">
        <w:rPr>
          <w:sz w:val="24"/>
          <w:lang w:val="pt-PT"/>
        </w:rPr>
        <w:tab/>
      </w:r>
      <w:r w:rsidRPr="00441D88">
        <w:rPr>
          <w:sz w:val="24"/>
          <w:lang w:val="pt-PT"/>
        </w:rPr>
        <w:t>Na aceção do artigo 3.º do Regulamento FEG.</w:t>
      </w:r>
    </w:p>
  </w:footnote>
  <w:footnote w:id="6">
    <w:p w14:paraId="7A67BEBC" w14:textId="5AFBCE0F" w:rsidR="00C44F60" w:rsidRPr="00441D88" w:rsidRDefault="00C44F60" w:rsidP="00441D88">
      <w:pPr>
        <w:pStyle w:val="FootnoteText"/>
        <w:ind w:left="567" w:hanging="567"/>
        <w:rPr>
          <w:sz w:val="24"/>
          <w:lang w:val="pt-PT"/>
        </w:rPr>
      </w:pPr>
      <w:r w:rsidRPr="00441D88">
        <w:rPr>
          <w:rStyle w:val="FootnoteReference"/>
          <w:sz w:val="24"/>
          <w:lang w:val="pt-PT"/>
        </w:rPr>
        <w:footnoteRef/>
      </w:r>
      <w:r w:rsidR="00441D88" w:rsidRPr="00441D88">
        <w:rPr>
          <w:sz w:val="24"/>
          <w:lang w:val="pt-PT"/>
        </w:rPr>
        <w:t xml:space="preserve"> </w:t>
      </w:r>
      <w:r w:rsidR="00441D88" w:rsidRPr="00441D88">
        <w:rPr>
          <w:sz w:val="24"/>
          <w:lang w:val="pt-PT"/>
        </w:rPr>
        <w:tab/>
      </w:r>
      <w:r w:rsidRPr="00441D88">
        <w:rPr>
          <w:sz w:val="24"/>
          <w:lang w:val="pt-PT"/>
        </w:rPr>
        <w:t>Artigo 8.º do Regulamento QFP.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D6C3B" w14:textId="77777777" w:rsidR="00C44F60" w:rsidRPr="00441D88" w:rsidRDefault="00C44F60">
    <w:pPr>
      <w:pStyle w:val="Header"/>
    </w:pPr>
  </w:p>
  <w:p w14:paraId="7E6DFBE1" w14:textId="77777777" w:rsidR="00C44F60" w:rsidRPr="00441D88" w:rsidRDefault="00C44F60"/>
  <w:p w14:paraId="5C64EF08" w14:textId="77777777" w:rsidR="00C44F60" w:rsidRPr="00441D88" w:rsidRDefault="00C44F6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4F28E" w14:textId="77777777" w:rsidR="00064002" w:rsidRPr="00441D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5DEB5" w14:textId="77777777" w:rsidR="00064002" w:rsidRPr="00441D88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715E1" w14:textId="77777777" w:rsidR="00064002" w:rsidRPr="00441D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7090488">
    <w:abstractNumId w:val="9"/>
  </w:num>
  <w:num w:numId="2" w16cid:durableId="516311163">
    <w:abstractNumId w:val="9"/>
  </w:num>
  <w:num w:numId="3" w16cid:durableId="1151823975">
    <w:abstractNumId w:val="7"/>
  </w:num>
  <w:num w:numId="4" w16cid:durableId="739904324">
    <w:abstractNumId w:val="7"/>
  </w:num>
  <w:num w:numId="5" w16cid:durableId="1660646350">
    <w:abstractNumId w:val="6"/>
  </w:num>
  <w:num w:numId="6" w16cid:durableId="882985895">
    <w:abstractNumId w:val="6"/>
  </w:num>
  <w:num w:numId="7" w16cid:durableId="1338536788">
    <w:abstractNumId w:val="5"/>
  </w:num>
  <w:num w:numId="8" w16cid:durableId="706174479">
    <w:abstractNumId w:val="5"/>
  </w:num>
  <w:num w:numId="9" w16cid:durableId="1035883858">
    <w:abstractNumId w:val="4"/>
  </w:num>
  <w:num w:numId="10" w16cid:durableId="1497333610">
    <w:abstractNumId w:val="4"/>
  </w:num>
  <w:num w:numId="11" w16cid:durableId="960719901">
    <w:abstractNumId w:val="8"/>
  </w:num>
  <w:num w:numId="12" w16cid:durableId="1625424558">
    <w:abstractNumId w:val="8"/>
  </w:num>
  <w:num w:numId="13" w16cid:durableId="1641955475">
    <w:abstractNumId w:val="3"/>
  </w:num>
  <w:num w:numId="14" w16cid:durableId="245264344">
    <w:abstractNumId w:val="3"/>
  </w:num>
  <w:num w:numId="15" w16cid:durableId="146828854">
    <w:abstractNumId w:val="2"/>
  </w:num>
  <w:num w:numId="16" w16cid:durableId="469594031">
    <w:abstractNumId w:val="2"/>
  </w:num>
  <w:num w:numId="17" w16cid:durableId="948128335">
    <w:abstractNumId w:val="1"/>
  </w:num>
  <w:num w:numId="18" w16cid:durableId="1886479483">
    <w:abstractNumId w:val="1"/>
  </w:num>
  <w:num w:numId="19" w16cid:durableId="657810863">
    <w:abstractNumId w:val="0"/>
  </w:num>
  <w:num w:numId="20" w16cid:durableId="520441093">
    <w:abstractNumId w:val="0"/>
  </w:num>
  <w:num w:numId="21" w16cid:durableId="350762208">
    <w:abstractNumId w:val="9"/>
  </w:num>
  <w:num w:numId="22" w16cid:durableId="1713917031">
    <w:abstractNumId w:val="7"/>
  </w:num>
  <w:num w:numId="23" w16cid:durableId="1693799274">
    <w:abstractNumId w:val="6"/>
  </w:num>
  <w:num w:numId="24" w16cid:durableId="425927263">
    <w:abstractNumId w:val="5"/>
  </w:num>
  <w:num w:numId="25" w16cid:durableId="871772753">
    <w:abstractNumId w:val="4"/>
  </w:num>
  <w:num w:numId="26" w16cid:durableId="81342764">
    <w:abstractNumId w:val="8"/>
  </w:num>
  <w:num w:numId="27" w16cid:durableId="1778403668">
    <w:abstractNumId w:val="3"/>
  </w:num>
  <w:num w:numId="28" w16cid:durableId="565455791">
    <w:abstractNumId w:val="2"/>
  </w:num>
  <w:num w:numId="29" w16cid:durableId="476462795">
    <w:abstractNumId w:val="1"/>
  </w:num>
  <w:num w:numId="30" w16cid:durableId="975142389">
    <w:abstractNumId w:val="0"/>
  </w:num>
  <w:num w:numId="31" w16cid:durableId="281572442">
    <w:abstractNumId w:val="9"/>
  </w:num>
  <w:num w:numId="32" w16cid:durableId="1650747009">
    <w:abstractNumId w:val="7"/>
  </w:num>
  <w:num w:numId="33" w16cid:durableId="168712579">
    <w:abstractNumId w:val="6"/>
  </w:num>
  <w:num w:numId="34" w16cid:durableId="629558560">
    <w:abstractNumId w:val="5"/>
  </w:num>
  <w:num w:numId="35" w16cid:durableId="1321420882">
    <w:abstractNumId w:val="4"/>
  </w:num>
  <w:num w:numId="36" w16cid:durableId="557860624">
    <w:abstractNumId w:val="8"/>
  </w:num>
  <w:num w:numId="37" w16cid:durableId="1479228076">
    <w:abstractNumId w:val="3"/>
  </w:num>
  <w:num w:numId="38" w16cid:durableId="276646442">
    <w:abstractNumId w:val="2"/>
  </w:num>
  <w:num w:numId="39" w16cid:durableId="1199585420">
    <w:abstractNumId w:val="1"/>
  </w:num>
  <w:num w:numId="40" w16cid:durableId="488601359">
    <w:abstractNumId w:val="0"/>
  </w:num>
  <w:num w:numId="41" w16cid:durableId="1333025275">
    <w:abstractNumId w:val="10"/>
  </w:num>
  <w:num w:numId="42" w16cid:durableId="695277278">
    <w:abstractNumId w:val="10"/>
  </w:num>
  <w:num w:numId="43" w16cid:durableId="1646737104">
    <w:abstractNumId w:val="10"/>
  </w:num>
  <w:num w:numId="44" w16cid:durableId="3240148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6/2026"/>
    <w:docVar w:name="dvlangue" w:val="PT"/>
    <w:docVar w:name="dvnumam" w:val="0"/>
    <w:docVar w:name="dvpe" w:val="782.226"/>
    <w:docVar w:name="dvrapporteur" w:val="Relator: "/>
    <w:docVar w:name="dvtitre" w:val="Resolução do Parlamento Europeu, de ... de ... de 2026,_x000d__x000a_ sobre a proposta de decisão do Parlamento Europeu e do Conselho relativa à mobilização do Fundo Europeu de Ajustamento à Globalização a favor dos Trabalhadores Despedidos na sequência de uma candidatura da Bélgica — EGF/2025/006 BE/Audi(COM(2026)0002 – C10-0002/2026 – 2026/0001(BUD))"/>
  </w:docVars>
  <w:rsids>
    <w:rsidRoot w:val="0078515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3BEE"/>
    <w:rsid w:val="002F4264"/>
    <w:rsid w:val="00343214"/>
    <w:rsid w:val="00360001"/>
    <w:rsid w:val="00361C00"/>
    <w:rsid w:val="00395FA1"/>
    <w:rsid w:val="003E15D4"/>
    <w:rsid w:val="00411CCE"/>
    <w:rsid w:val="0041666E"/>
    <w:rsid w:val="00421060"/>
    <w:rsid w:val="00441D88"/>
    <w:rsid w:val="00471C19"/>
    <w:rsid w:val="004867E3"/>
    <w:rsid w:val="00494A28"/>
    <w:rsid w:val="004C0004"/>
    <w:rsid w:val="004C5D52"/>
    <w:rsid w:val="004E514F"/>
    <w:rsid w:val="0050519A"/>
    <w:rsid w:val="005072A1"/>
    <w:rsid w:val="00514517"/>
    <w:rsid w:val="00545827"/>
    <w:rsid w:val="00560270"/>
    <w:rsid w:val="00592705"/>
    <w:rsid w:val="005C2568"/>
    <w:rsid w:val="005F1B17"/>
    <w:rsid w:val="006037C0"/>
    <w:rsid w:val="00640403"/>
    <w:rsid w:val="006631B6"/>
    <w:rsid w:val="00680577"/>
    <w:rsid w:val="006F74FA"/>
    <w:rsid w:val="0070339E"/>
    <w:rsid w:val="00731ADD"/>
    <w:rsid w:val="00734777"/>
    <w:rsid w:val="0073553C"/>
    <w:rsid w:val="00747932"/>
    <w:rsid w:val="00751A4A"/>
    <w:rsid w:val="00756632"/>
    <w:rsid w:val="00762C74"/>
    <w:rsid w:val="0078515E"/>
    <w:rsid w:val="007856E3"/>
    <w:rsid w:val="00786EC0"/>
    <w:rsid w:val="00787A42"/>
    <w:rsid w:val="007D1690"/>
    <w:rsid w:val="007E22AD"/>
    <w:rsid w:val="00817416"/>
    <w:rsid w:val="00842779"/>
    <w:rsid w:val="00865F67"/>
    <w:rsid w:val="00881A7B"/>
    <w:rsid w:val="008840E5"/>
    <w:rsid w:val="00887B3E"/>
    <w:rsid w:val="008C0D1D"/>
    <w:rsid w:val="008C2AC6"/>
    <w:rsid w:val="00910BED"/>
    <w:rsid w:val="00930C23"/>
    <w:rsid w:val="0093193B"/>
    <w:rsid w:val="00937A4D"/>
    <w:rsid w:val="00943644"/>
    <w:rsid w:val="009509D8"/>
    <w:rsid w:val="00950B64"/>
    <w:rsid w:val="00981893"/>
    <w:rsid w:val="009D70E5"/>
    <w:rsid w:val="00A1687D"/>
    <w:rsid w:val="00A43E52"/>
    <w:rsid w:val="00A4678D"/>
    <w:rsid w:val="00A778C7"/>
    <w:rsid w:val="00A90693"/>
    <w:rsid w:val="00AB441E"/>
    <w:rsid w:val="00AB6293"/>
    <w:rsid w:val="00AE0928"/>
    <w:rsid w:val="00AF3B82"/>
    <w:rsid w:val="00B060BD"/>
    <w:rsid w:val="00B12E95"/>
    <w:rsid w:val="00B22876"/>
    <w:rsid w:val="00B558F0"/>
    <w:rsid w:val="00BD48FE"/>
    <w:rsid w:val="00BD7BD8"/>
    <w:rsid w:val="00BE6ADC"/>
    <w:rsid w:val="00C05BFE"/>
    <w:rsid w:val="00C23CD4"/>
    <w:rsid w:val="00C44F60"/>
    <w:rsid w:val="00C61C0C"/>
    <w:rsid w:val="00C941CB"/>
    <w:rsid w:val="00CC2357"/>
    <w:rsid w:val="00CE52AF"/>
    <w:rsid w:val="00CF071A"/>
    <w:rsid w:val="00D058B8"/>
    <w:rsid w:val="00D56C11"/>
    <w:rsid w:val="00D834A0"/>
    <w:rsid w:val="00D872DF"/>
    <w:rsid w:val="00D91510"/>
    <w:rsid w:val="00D91E21"/>
    <w:rsid w:val="00DA7FCD"/>
    <w:rsid w:val="00DF291E"/>
    <w:rsid w:val="00DF766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1F3"/>
    <w:rsid w:val="00F5134D"/>
    <w:rsid w:val="00F74202"/>
    <w:rsid w:val="00F87713"/>
    <w:rsid w:val="00FB4360"/>
    <w:rsid w:val="00FB5D8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A8CB3"/>
  <w15:chartTrackingRefBased/>
  <w15:docId w15:val="{EAD3B055-6CC1-4FEA-816A-627BD8F6C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44F6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C44F6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C44F6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44F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44F60"/>
    <w:rPr>
      <w:sz w:val="24"/>
      <w:lang w:val="pt-PT"/>
    </w:rPr>
  </w:style>
  <w:style w:type="paragraph" w:customStyle="1" w:styleId="EPFooter">
    <w:name w:val="EPFooter"/>
    <w:basedOn w:val="Normal"/>
    <w:rsid w:val="00C44F6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44F60"/>
    <w:pPr>
      <w:spacing w:before="480" w:after="240"/>
    </w:pPr>
  </w:style>
  <w:style w:type="character" w:styleId="Hyperlink">
    <w:name w:val="Hyperlink"/>
    <w:basedOn w:val="DefaultParagraphFont"/>
    <w:rsid w:val="00C44F6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C44F60"/>
    <w:rPr>
      <w:sz w:val="24"/>
      <w:lang w:val="pt-PT"/>
    </w:rPr>
  </w:style>
  <w:style w:type="character" w:customStyle="1" w:styleId="PageHeadingChar">
    <w:name w:val="PageHeading Char"/>
    <w:basedOn w:val="DefaultParagraphFont"/>
    <w:link w:val="PageHeading"/>
    <w:locked/>
    <w:rsid w:val="00C44F60"/>
    <w:rPr>
      <w:rFonts w:ascii="Arial" w:hAnsi="Arial" w:cs="Arial"/>
      <w:b/>
      <w:sz w:val="24"/>
      <w:lang w:val="pt-PT"/>
    </w:rPr>
  </w:style>
  <w:style w:type="paragraph" w:styleId="Revision">
    <w:name w:val="Revision"/>
    <w:hidden/>
    <w:uiPriority w:val="99"/>
    <w:semiHidden/>
    <w:rsid w:val="0073553C"/>
    <w:rPr>
      <w:sz w:val="24"/>
      <w:lang w:val="pt-PT"/>
    </w:rPr>
  </w:style>
  <w:style w:type="character" w:styleId="CommentReference">
    <w:name w:val="annotation reference"/>
    <w:basedOn w:val="DefaultParagraphFont"/>
    <w:rsid w:val="009436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364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4364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9436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43644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94364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87A42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rsid w:val="00CE52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E52AF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1989</Words>
  <Characters>11020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2026-03-26T16:37:00Z</dcterms:created>
  <dcterms:modified xsi:type="dcterms:W3CDTF">2026-03-26T16:37:00Z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P10_TA(2026)0038_</vt:lpwstr>
  </property>
  <property fmtid="{D5CDD505-2E9C-101B-9397-08002B2CF9AE}" pid="4" name="&lt;Type&gt;">
    <vt:lpwstr>RR</vt:lpwstr>
  </property>
</Properties>
</file>