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54E1" w14:paraId="1A27B6F5" w14:textId="77777777" w:rsidTr="0010095E">
        <w:trPr>
          <w:trHeight w:hRule="exact" w:val="1418"/>
        </w:trPr>
        <w:tc>
          <w:tcPr>
            <w:tcW w:w="6804" w:type="dxa"/>
            <w:shd w:val="clear" w:color="auto" w:fill="auto"/>
            <w:vAlign w:val="center"/>
          </w:tcPr>
          <w:p w14:paraId="140C2A3C" w14:textId="77777777" w:rsidR="00751A4A" w:rsidRPr="001954E1" w:rsidRDefault="00A00628" w:rsidP="0010095E">
            <w:pPr>
              <w:pStyle w:val="EPName"/>
            </w:pPr>
            <w:r w:rsidRPr="001954E1">
              <w:t>Evropski parlament</w:t>
            </w:r>
          </w:p>
          <w:p w14:paraId="31BD0661" w14:textId="77777777" w:rsidR="00751A4A" w:rsidRPr="001954E1" w:rsidRDefault="005F1B17" w:rsidP="005F1B17">
            <w:pPr>
              <w:pStyle w:val="EPTerm"/>
              <w:rPr>
                <w:rStyle w:val="HideTWBExt"/>
                <w:noProof w:val="0"/>
                <w:vanish w:val="0"/>
                <w:color w:val="auto"/>
              </w:rPr>
            </w:pPr>
            <w:r w:rsidRPr="001954E1">
              <w:t>2024</w:t>
            </w:r>
            <w:r w:rsidR="00817416" w:rsidRPr="001954E1">
              <w:t>-202</w:t>
            </w:r>
            <w:r w:rsidRPr="001954E1">
              <w:t>9</w:t>
            </w:r>
          </w:p>
        </w:tc>
        <w:tc>
          <w:tcPr>
            <w:tcW w:w="2268" w:type="dxa"/>
            <w:shd w:val="clear" w:color="auto" w:fill="auto"/>
          </w:tcPr>
          <w:p w14:paraId="3BAA9520" w14:textId="77777777" w:rsidR="00751A4A" w:rsidRPr="001954E1" w:rsidRDefault="00187494" w:rsidP="0010095E">
            <w:pPr>
              <w:pStyle w:val="EPLogo"/>
            </w:pPr>
            <w:r w:rsidRPr="001954E1">
              <w:rPr>
                <w:noProof/>
                <w:lang w:eastAsia="ja-JP"/>
              </w:rPr>
              <w:drawing>
                <wp:inline distT="0" distB="0" distL="0" distR="0" wp14:anchorId="7396ADD4" wp14:editId="769798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A28FAD" w14:textId="77777777" w:rsidR="00D058B8" w:rsidRPr="001954E1" w:rsidRDefault="00D058B8" w:rsidP="004C5D52">
      <w:pPr>
        <w:pStyle w:val="LineTop"/>
      </w:pPr>
    </w:p>
    <w:p w14:paraId="776E9BF0" w14:textId="77777777" w:rsidR="00680577" w:rsidRPr="001954E1" w:rsidRDefault="00A00628" w:rsidP="00680577">
      <w:pPr>
        <w:pStyle w:val="EPBodyTA1"/>
      </w:pPr>
      <w:r w:rsidRPr="001954E1">
        <w:t>SPREJETA BESEDILA</w:t>
      </w:r>
    </w:p>
    <w:p w14:paraId="696139F3" w14:textId="77777777" w:rsidR="00D058B8" w:rsidRPr="001954E1" w:rsidRDefault="00D058B8" w:rsidP="00D058B8">
      <w:pPr>
        <w:pStyle w:val="LineBottom"/>
      </w:pPr>
    </w:p>
    <w:p w14:paraId="51F91D15" w14:textId="7F048E75" w:rsidR="00A00628" w:rsidRPr="001954E1" w:rsidRDefault="00A00628" w:rsidP="00A00628">
      <w:pPr>
        <w:pStyle w:val="ATHeading1"/>
      </w:pPr>
      <w:bookmarkStart w:id="0" w:name="TANumber"/>
      <w:r w:rsidRPr="001954E1">
        <w:t>P10_TA(2026)</w:t>
      </w:r>
      <w:bookmarkEnd w:id="0"/>
      <w:r w:rsidR="00E443E5">
        <w:t>0038</w:t>
      </w:r>
    </w:p>
    <w:p w14:paraId="5CDD877E" w14:textId="77777777" w:rsidR="00A00628" w:rsidRPr="001954E1" w:rsidRDefault="00A00628" w:rsidP="00A00628">
      <w:pPr>
        <w:pStyle w:val="ATHeading2"/>
      </w:pPr>
      <w:bookmarkStart w:id="1" w:name="title"/>
      <w:r w:rsidRPr="001954E1">
        <w:t>Uporaba Evropskega sklada za prilagoditev globalizaciji: vloga EGF/2025/006 BE/Audi – Belgija</w:t>
      </w:r>
      <w:bookmarkEnd w:id="1"/>
    </w:p>
    <w:p w14:paraId="39A3D6F3" w14:textId="77777777" w:rsidR="00A00628" w:rsidRPr="001954E1" w:rsidRDefault="00A00628" w:rsidP="00A00628">
      <w:pPr>
        <w:rPr>
          <w:i/>
          <w:vanish/>
        </w:rPr>
      </w:pPr>
      <w:r w:rsidRPr="001954E1">
        <w:rPr>
          <w:i/>
        </w:rPr>
        <w:fldChar w:fldCharType="begin"/>
      </w:r>
      <w:r w:rsidRPr="001954E1">
        <w:rPr>
          <w:i/>
        </w:rPr>
        <w:instrText xml:space="preserve"> TC"(</w:instrText>
      </w:r>
      <w:bookmarkStart w:id="2" w:name="DocNumber"/>
      <w:r w:rsidRPr="001954E1">
        <w:rPr>
          <w:i/>
        </w:rPr>
        <w:instrText>A10-0006/2026</w:instrText>
      </w:r>
      <w:bookmarkEnd w:id="2"/>
      <w:r w:rsidRPr="001954E1">
        <w:rPr>
          <w:i/>
        </w:rPr>
        <w:instrText xml:space="preserve"> - Poročevalec: Nicolae Ștefănuță)"\l3 \n&gt; \* MERGEFORMAT </w:instrText>
      </w:r>
      <w:r w:rsidRPr="001954E1">
        <w:rPr>
          <w:i/>
        </w:rPr>
        <w:fldChar w:fldCharType="end"/>
      </w:r>
    </w:p>
    <w:p w14:paraId="5D79EA83" w14:textId="77777777" w:rsidR="00A00628" w:rsidRPr="001954E1" w:rsidRDefault="00A00628" w:rsidP="00A00628">
      <w:pPr>
        <w:rPr>
          <w:vanish/>
        </w:rPr>
      </w:pPr>
      <w:bookmarkStart w:id="3" w:name="Commission"/>
      <w:r w:rsidRPr="001954E1">
        <w:rPr>
          <w:vanish/>
        </w:rPr>
        <w:t>Odbor za proračun</w:t>
      </w:r>
      <w:bookmarkEnd w:id="3"/>
    </w:p>
    <w:p w14:paraId="2926934F" w14:textId="77777777" w:rsidR="00A00628" w:rsidRPr="001954E1" w:rsidRDefault="00A00628" w:rsidP="00A00628">
      <w:pPr>
        <w:rPr>
          <w:vanish/>
        </w:rPr>
      </w:pPr>
      <w:bookmarkStart w:id="4" w:name="PE"/>
      <w:r w:rsidRPr="001954E1">
        <w:rPr>
          <w:vanish/>
        </w:rPr>
        <w:t>PE782.226</w:t>
      </w:r>
      <w:bookmarkEnd w:id="4"/>
    </w:p>
    <w:p w14:paraId="47EE10DF" w14:textId="71338B9A" w:rsidR="00A00628" w:rsidRPr="001954E1" w:rsidRDefault="00DC620A" w:rsidP="00A00628">
      <w:pPr>
        <w:pStyle w:val="ATHeading3"/>
      </w:pPr>
      <w:bookmarkStart w:id="5" w:name="Sujet"/>
      <w:r>
        <w:t>R</w:t>
      </w:r>
      <w:r w:rsidR="00A00628" w:rsidRPr="001954E1">
        <w:t xml:space="preserve">esolucija Evropskega parlamenta z dne </w:t>
      </w:r>
      <w:r w:rsidR="007C7128">
        <w:t>11. februarja</w:t>
      </w:r>
      <w:r w:rsidR="00A00628" w:rsidRPr="001954E1">
        <w:t xml:space="preserve"> 2026 o predlogu sklepa Evropskega parlamenta in Sveta o uporabi Evropskega sklada za prilagoditev globalizaciji za presežne delavce na podlagi vloge Belgije – EGF/2025/006 BE/Audi</w:t>
      </w:r>
      <w:bookmarkEnd w:id="5"/>
      <w:r w:rsidR="00A00628" w:rsidRPr="001954E1">
        <w:t xml:space="preserve"> </w:t>
      </w:r>
      <w:bookmarkStart w:id="6" w:name="References"/>
      <w:r w:rsidR="00A00628" w:rsidRPr="001954E1">
        <w:t>(COM(2026)0002 – C10-0002/2026 – 2026/0001(BUD))</w:t>
      </w:r>
      <w:bookmarkEnd w:id="6"/>
    </w:p>
    <w:p w14:paraId="1B97521B" w14:textId="77777777" w:rsidR="009163AB" w:rsidRPr="001954E1" w:rsidRDefault="009163AB" w:rsidP="009163AB">
      <w:pPr>
        <w:pStyle w:val="EPComma"/>
        <w:rPr>
          <w:noProof/>
        </w:rPr>
      </w:pPr>
      <w:r w:rsidRPr="001954E1">
        <w:rPr>
          <w:i/>
        </w:rPr>
        <w:t>Evropski parlament</w:t>
      </w:r>
      <w:r w:rsidRPr="001954E1">
        <w:t>,</w:t>
      </w:r>
    </w:p>
    <w:p w14:paraId="17358817" w14:textId="77777777" w:rsidR="009163AB" w:rsidRPr="001954E1" w:rsidRDefault="009163AB" w:rsidP="009163AB">
      <w:pPr>
        <w:pStyle w:val="NormalHanging12a"/>
        <w:rPr>
          <w:noProof/>
        </w:rPr>
      </w:pPr>
      <w:r w:rsidRPr="001954E1">
        <w:t>–</w:t>
      </w:r>
      <w:r w:rsidRPr="001954E1">
        <w:tab/>
        <w:t>ob upoštevanju predloga Komisije Evropskemu parlamentu in Svetu (COM(2026)0002 – C10-0002/2026),</w:t>
      </w:r>
    </w:p>
    <w:p w14:paraId="7BB28942" w14:textId="77777777" w:rsidR="009163AB" w:rsidRPr="001954E1" w:rsidRDefault="009163AB" w:rsidP="009163AB">
      <w:pPr>
        <w:pStyle w:val="NormalHanging12a"/>
      </w:pPr>
      <w:r w:rsidRPr="001954E1">
        <w:t>–</w:t>
      </w:r>
      <w:r w:rsidRPr="001954E1">
        <w:tab/>
        <w:t>ob upoštevanju Uredbe (EU) 2021/691 Evropskega parlamenta in Sveta z dne 28. aprila 2021 o Evropskem skladu za prilagoditev globalizaciji za presežne delavce (ESPG) in razveljavitvi Uredbe (EU) št. 1309/2013</w:t>
      </w:r>
      <w:r w:rsidRPr="001954E1">
        <w:rPr>
          <w:vertAlign w:val="superscript"/>
        </w:rPr>
        <w:footnoteReference w:id="1"/>
      </w:r>
      <w:r w:rsidRPr="001954E1">
        <w:t xml:space="preserve"> (v nadaljnjem besedilu: uredba o ESPG),</w:t>
      </w:r>
    </w:p>
    <w:p w14:paraId="0B489DF1" w14:textId="07E6B148" w:rsidR="009163AB" w:rsidRPr="001954E1" w:rsidRDefault="009163AB" w:rsidP="009163AB">
      <w:pPr>
        <w:pStyle w:val="NormalHanging12a"/>
        <w:rPr>
          <w:noProof/>
        </w:rPr>
      </w:pPr>
      <w:r w:rsidRPr="001954E1">
        <w:t>–</w:t>
      </w:r>
      <w:r w:rsidRPr="001954E1">
        <w:tab/>
        <w:t>ob upoštevanju Uredbe Sveta (EU, Euratom) 2020/2093 z dne 17. decembra 2020 o določitvi večletnega finančnega okvira za obdobje 2021–2027</w:t>
      </w:r>
      <w:r w:rsidRPr="001954E1">
        <w:rPr>
          <w:noProof/>
          <w:vertAlign w:val="superscript"/>
        </w:rPr>
        <w:footnoteReference w:id="2"/>
      </w:r>
      <w:r w:rsidRPr="001954E1">
        <w:t>, kot je bila spremenjena z Uredbo (EU, Euratom) 2024/765</w:t>
      </w:r>
      <w:r w:rsidRPr="001954E1">
        <w:rPr>
          <w:noProof/>
          <w:vertAlign w:val="superscript"/>
        </w:rPr>
        <w:footnoteReference w:id="3"/>
      </w:r>
      <w:r w:rsidRPr="001954E1">
        <w:t xml:space="preserve"> (v nadaljnjem besedilu: uredba o večletnem finančnem okviru)</w:t>
      </w:r>
      <w:r w:rsidR="00CF4711">
        <w:t>,</w:t>
      </w:r>
      <w:r w:rsidRPr="001954E1">
        <w:t xml:space="preserve"> in zlasti člena 8,</w:t>
      </w:r>
    </w:p>
    <w:p w14:paraId="7BDFEEDA" w14:textId="43B4B102" w:rsidR="009163AB" w:rsidRPr="001954E1" w:rsidRDefault="009163AB" w:rsidP="009163AB">
      <w:pPr>
        <w:pStyle w:val="NormalHanging12a"/>
        <w:rPr>
          <w:noProof/>
        </w:rPr>
      </w:pPr>
      <w:r w:rsidRPr="001954E1">
        <w:t>–</w:t>
      </w:r>
      <w:r w:rsidRPr="001954E1">
        <w:tab/>
        <w:t>ob upoštevanju Medinstitucionalnega sporazuma z dne 16. decembra 2020 med Evropskim parlamentom, Svetom Evropske unije in Evropsko komisijo o proračunski disciplini, sodelovanju v proračunskih zadevah in dobrem finančnem poslovodenju ter novih virih lastnih sredstev, vključno s časovnim načrtom za uvedbo novih virov lastnih sredstev</w:t>
      </w:r>
      <w:r w:rsidRPr="001954E1">
        <w:rPr>
          <w:rStyle w:val="FootnoteReference"/>
          <w:noProof/>
        </w:rPr>
        <w:footnoteReference w:id="4"/>
      </w:r>
      <w:r w:rsidR="00AF43AB">
        <w:t xml:space="preserve">, ter </w:t>
      </w:r>
      <w:r w:rsidRPr="001954E1">
        <w:t>zlasti točke 9</w:t>
      </w:r>
      <w:r w:rsidR="00AF43AB">
        <w:t xml:space="preserve"> Sporazuma</w:t>
      </w:r>
      <w:r w:rsidRPr="001954E1">
        <w:t>,</w:t>
      </w:r>
    </w:p>
    <w:p w14:paraId="58DB2C43" w14:textId="77777777" w:rsidR="009163AB" w:rsidRPr="001954E1" w:rsidRDefault="009163AB" w:rsidP="009163AB">
      <w:pPr>
        <w:pStyle w:val="NormalHanging12a"/>
      </w:pPr>
      <w:r w:rsidRPr="001954E1">
        <w:lastRenderedPageBreak/>
        <w:t>–</w:t>
      </w:r>
      <w:r w:rsidRPr="001954E1">
        <w:tab/>
        <w:t>ob upoštevanju evropskega stebra socialnih pravic,</w:t>
      </w:r>
    </w:p>
    <w:p w14:paraId="6B3DE4F9" w14:textId="77777777" w:rsidR="009163AB" w:rsidRPr="001954E1" w:rsidRDefault="009163AB" w:rsidP="009163AB">
      <w:pPr>
        <w:pStyle w:val="NormalHanging12a"/>
      </w:pPr>
      <w:r w:rsidRPr="001954E1">
        <w:t>–</w:t>
      </w:r>
      <w:r w:rsidRPr="001954E1">
        <w:tab/>
        <w:t>ob upoštevanju pisma Odbora za zaposlovanje in socialne zadeve,</w:t>
      </w:r>
    </w:p>
    <w:p w14:paraId="40860E1B" w14:textId="77777777" w:rsidR="009163AB" w:rsidRPr="001954E1" w:rsidRDefault="009163AB" w:rsidP="009163AB">
      <w:pPr>
        <w:pStyle w:val="NormalHanging12a"/>
      </w:pPr>
      <w:r w:rsidRPr="001954E1">
        <w:t>–</w:t>
      </w:r>
      <w:r w:rsidRPr="001954E1">
        <w:tab/>
        <w:t>ob upoštevanju poročila Odbora za proračun (A10-0006/2026),</w:t>
      </w:r>
    </w:p>
    <w:p w14:paraId="71D80024" w14:textId="77777777" w:rsidR="009163AB" w:rsidRPr="001954E1" w:rsidRDefault="009163AB" w:rsidP="009163AB">
      <w:pPr>
        <w:pStyle w:val="NormalHanging12a"/>
        <w:rPr>
          <w:noProof/>
        </w:rPr>
      </w:pPr>
      <w:r w:rsidRPr="001954E1">
        <w:t>A.</w:t>
      </w:r>
      <w:r w:rsidRPr="001954E1">
        <w:tab/>
        <w:t>ker je Unija vzpostavila zakonodajne in proračunske instrumente za zagotavljanje dodatne podpore delavcem, ki so jih prizadele posledice velikih strukturnih dogodkov in sprememb v svetovnih trgovinskih tokovih, ter za pomoč pri njihovi ponovni vključitvi na trg dela; ker se ta pomoč zagotovi prek finančne podpore delavcem;</w:t>
      </w:r>
    </w:p>
    <w:p w14:paraId="068A5939" w14:textId="77777777" w:rsidR="009163AB" w:rsidRPr="001954E1" w:rsidRDefault="009163AB" w:rsidP="009163AB">
      <w:pPr>
        <w:pStyle w:val="NormalHanging12a"/>
      </w:pPr>
      <w:r w:rsidRPr="001954E1">
        <w:t>B.</w:t>
      </w:r>
      <w:r w:rsidRPr="001954E1">
        <w:tab/>
        <w:t>ker je Belgija vložila vlogo EGF/2025/006 BE/Audi za finančni prispevek iz ESPG zaradi odpustitve 3414 presežnih delavcev</w:t>
      </w:r>
      <w:r w:rsidRPr="001954E1">
        <w:rPr>
          <w:vertAlign w:val="superscript"/>
        </w:rPr>
        <w:footnoteReference w:id="5"/>
      </w:r>
      <w:r w:rsidRPr="001954E1">
        <w:t xml:space="preserve"> v gospodarskem sektorju, razvrščenem v oddelek 29 NACE Revizija 2 (Proizvodnja motornih vozil, prikolic in polprikolic), v regijah Bruxelles Capitale (BE10), Provincie Oost-Vlaanderen (BE23) in Provincie Hainaut (BE32), pri čemer je bilo v referenčnem obdobju od 28. februarja 2025 do 28. junija 2025 odpuščenih 3148 delavcev, od tega 2580 presežnih delavcev, ki so prenehali opravljati dejavnost v podjetju Audi S.A./n.V. (Audi) in njegovih hčerinskih družbah, 568 presežnih delavcev pri petih dobaviteljih in proizvajalcih v poproizvodni fazi ter 266 presežnih delavcev pred referenčnim obdobjem ali po njem;</w:t>
      </w:r>
    </w:p>
    <w:p w14:paraId="048D81CE" w14:textId="77777777" w:rsidR="009163AB" w:rsidRPr="001954E1" w:rsidRDefault="009163AB" w:rsidP="009163AB">
      <w:pPr>
        <w:pStyle w:val="NormalHanging12a"/>
      </w:pPr>
      <w:r w:rsidRPr="001954E1">
        <w:t>C.</w:t>
      </w:r>
      <w:r w:rsidRPr="001954E1">
        <w:tab/>
        <w:t>ker vloga temelji na merilu za pomoč iz člena 4(2), točka (a), uredbe o ESPG; ker je za 266 presežnih delavcev, ki so prenehali opravljati dejavnost pred štirimesečnim referenčnim obdobjem ali po njem, mogoče ugotoviti jasno vzročno povezavo z dogodkom, ki je povzročil odpustitev presežnih delavcev v referenčnem obdobju, kot zahteva člen 6(2) uredbe o ESPG;</w:t>
      </w:r>
    </w:p>
    <w:p w14:paraId="43B961C0" w14:textId="77777777" w:rsidR="009163AB" w:rsidRPr="001954E1" w:rsidRDefault="009163AB" w:rsidP="009163AB">
      <w:pPr>
        <w:pStyle w:val="NormalHanging12a"/>
      </w:pPr>
      <w:r w:rsidRPr="001954E1">
        <w:t>D.</w:t>
      </w:r>
      <w:r w:rsidRPr="001954E1">
        <w:tab/>
        <w:t>ker se je v zadevni tovarni podjetja Audi proizvajal le en model, pri čemer je bila proizvodnja zaradi visokih proizvodnih stroškov, povezanih z lokacijo tovarne, ukinjena prej, kot je bilo načrtovano; ker se je tovarna zaprla 28. februarja 2025;</w:t>
      </w:r>
    </w:p>
    <w:p w14:paraId="39E7D925" w14:textId="77777777" w:rsidR="009163AB" w:rsidRPr="001954E1" w:rsidRDefault="009163AB" w:rsidP="009163AB">
      <w:pPr>
        <w:pStyle w:val="NormalHanging12a"/>
      </w:pPr>
      <w:r w:rsidRPr="001954E1">
        <w:t>E.</w:t>
      </w:r>
      <w:r w:rsidRPr="001954E1">
        <w:tab/>
        <w:t>ker Belgija zagotavlja nacionalno predhodno financiranje in sofinanciranje ukrepov;</w:t>
      </w:r>
    </w:p>
    <w:p w14:paraId="0E82247B" w14:textId="77777777" w:rsidR="009163AB" w:rsidRPr="001954E1" w:rsidRDefault="009163AB" w:rsidP="009163AB">
      <w:pPr>
        <w:pStyle w:val="NormalHanging12a"/>
      </w:pPr>
      <w:r w:rsidRPr="001954E1">
        <w:t>F.</w:t>
      </w:r>
      <w:r w:rsidRPr="001954E1">
        <w:tab/>
        <w:t>ker zadevna podjetja izpolnjujejo zahteve iz zakonodaje Unije in nacionalne zakonodaje o kolektivnem odpuščanju;</w:t>
      </w:r>
    </w:p>
    <w:p w14:paraId="31BE3377" w14:textId="77777777" w:rsidR="009163AB" w:rsidRPr="001954E1" w:rsidRDefault="009163AB" w:rsidP="009163AB">
      <w:pPr>
        <w:pStyle w:val="NormalHanging12a"/>
      </w:pPr>
      <w:r w:rsidRPr="001954E1">
        <w:t>G.</w:t>
      </w:r>
      <w:r w:rsidRPr="001954E1">
        <w:tab/>
        <w:t>ker bi morali biti finančni prispevki iz ESPG usmerjeni predvsem v aktivne ukrepe politike trga dela in prilagojene storitve, katerih cilj je hitra ponovna vključitev upravičencev v dostojno in trajnostno zaposlitev, ki bi jim nudila usposabljanje za pridobitev znanj in spretnosti, da bi jim olajšali dostop do trga dela, hkrati pa bi jih pripravili na bolj zeleno in bolj digitalno evropsko gospodarstvo;</w:t>
      </w:r>
    </w:p>
    <w:p w14:paraId="68C91938" w14:textId="77777777" w:rsidR="009163AB" w:rsidRPr="001954E1" w:rsidRDefault="009163AB" w:rsidP="009163AB">
      <w:pPr>
        <w:pStyle w:val="NormalHanging12a"/>
      </w:pPr>
      <w:r w:rsidRPr="001954E1">
        <w:t>H.</w:t>
      </w:r>
      <w:r w:rsidRPr="001954E1">
        <w:tab/>
        <w:t>ker sredstva ESPG ne presegajo najvišjega letnega zneska 30 milijonov EUR (v cenah iz leta 2018)</w:t>
      </w:r>
      <w:r w:rsidRPr="001954E1">
        <w:rPr>
          <w:rStyle w:val="FootnoteReference"/>
        </w:rPr>
        <w:footnoteReference w:id="6"/>
      </w:r>
      <w:r w:rsidRPr="001954E1">
        <w:t>;</w:t>
      </w:r>
    </w:p>
    <w:p w14:paraId="05D97401" w14:textId="77777777" w:rsidR="009163AB" w:rsidRPr="001954E1" w:rsidRDefault="009163AB" w:rsidP="009163AB">
      <w:pPr>
        <w:pStyle w:val="NormalHanging12a"/>
      </w:pPr>
      <w:r w:rsidRPr="001954E1">
        <w:t>1.</w:t>
      </w:r>
      <w:r w:rsidRPr="001954E1">
        <w:tab/>
        <w:t xml:space="preserve">se strinja s Komisijo, da so pogoji iz uredbe o ESPG, zlasti člena 4(2), točka (a), izpolnjeni in da je Belgija na podlagi te uredbe upravičena do finančnega prispevka v znesku 7 527 625 EUR, kar je 85 % skupnih stroškov v znesku 8 856 030 EUR, od česar stroški prilagojenih storitev znašajo 8 738 968 EUR, stroški priprave, upravljanja, </w:t>
      </w:r>
      <w:r w:rsidRPr="001954E1">
        <w:lastRenderedPageBreak/>
        <w:t>informiranja in obveščanja javnosti ter nadzora in poročanja pa 117 062 EUR;</w:t>
      </w:r>
    </w:p>
    <w:p w14:paraId="02440B1B" w14:textId="05F76914" w:rsidR="009163AB" w:rsidRPr="001954E1" w:rsidRDefault="009163AB" w:rsidP="009163AB">
      <w:pPr>
        <w:pStyle w:val="NormalHanging12a"/>
      </w:pPr>
      <w:r w:rsidRPr="001954E1">
        <w:t>2.</w:t>
      </w:r>
      <w:r w:rsidRPr="001954E1">
        <w:tab/>
        <w:t xml:space="preserve">ugotavlja, da so belgijski organi vlogo predložili 18. septembra 2025, Komisija pa je na osnovi dodatnih informacij, ki jih je posredovala Belgija, oceno te vloge dokončala 9. januarja 2026 in jo še istega dne posredovala Parlamentu; poudarja, da je pomembno skrajšati čas med predložitvijo vloge za pomoč iz ESPG in sklepom o financiranju, hkrati pa v celoti zaščititi pravice </w:t>
      </w:r>
      <w:r w:rsidR="007C7128">
        <w:t>P</w:t>
      </w:r>
      <w:r w:rsidRPr="001954E1">
        <w:t>arlamenta kot veje proračunskega organa;</w:t>
      </w:r>
    </w:p>
    <w:p w14:paraId="076ABBE4" w14:textId="77777777" w:rsidR="009163AB" w:rsidRPr="001954E1" w:rsidRDefault="009163AB" w:rsidP="009163AB">
      <w:pPr>
        <w:pStyle w:val="NormalHanging12a"/>
      </w:pPr>
      <w:r w:rsidRPr="001954E1">
        <w:t>3.</w:t>
      </w:r>
      <w:r w:rsidRPr="001954E1">
        <w:tab/>
        <w:t>ugotavlja, da se vloga nanaša na delavce, ki so prenehali opravljati dejavnost v podjetju Audi ter pri petih dobaviteljih in proizvajalcih v poproizvodni fazi, in da bodo vsi ciljni upravičenci;</w:t>
      </w:r>
    </w:p>
    <w:p w14:paraId="24B6CC56" w14:textId="77777777" w:rsidR="009163AB" w:rsidRPr="001954E1" w:rsidRDefault="009163AB" w:rsidP="009163AB">
      <w:pPr>
        <w:pStyle w:val="NormalHanging12a"/>
      </w:pPr>
      <w:r w:rsidRPr="001954E1">
        <w:t>4.</w:t>
      </w:r>
      <w:r w:rsidRPr="001954E1">
        <w:tab/>
        <w:t>ugotavlja, da se je zaradi povečanja stečajev v zadnjih dveh letih znatno povečala stopnja brezposelnosti v nekaterih regijah v Belgiji, zlasti v Bruslju in Hainautu (Valonija); poudarja, da je tveganje brezposelnosti povezano s stopnjo izobrazbe in da je vsaka druga oseba z nizko izobrazbo in vsaka tretja oseba s srednjo izobrazbo izpostavljena večjemu tveganju brezposelnosti, pri čemer te skupine predstavljajo 83 % presežnih delavcev; obžaluje, da se bodo zaradi teh presežkov razmere še poslabšale; poziva belgijske organe, naj sprejmejo ukrepe za zmanjšanje stečajev, da bi preprečili strukturno in regionalno nazadovanje, hkrati pa obravnavali socialne razlike, ki vodijo v izključenost delovne sile, kot so neenakosti med spoloma in nizka stopnja izobrazbe;</w:t>
      </w:r>
    </w:p>
    <w:p w14:paraId="13C9B3B0" w14:textId="77777777" w:rsidR="009163AB" w:rsidRPr="001954E1" w:rsidRDefault="009163AB" w:rsidP="009163AB">
      <w:pPr>
        <w:pStyle w:val="NormalHanging12a"/>
        <w:rPr>
          <w:noProof/>
        </w:rPr>
      </w:pPr>
      <w:r w:rsidRPr="001954E1">
        <w:t>5.</w:t>
      </w:r>
      <w:r w:rsidRPr="001954E1">
        <w:tab/>
        <w:t>ugotavlja, da svetovni trg proizvodnje in prodaje avtomobilov, zlasti električnih avtomobilov, zaznamuje vse bolj agresivna svetovna konkurenca; poudarja vse večje izzive, s katerimi se soočajo evropski proizvajalci avtomobilov, ko poskušajo uvajati inovativne in cenovno dostopne modele na trg v segmentih, ki so usmerjeni v prihodnost, kot so baterijska električna vozila; obžaluje, da je podjetje Audi prenehalo opravljati dejavnosti v Belgiji, čeprav je bilo še vedno dobičkonosno, in da se bo proizvodnja preselila na Kitajsko in v Mehiko, zaradi česar je bilo odpuščenih 3414 delavcev; z zaskrbljenostjo ugotavlja, da so zahtevni proizvodni pogoji, vključno z nezadostnim dostopom do cenejših čistih virov energije in njihovo uporabo, prispevali k selitvi obratov podjetja Audi zunaj Unije;</w:t>
      </w:r>
    </w:p>
    <w:p w14:paraId="3BFF10DC" w14:textId="77777777" w:rsidR="009163AB" w:rsidRPr="001954E1" w:rsidRDefault="009163AB" w:rsidP="009163AB">
      <w:pPr>
        <w:pStyle w:val="NormalHanging12a"/>
        <w:rPr>
          <w:bCs/>
          <w:iCs/>
        </w:rPr>
      </w:pPr>
      <w:r w:rsidRPr="001954E1">
        <w:t>6.</w:t>
      </w:r>
      <w:r w:rsidRPr="001954E1">
        <w:tab/>
        <w:t>poudarja, da zaprtje tovarne po več kot 70 letih delovanja kljub proizvodnji električnih vozil kaže, da so izzivi, s katerimi se sooča evropska industrija, strukturne narave in niso zgolj tehnološki;</w:t>
      </w:r>
    </w:p>
    <w:p w14:paraId="4336A6AB" w14:textId="77777777" w:rsidR="009163AB" w:rsidRPr="001954E1" w:rsidRDefault="009163AB" w:rsidP="009163AB">
      <w:pPr>
        <w:pStyle w:val="NormalHanging12a"/>
      </w:pPr>
      <w:r w:rsidRPr="001954E1">
        <w:t>7.</w:t>
      </w:r>
      <w:r w:rsidRPr="001954E1">
        <w:tab/>
        <w:t>poudarja, da je treba najti trajnostno rešitev za spremembo namena zaprte tovarne, da bi se ustvarila visokokakovostna delovna mesta v regiji; poziva belgijske organe, naj sprejmejo potrebne ukrepe, s katerimi bodo olajšale odprtje novega proizvodnega obrata v nekdanji tovarni podjetja Audi;</w:t>
      </w:r>
    </w:p>
    <w:p w14:paraId="22A4CF15" w14:textId="03FB5BFC" w:rsidR="009163AB" w:rsidRPr="001954E1" w:rsidRDefault="009163AB" w:rsidP="00E443E5">
      <w:pPr>
        <w:pStyle w:val="NormalHanging12a"/>
        <w:rPr>
          <w:bCs/>
          <w:iCs/>
        </w:rPr>
      </w:pPr>
      <w:r w:rsidRPr="001954E1">
        <w:t>8.</w:t>
      </w:r>
      <w:r w:rsidRPr="001954E1">
        <w:tab/>
        <w:t>poudarja, da so kvalifikacije ter znanja in spretnosti odpuščenih delavcev še vedno ključnega pomena za evropsko gospodarstvo, ki bo kos izzivom prihodnosti in bo izpeljalo zeleni prehod, hkrati pa bo ohranilo močno industrijsko bazo; zato meni, da je treba mobilizacijo sredstev ESPG vključiti v širši politični odziv na vse</w:t>
      </w:r>
      <w:r w:rsidR="00622BFC">
        <w:t>h</w:t>
      </w:r>
      <w:r w:rsidRPr="001954E1">
        <w:t xml:space="preserve"> političnih ravneh, da bi prizadetim delavcem zagotovili ustrezne priložnosti v skladu z njihovimi kvalifikacijami ter znanji in spretnostmi;</w:t>
      </w:r>
    </w:p>
    <w:p w14:paraId="27A90DC1" w14:textId="77777777" w:rsidR="009163AB" w:rsidRPr="001954E1" w:rsidRDefault="009163AB" w:rsidP="009163AB">
      <w:pPr>
        <w:pStyle w:val="NormalHanging12a"/>
      </w:pPr>
      <w:r w:rsidRPr="001954E1">
        <w:t>9.</w:t>
      </w:r>
      <w:r w:rsidRPr="001954E1">
        <w:tab/>
        <w:t xml:space="preserve">opozarja, da v dogovoru s sindikati in socialnimi partnerji prilagojene storitve, ki bodo zagotovljene delavcem, vključujejo naslednje ukrepe: storitve svetovanja, obveščanja in posredovanja zaposlitve; usposabljanje, vključno s spretnostmi na področju </w:t>
      </w:r>
      <w:r w:rsidRPr="001954E1">
        <w:lastRenderedPageBreak/>
        <w:t>informacijske tehnologije; dan zaposlovanja; prispevek za ustanovitev podjetja; spodbude za udeležbo na dejavnostih iskanja zaposlitve; poudarja pomen spodbujanja visokokakovostnih, v prihodnost usmerjenih delovnih mest, da se zagotovi dolgoročna gospodarska in socialna odpornost;</w:t>
      </w:r>
    </w:p>
    <w:p w14:paraId="1B8176A3" w14:textId="77777777" w:rsidR="009163AB" w:rsidRPr="001954E1" w:rsidRDefault="009163AB" w:rsidP="009163AB">
      <w:pPr>
        <w:pStyle w:val="NormalHanging12a"/>
        <w:rPr>
          <w:bCs/>
          <w:iCs/>
        </w:rPr>
      </w:pPr>
      <w:r w:rsidRPr="001954E1">
        <w:t>10.</w:t>
      </w:r>
      <w:r w:rsidRPr="001954E1">
        <w:tab/>
        <w:t>poudarja, da morajo belgijski organi zagotoviti prepoznavnost financiranja Unije in njegovo dodano vrednost, tako da upravičencem, regionalnim in lokalnim organom, socialnim partnerjem in širši javnosti zagotovijo učinkovite in ciljno usmerjene informacije;</w:t>
      </w:r>
    </w:p>
    <w:p w14:paraId="50B116AB" w14:textId="77777777" w:rsidR="009163AB" w:rsidRPr="001954E1" w:rsidRDefault="009163AB" w:rsidP="009163AB">
      <w:pPr>
        <w:pStyle w:val="NormalHanging12a"/>
      </w:pPr>
      <w:r w:rsidRPr="001954E1">
        <w:t>11.</w:t>
      </w:r>
      <w:r w:rsidRPr="001954E1">
        <w:tab/>
        <w:t>poziva k temeljiti končni oceni izvedenih ukrepov, vključno z jasnimi informacijami o tem, kako so bila sredstva porabljena in ali so dejansko dosegla cilje, za katere je bil ustanovljen ESPG, vključno s podatki in časovnimi okviri o številu delavcev, ki so se uspešno ponovno zaposlili, in delovnih mestih, do katerih so dostopali, pa tudi o tistih, ki so zaključili ukrepe usposabljanja in izpopolnjevanja, ter ustreznimi časovnimi okviri;</w:t>
      </w:r>
    </w:p>
    <w:p w14:paraId="34BF7497" w14:textId="77777777" w:rsidR="009163AB" w:rsidRPr="001954E1" w:rsidRDefault="009163AB" w:rsidP="009163AB">
      <w:pPr>
        <w:pStyle w:val="NormalHanging12a"/>
      </w:pPr>
      <w:r w:rsidRPr="001954E1">
        <w:t>12.</w:t>
      </w:r>
      <w:r w:rsidRPr="001954E1">
        <w:tab/>
        <w:t>ugotavlja, da je Belgija prilagojene storitve za ciljne upravičence začela izvajati 17. februarja 2025 in da je torej obdobje upravičenosti do finančnega prispevka iz ESPG začelo teči istega dne in se bo končalo 24 mesecev po začetku veljavnosti sklepa o financiranju;</w:t>
      </w:r>
    </w:p>
    <w:p w14:paraId="2FE88FDC" w14:textId="77777777" w:rsidR="009163AB" w:rsidRPr="001954E1" w:rsidRDefault="009163AB" w:rsidP="009163AB">
      <w:pPr>
        <w:pStyle w:val="NormalHanging12a"/>
        <w:rPr>
          <w:sz w:val="23"/>
          <w:szCs w:val="23"/>
        </w:rPr>
      </w:pPr>
      <w:r w:rsidRPr="001954E1">
        <w:t>13.</w:t>
      </w:r>
      <w:r w:rsidRPr="001954E1">
        <w:tab/>
        <w:t>ugotavlja, da je Belgija prve upravne odhodke za izvajanje ESPG imela 9. julija 2024 in da bodo tovrstni odhodki torej upravičeni do finančnega prispevka iz ESPG od tega datuma do izteka 31 mesecev po začetku veljavnosti sklepa o financiranju;</w:t>
      </w:r>
    </w:p>
    <w:p w14:paraId="07E3BDF2" w14:textId="77777777" w:rsidR="009163AB" w:rsidRPr="001954E1" w:rsidRDefault="009163AB" w:rsidP="009163AB">
      <w:pPr>
        <w:pStyle w:val="NormalHanging12a"/>
      </w:pPr>
      <w:r w:rsidRPr="001954E1">
        <w:t>14.</w:t>
      </w:r>
      <w:r w:rsidRPr="001954E1">
        <w:tab/>
        <w:t>je seznanjen, da so belgijski organi dali zagotovila, da bosta pri dostopu do predlaganih ukrepov in njihovem izvajanju spoštovani načeli enake obravnave in nediskriminacije ter da bo preprečeno vsako dvojno financiranje;</w:t>
      </w:r>
    </w:p>
    <w:p w14:paraId="46FAAA48" w14:textId="77777777" w:rsidR="009163AB" w:rsidRPr="001954E1" w:rsidRDefault="009163AB" w:rsidP="009163AB">
      <w:pPr>
        <w:pStyle w:val="NormalHanging12a"/>
      </w:pPr>
      <w:r w:rsidRPr="001954E1">
        <w:t>15.</w:t>
      </w:r>
      <w:r w:rsidRPr="001954E1">
        <w:tab/>
        <w:t>ponavlja, da pomoč iz ESPG ne sme nadomestiti ukrepov, za katere so odgovorna podjetja na podlagi nacionalnega prava ali kolektivnih pogodb;</w:t>
      </w:r>
    </w:p>
    <w:p w14:paraId="19635CEE" w14:textId="77777777" w:rsidR="009163AB" w:rsidRPr="001954E1" w:rsidRDefault="009163AB" w:rsidP="009163AB">
      <w:pPr>
        <w:pStyle w:val="NormalHanging12a"/>
        <w:rPr>
          <w:bCs/>
          <w:iCs/>
        </w:rPr>
      </w:pPr>
      <w:r w:rsidRPr="001954E1">
        <w:t>16.</w:t>
      </w:r>
      <w:r w:rsidRPr="001954E1">
        <w:tab/>
        <w:t>opozarja, da je ESPG instrument solidarnosti in pravičnega prehoda ter da kljub temu, da zagotavlja podporo po izgubi delovnih mest, ne more nadomestiti proaktivne, skladne in usklajene industrijske politike Unije, da bi zaščitili evropsko industrijsko zaposlitveno bazo in socialno varnost ter dolgoročno gospodarsko in socialno odpornost ter preprečili regionalno strukturno nazadovanje; poudarja, da mora biti glavna naloga Unije preprečiti takšna zapiranja, in sicer predvsem z ustvarjanjem pogojev za cenovno dostopno, čisto in zanesljivo energijo, da bi industrijska proizvodnja ostala konkurenčna, hkrati pa vlagati v znanja in spretnosti visokokvalificiranih delavcev in industrijskih delavcev; poleg tega poudarja, da so nujno potrebna skladna in usklajena prizadevanja Unije za konkurenčnost, razvita v tesnem partnerstvu z državami članicami, da bi zaščitili evropsko industrijsko zaposlitveno bazo in socialno varnost, ter izpostavlja, da lahko le trdno in odporno evropsko gospodarstvo učinkovito prepreči obsežno odpuščanje, s čimer se zmanjša potreba po posredovanju ESPG;</w:t>
      </w:r>
    </w:p>
    <w:p w14:paraId="13F0E8F6" w14:textId="77777777" w:rsidR="009163AB" w:rsidRPr="001954E1" w:rsidRDefault="009163AB" w:rsidP="009163AB">
      <w:pPr>
        <w:pStyle w:val="NormalHanging12a"/>
      </w:pPr>
      <w:r w:rsidRPr="001954E1">
        <w:t>17.</w:t>
      </w:r>
      <w:r w:rsidRPr="001954E1">
        <w:tab/>
        <w:t>odobri sklep, priložen tej resoluciji;</w:t>
      </w:r>
    </w:p>
    <w:p w14:paraId="1C25D852" w14:textId="77777777" w:rsidR="009163AB" w:rsidRPr="001954E1" w:rsidRDefault="009163AB" w:rsidP="009163AB">
      <w:pPr>
        <w:pStyle w:val="NormalHanging12a"/>
      </w:pPr>
      <w:r w:rsidRPr="001954E1">
        <w:t>18.</w:t>
      </w:r>
      <w:r w:rsidRPr="001954E1">
        <w:tab/>
        <w:t xml:space="preserve">naroči svoji predsednici, naj podpiše ta sklep skupaj s predsedujočim Svetu ter poskrbi za njegovo objavo v </w:t>
      </w:r>
      <w:r w:rsidRPr="001954E1">
        <w:rPr>
          <w:i/>
        </w:rPr>
        <w:t>Uradnem listu Evropske unije</w:t>
      </w:r>
      <w:r w:rsidRPr="001954E1">
        <w:t>;</w:t>
      </w:r>
    </w:p>
    <w:p w14:paraId="72E8890B" w14:textId="77777777" w:rsidR="009163AB" w:rsidRPr="001954E1" w:rsidRDefault="009163AB" w:rsidP="009163AB">
      <w:pPr>
        <w:pStyle w:val="NormalHanging12a"/>
      </w:pPr>
      <w:r w:rsidRPr="001954E1">
        <w:t>19.</w:t>
      </w:r>
      <w:r w:rsidRPr="001954E1">
        <w:tab/>
        <w:t>naroči svoji predsednici, naj resolucijo skupaj s prilogo posreduje Svetu in Komisiji.</w:t>
      </w:r>
    </w:p>
    <w:p w14:paraId="5DDE613B" w14:textId="77777777" w:rsidR="009163AB" w:rsidRPr="001954E1" w:rsidRDefault="009163AB" w:rsidP="009163AB">
      <w:pPr>
        <w:rPr>
          <w:noProof/>
        </w:rPr>
      </w:pPr>
    </w:p>
    <w:p w14:paraId="3745068D" w14:textId="77777777" w:rsidR="009163AB" w:rsidRPr="001954E1" w:rsidRDefault="009163AB" w:rsidP="009163AB">
      <w:pPr>
        <w:pStyle w:val="PageHeading"/>
        <w:rPr>
          <w:noProof/>
        </w:rPr>
        <w:sectPr w:rsidR="009163AB" w:rsidRPr="001954E1" w:rsidSect="001954E1">
          <w:headerReference w:type="even" r:id="rId9"/>
          <w:footerReference w:type="even"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90E015" w14:textId="77777777" w:rsidR="00A737F6" w:rsidRPr="00A737F6" w:rsidRDefault="009163AB" w:rsidP="009163AB">
      <w:pPr>
        <w:pStyle w:val="PageHeading"/>
        <w:rPr>
          <w:rFonts w:ascii="Times New Roman" w:hAnsi="Times New Roman" w:cs="Times New Roman"/>
        </w:rPr>
      </w:pPr>
      <w:bookmarkStart w:id="7" w:name="_Toc221173839"/>
      <w:r w:rsidRPr="00A737F6">
        <w:rPr>
          <w:rFonts w:ascii="Times New Roman" w:hAnsi="Times New Roman" w:cs="Times New Roman"/>
        </w:rPr>
        <w:lastRenderedPageBreak/>
        <w:t>PRILOGA</w:t>
      </w:r>
      <w:bookmarkStart w:id="8" w:name="_Hlk219192825"/>
    </w:p>
    <w:p w14:paraId="6E191B33" w14:textId="20068108" w:rsidR="009163AB" w:rsidRPr="00A737F6" w:rsidRDefault="009163AB" w:rsidP="009163AB">
      <w:pPr>
        <w:pStyle w:val="PageHeading"/>
        <w:rPr>
          <w:rFonts w:ascii="Times New Roman" w:hAnsi="Times New Roman" w:cs="Times New Roman"/>
        </w:rPr>
      </w:pPr>
      <w:r w:rsidRPr="00A737F6">
        <w:rPr>
          <w:rFonts w:ascii="Times New Roman" w:hAnsi="Times New Roman" w:cs="Times New Roman"/>
        </w:rPr>
        <w:t>SKLEP EVROPSKEGA PARLAMENTA IN SVETA</w:t>
      </w:r>
      <w:bookmarkEnd w:id="7"/>
    </w:p>
    <w:p w14:paraId="54355469" w14:textId="77777777" w:rsidR="009163AB" w:rsidRDefault="009163AB" w:rsidP="00A737F6">
      <w:pPr>
        <w:pStyle w:val="NormalHanging12a"/>
        <w:ind w:left="0" w:firstLine="0"/>
        <w:jc w:val="center"/>
        <w:rPr>
          <w:b/>
        </w:rPr>
      </w:pPr>
      <w:bookmarkStart w:id="9" w:name="_Hlk212804276"/>
      <w:bookmarkStart w:id="10" w:name="_Hlk212804598"/>
      <w:bookmarkEnd w:id="8"/>
      <w:r w:rsidRPr="001954E1">
        <w:rPr>
          <w:b/>
        </w:rPr>
        <w:t>o uporabi Evropskega sklada za prilagoditev globalizaciji za presežne delavce na podlagi vloge Belgije – EGF/2025/006 BE/Audi</w:t>
      </w:r>
    </w:p>
    <w:p w14:paraId="67F9D06B" w14:textId="2D26E039" w:rsidR="00A737F6" w:rsidRPr="00A737F6" w:rsidRDefault="00A737F6" w:rsidP="00A737F6">
      <w:pPr>
        <w:pStyle w:val="NormalHanging12a"/>
        <w:ind w:left="0" w:firstLine="0"/>
        <w:jc w:val="center"/>
        <w:rPr>
          <w:i/>
          <w:iCs/>
        </w:rPr>
      </w:pPr>
      <w:r w:rsidRPr="00A737F6">
        <w:rPr>
          <w:i/>
          <w:iCs/>
        </w:rPr>
        <w:t>(Besedilo te priloge tukaj ni navedeno, saj je enako končnemu aktu, Sklepu (EU) 202</w:t>
      </w:r>
      <w:r>
        <w:rPr>
          <w:i/>
          <w:iCs/>
        </w:rPr>
        <w:t>6</w:t>
      </w:r>
      <w:r w:rsidRPr="00A737F6">
        <w:rPr>
          <w:i/>
          <w:iCs/>
        </w:rPr>
        <w:t>/</w:t>
      </w:r>
      <w:r>
        <w:rPr>
          <w:i/>
          <w:iCs/>
        </w:rPr>
        <w:t>454</w:t>
      </w:r>
      <w:r w:rsidRPr="00A737F6">
        <w:rPr>
          <w:i/>
          <w:iCs/>
        </w:rPr>
        <w:t>.)</w:t>
      </w:r>
    </w:p>
    <w:bookmarkEnd w:id="9"/>
    <w:bookmarkEnd w:id="10"/>
    <w:sectPr w:rsidR="00A737F6" w:rsidRPr="00A737F6" w:rsidSect="001954E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B89F3" w14:textId="77777777" w:rsidR="00A00628" w:rsidRPr="001954E1" w:rsidRDefault="00A00628">
      <w:r w:rsidRPr="001954E1">
        <w:separator/>
      </w:r>
    </w:p>
  </w:endnote>
  <w:endnote w:type="continuationSeparator" w:id="0">
    <w:p w14:paraId="17A566CA" w14:textId="77777777" w:rsidR="00A00628" w:rsidRPr="001954E1" w:rsidRDefault="00A00628">
      <w:r w:rsidRPr="001954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FA614" w14:textId="77777777" w:rsidR="009163AB" w:rsidRPr="001954E1" w:rsidRDefault="009163AB" w:rsidP="00C77EC1">
    <w:pPr>
      <w:pStyle w:val="EPFooter"/>
    </w:pPr>
    <w:r w:rsidRPr="001954E1">
      <w:t>PE</w:t>
    </w:r>
    <w:r w:rsidRPr="001954E1">
      <w:rPr>
        <w:rStyle w:val="HideTWBExt"/>
      </w:rPr>
      <w:t>&lt;NoPE&gt;</w:t>
    </w:r>
    <w:r w:rsidRPr="001954E1">
      <w:t>782.226</w:t>
    </w:r>
    <w:r w:rsidRPr="001954E1">
      <w:rPr>
        <w:rStyle w:val="HideTWBExt"/>
      </w:rPr>
      <w:t>&lt;/NoPE&gt;&lt;Version&gt;</w:t>
    </w:r>
    <w:r w:rsidRPr="001954E1">
      <w:t>v02-00</w:t>
    </w:r>
    <w:r w:rsidRPr="001954E1">
      <w:rPr>
        <w:rStyle w:val="HideTWBExt"/>
      </w:rPr>
      <w:t>&lt;/Version&gt;</w:t>
    </w:r>
    <w:r w:rsidRPr="001954E1">
      <w:tab/>
    </w:r>
    <w:r w:rsidRPr="001954E1">
      <w:fldChar w:fldCharType="begin"/>
    </w:r>
    <w:r w:rsidRPr="001954E1">
      <w:instrText xml:space="preserve"> PAGE  \* MERGEFORMAT </w:instrText>
    </w:r>
    <w:r w:rsidRPr="001954E1">
      <w:fldChar w:fldCharType="separate"/>
    </w:r>
    <w:r w:rsidRPr="001954E1">
      <w:rPr>
        <w:noProof/>
      </w:rPr>
      <w:t>2</w:t>
    </w:r>
    <w:r w:rsidRPr="001954E1">
      <w:fldChar w:fldCharType="end"/>
    </w:r>
    <w:r w:rsidRPr="001954E1">
      <w:t>/</w:t>
    </w:r>
    <w:fldSimple w:instr=" NUMPAGES  \* MERGEFORMAT ">
      <w:r w:rsidRPr="001954E1">
        <w:rPr>
          <w:noProof/>
        </w:rPr>
        <w:t>3</w:t>
      </w:r>
    </w:fldSimple>
    <w:r w:rsidRPr="001954E1">
      <w:tab/>
    </w:r>
    <w:r w:rsidRPr="001954E1">
      <w:rPr>
        <w:rStyle w:val="HideTWBExt"/>
      </w:rPr>
      <w:t>&lt;PathFdR&gt;</w:t>
    </w:r>
    <w:r w:rsidRPr="001954E1">
      <w:t>RR\1336415SL.docx</w:t>
    </w:r>
    <w:r w:rsidRPr="001954E1">
      <w:rPr>
        <w:rStyle w:val="HideTWBExt"/>
      </w:rPr>
      <w:t>&lt;/PathFdR&gt;</w:t>
    </w:r>
  </w:p>
  <w:p w14:paraId="59834380" w14:textId="77777777" w:rsidR="009163AB" w:rsidRPr="001954E1" w:rsidRDefault="009163AB" w:rsidP="00C77EC1">
    <w:pPr>
      <w:pStyle w:val="EPFooter2"/>
    </w:pPr>
    <w:r w:rsidRPr="001954E1">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58D43" w14:textId="77777777" w:rsidR="009163AB" w:rsidRPr="001954E1" w:rsidRDefault="009163AB" w:rsidP="00C77EC1">
    <w:pPr>
      <w:pStyle w:val="EPFooter"/>
    </w:pPr>
    <w:r w:rsidRPr="001954E1">
      <w:rPr>
        <w:rStyle w:val="HideTWBExt"/>
      </w:rPr>
      <w:t>&lt;PathFdR&gt;</w:t>
    </w:r>
    <w:r w:rsidRPr="001954E1">
      <w:t>RR\1336415SL.docx</w:t>
    </w:r>
    <w:r w:rsidRPr="001954E1">
      <w:rPr>
        <w:rStyle w:val="HideTWBExt"/>
      </w:rPr>
      <w:t>&lt;/PathFdR&gt;</w:t>
    </w:r>
    <w:r w:rsidRPr="001954E1">
      <w:tab/>
    </w:r>
    <w:r w:rsidRPr="001954E1">
      <w:tab/>
      <w:t>PE</w:t>
    </w:r>
    <w:r w:rsidRPr="001954E1">
      <w:rPr>
        <w:rStyle w:val="HideTWBExt"/>
      </w:rPr>
      <w:t>&lt;NoPE&gt;</w:t>
    </w:r>
    <w:r w:rsidRPr="001954E1">
      <w:t>782.226</w:t>
    </w:r>
    <w:r w:rsidRPr="001954E1">
      <w:rPr>
        <w:rStyle w:val="HideTWBExt"/>
      </w:rPr>
      <w:t>&lt;/NoPE&gt;&lt;Version&gt;</w:t>
    </w:r>
    <w:r w:rsidRPr="001954E1">
      <w:t>v02-00</w:t>
    </w:r>
    <w:r w:rsidRPr="001954E1">
      <w:rPr>
        <w:rStyle w:val="HideTWBExt"/>
      </w:rPr>
      <w:t>&lt;/Version&gt;</w:t>
    </w:r>
  </w:p>
  <w:p w14:paraId="5808FA30" w14:textId="77777777" w:rsidR="009163AB" w:rsidRPr="001954E1" w:rsidRDefault="009163AB" w:rsidP="00C77EC1">
    <w:pPr>
      <w:pStyle w:val="EPFooter2"/>
    </w:pPr>
    <w:r w:rsidRPr="001954E1">
      <w:t>SL</w:t>
    </w:r>
    <w:r w:rsidRPr="001954E1">
      <w:tab/>
    </w:r>
    <w:r w:rsidRPr="001954E1">
      <w:rPr>
        <w:b w:val="0"/>
        <w:i/>
        <w:color w:val="C0C0C0"/>
        <w:sz w:val="22"/>
      </w:rPr>
      <w:t>Združena v raznolikosti</w:t>
    </w:r>
    <w:r w:rsidRPr="001954E1">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4FB3B" w14:textId="77777777" w:rsidR="00064002" w:rsidRPr="001954E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367A8" w14:textId="77777777" w:rsidR="00064002" w:rsidRPr="001954E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99425" w14:textId="77777777" w:rsidR="00064002" w:rsidRPr="001954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5BB50" w14:textId="77777777" w:rsidR="00A00628" w:rsidRPr="001954E1" w:rsidRDefault="00A00628">
      <w:r w:rsidRPr="001954E1">
        <w:separator/>
      </w:r>
    </w:p>
  </w:footnote>
  <w:footnote w:type="continuationSeparator" w:id="0">
    <w:p w14:paraId="02561DBC" w14:textId="77777777" w:rsidR="00A00628" w:rsidRPr="001954E1" w:rsidRDefault="00A00628">
      <w:r w:rsidRPr="001954E1">
        <w:continuationSeparator/>
      </w:r>
    </w:p>
  </w:footnote>
  <w:footnote w:id="1">
    <w:p w14:paraId="6C9A1F27" w14:textId="696EBAC9" w:rsidR="009163AB" w:rsidRPr="001954E1" w:rsidRDefault="009163AB" w:rsidP="001954E1">
      <w:pPr>
        <w:pStyle w:val="FootnoteText"/>
        <w:ind w:left="567" w:hanging="567"/>
        <w:rPr>
          <w:sz w:val="24"/>
          <w:lang w:val="sl-SI"/>
        </w:rPr>
      </w:pPr>
      <w:r w:rsidRPr="001954E1">
        <w:rPr>
          <w:rStyle w:val="FootnoteReference"/>
          <w:sz w:val="24"/>
          <w:lang w:val="sl-SI"/>
        </w:rPr>
        <w:footnoteRef/>
      </w:r>
      <w:r w:rsidR="001954E1" w:rsidRPr="001954E1">
        <w:rPr>
          <w:sz w:val="24"/>
          <w:lang w:val="sl-SI"/>
        </w:rPr>
        <w:t xml:space="preserve"> </w:t>
      </w:r>
      <w:r w:rsidR="001954E1" w:rsidRPr="001954E1">
        <w:rPr>
          <w:sz w:val="24"/>
          <w:lang w:val="sl-SI"/>
        </w:rPr>
        <w:tab/>
      </w:r>
      <w:r w:rsidRPr="001954E1">
        <w:rPr>
          <w:sz w:val="24"/>
          <w:lang w:val="sl-SI"/>
        </w:rPr>
        <w:t xml:space="preserve">UL L 153, 3.5.2021, str. 48, ELI: </w:t>
      </w:r>
      <w:hyperlink r:id="rId1" w:history="1">
        <w:r w:rsidRPr="001954E1">
          <w:rPr>
            <w:rStyle w:val="Hyperlink"/>
            <w:sz w:val="24"/>
            <w:lang w:val="sl-SI"/>
          </w:rPr>
          <w:t>http://data.europa.eu/eli/reg/2021/691/oj</w:t>
        </w:r>
      </w:hyperlink>
      <w:r w:rsidRPr="001954E1">
        <w:rPr>
          <w:sz w:val="24"/>
          <w:lang w:val="sl-SI"/>
        </w:rPr>
        <w:t>.</w:t>
      </w:r>
    </w:p>
  </w:footnote>
  <w:footnote w:id="2">
    <w:p w14:paraId="6FAA0F14" w14:textId="291AFD3E" w:rsidR="009163AB" w:rsidRPr="001954E1" w:rsidRDefault="009163AB" w:rsidP="001954E1">
      <w:pPr>
        <w:pStyle w:val="FootnoteText"/>
        <w:ind w:left="567" w:hanging="567"/>
        <w:rPr>
          <w:sz w:val="24"/>
          <w:lang w:val="sl-SI"/>
        </w:rPr>
      </w:pPr>
      <w:r w:rsidRPr="001954E1">
        <w:rPr>
          <w:rStyle w:val="FootnoteReference"/>
          <w:sz w:val="24"/>
          <w:lang w:val="sl-SI"/>
        </w:rPr>
        <w:footnoteRef/>
      </w:r>
      <w:r w:rsidR="001954E1" w:rsidRPr="001954E1">
        <w:rPr>
          <w:sz w:val="24"/>
          <w:lang w:val="sl-SI"/>
        </w:rPr>
        <w:t xml:space="preserve"> </w:t>
      </w:r>
      <w:r w:rsidR="001954E1" w:rsidRPr="001954E1">
        <w:rPr>
          <w:sz w:val="24"/>
          <w:lang w:val="sl-SI"/>
        </w:rPr>
        <w:tab/>
      </w:r>
      <w:r w:rsidRPr="001954E1">
        <w:rPr>
          <w:sz w:val="24"/>
          <w:lang w:val="sl-SI"/>
        </w:rPr>
        <w:t xml:space="preserve">UL L 433 I, 22.12.2020, str. 11, ELI: </w:t>
      </w:r>
      <w:hyperlink r:id="rId2" w:history="1">
        <w:r w:rsidRPr="001954E1">
          <w:rPr>
            <w:rStyle w:val="Hyperlink"/>
            <w:sz w:val="24"/>
            <w:lang w:val="sl-SI"/>
          </w:rPr>
          <w:t>http://data.europa.eu/eli/reg/2020/2093/oj</w:t>
        </w:r>
      </w:hyperlink>
      <w:r w:rsidRPr="001954E1">
        <w:rPr>
          <w:sz w:val="24"/>
          <w:lang w:val="sl-SI"/>
        </w:rPr>
        <w:t>.</w:t>
      </w:r>
    </w:p>
  </w:footnote>
  <w:footnote w:id="3">
    <w:p w14:paraId="6A117277" w14:textId="2C169868" w:rsidR="009163AB" w:rsidRPr="001954E1" w:rsidRDefault="009163AB" w:rsidP="001954E1">
      <w:pPr>
        <w:pStyle w:val="FootnoteText"/>
        <w:ind w:left="567" w:hanging="567"/>
        <w:rPr>
          <w:sz w:val="24"/>
          <w:lang w:val="sl-SI"/>
        </w:rPr>
      </w:pPr>
      <w:r w:rsidRPr="001954E1">
        <w:rPr>
          <w:rStyle w:val="FootnoteReference"/>
          <w:sz w:val="24"/>
          <w:lang w:val="sl-SI"/>
        </w:rPr>
        <w:footnoteRef/>
      </w:r>
      <w:r w:rsidR="001954E1" w:rsidRPr="001954E1">
        <w:rPr>
          <w:sz w:val="24"/>
          <w:shd w:val="clear" w:color="auto" w:fill="FFFFFF"/>
          <w:lang w:val="sl-SI"/>
        </w:rPr>
        <w:t xml:space="preserve"> </w:t>
      </w:r>
      <w:r w:rsidR="001954E1" w:rsidRPr="001954E1">
        <w:rPr>
          <w:sz w:val="24"/>
          <w:shd w:val="clear" w:color="auto" w:fill="FFFFFF"/>
          <w:lang w:val="sl-SI"/>
        </w:rPr>
        <w:tab/>
      </w:r>
      <w:r w:rsidRPr="001954E1">
        <w:rPr>
          <w:sz w:val="24"/>
          <w:shd w:val="clear" w:color="auto" w:fill="FFFFFF"/>
          <w:lang w:val="sl-SI"/>
        </w:rPr>
        <w:t>Uredba Sveta (EU, Euratom) 2024/765 z dne 29. februarja 2024 o spremembi Uredbe (EU, Euratom) 2020/2093 o določitvi večletnega finančnega okvira za obdobje 2021–2027 (UL L, 2024/765, 29.2.2024, ELI:</w:t>
      </w:r>
      <w:r w:rsidRPr="001954E1">
        <w:rPr>
          <w:color w:val="333333"/>
          <w:sz w:val="24"/>
          <w:shd w:val="clear" w:color="auto" w:fill="FFFFFF"/>
          <w:lang w:val="sl-SI"/>
        </w:rPr>
        <w:t xml:space="preserve"> </w:t>
      </w:r>
      <w:hyperlink r:id="rId3" w:history="1">
        <w:r w:rsidRPr="001954E1">
          <w:rPr>
            <w:rStyle w:val="Hyperlink"/>
            <w:sz w:val="24"/>
            <w:shd w:val="clear" w:color="auto" w:fill="FFFFFF"/>
            <w:lang w:val="sl-SI"/>
          </w:rPr>
          <w:t>http://data.europa.eu/eli/reg/2024/765/oj</w:t>
        </w:r>
      </w:hyperlink>
      <w:r w:rsidRPr="001954E1">
        <w:rPr>
          <w:i/>
          <w:color w:val="333333"/>
          <w:sz w:val="24"/>
          <w:shd w:val="clear" w:color="auto" w:fill="FFFFFF"/>
          <w:lang w:val="sl-SI"/>
        </w:rPr>
        <w:t>).</w:t>
      </w:r>
    </w:p>
  </w:footnote>
  <w:footnote w:id="4">
    <w:p w14:paraId="3A613757" w14:textId="7F86E573" w:rsidR="009163AB" w:rsidRPr="001954E1" w:rsidRDefault="009163AB" w:rsidP="001954E1">
      <w:pPr>
        <w:pStyle w:val="FootnoteText"/>
        <w:ind w:left="567" w:hanging="567"/>
        <w:rPr>
          <w:sz w:val="24"/>
          <w:lang w:val="sl-SI"/>
        </w:rPr>
      </w:pPr>
      <w:r w:rsidRPr="001954E1">
        <w:rPr>
          <w:rStyle w:val="FootnoteReference"/>
          <w:sz w:val="24"/>
          <w:lang w:val="sl-SI"/>
        </w:rPr>
        <w:footnoteRef/>
      </w:r>
      <w:r w:rsidR="001954E1" w:rsidRPr="001954E1">
        <w:rPr>
          <w:sz w:val="24"/>
          <w:lang w:val="sl-SI"/>
        </w:rPr>
        <w:t xml:space="preserve"> </w:t>
      </w:r>
      <w:r w:rsidR="001954E1" w:rsidRPr="001954E1">
        <w:rPr>
          <w:sz w:val="24"/>
          <w:lang w:val="sl-SI"/>
        </w:rPr>
        <w:tab/>
      </w:r>
      <w:r w:rsidRPr="001954E1">
        <w:rPr>
          <w:sz w:val="24"/>
          <w:lang w:val="sl-SI"/>
        </w:rPr>
        <w:t>UL L 433</w:t>
      </w:r>
      <w:r w:rsidR="00AF43AB">
        <w:rPr>
          <w:sz w:val="24"/>
          <w:lang w:val="sl-SI"/>
        </w:rPr>
        <w:t> </w:t>
      </w:r>
      <w:r w:rsidRPr="001954E1">
        <w:rPr>
          <w:sz w:val="24"/>
          <w:lang w:val="sl-SI"/>
        </w:rPr>
        <w:t xml:space="preserve">I, 22.12.2020, str. 28, ELI: </w:t>
      </w:r>
      <w:hyperlink r:id="rId4" w:history="1">
        <w:r w:rsidRPr="001954E1">
          <w:rPr>
            <w:rStyle w:val="Hyperlink"/>
            <w:sz w:val="24"/>
            <w:lang w:val="sl-SI"/>
          </w:rPr>
          <w:t>http://data.europa.eu/eli/agree_interinstit/2020/1222/oj</w:t>
        </w:r>
      </w:hyperlink>
      <w:r w:rsidRPr="001954E1">
        <w:rPr>
          <w:sz w:val="24"/>
          <w:lang w:val="sl-SI"/>
        </w:rPr>
        <w:t>.</w:t>
      </w:r>
    </w:p>
  </w:footnote>
  <w:footnote w:id="5">
    <w:p w14:paraId="3E94E4F7" w14:textId="72A44FC9" w:rsidR="009163AB" w:rsidRPr="001954E1" w:rsidRDefault="009163AB" w:rsidP="001954E1">
      <w:pPr>
        <w:pStyle w:val="FootnoteText"/>
        <w:ind w:left="567" w:hanging="567"/>
        <w:rPr>
          <w:sz w:val="24"/>
          <w:lang w:val="sl-SI"/>
        </w:rPr>
      </w:pPr>
      <w:r w:rsidRPr="001954E1">
        <w:rPr>
          <w:rStyle w:val="FootnoteReference"/>
          <w:sz w:val="24"/>
          <w:lang w:val="sl-SI"/>
        </w:rPr>
        <w:footnoteRef/>
      </w:r>
      <w:r w:rsidR="001954E1" w:rsidRPr="001954E1">
        <w:rPr>
          <w:sz w:val="24"/>
          <w:lang w:val="sl-SI"/>
        </w:rPr>
        <w:t xml:space="preserve"> </w:t>
      </w:r>
      <w:r w:rsidR="001954E1" w:rsidRPr="001954E1">
        <w:rPr>
          <w:sz w:val="24"/>
          <w:lang w:val="sl-SI"/>
        </w:rPr>
        <w:tab/>
      </w:r>
      <w:r w:rsidRPr="001954E1">
        <w:rPr>
          <w:sz w:val="24"/>
          <w:lang w:val="sl-SI"/>
        </w:rPr>
        <w:t>V smislu člena 3 uredbe o ESPG.</w:t>
      </w:r>
    </w:p>
  </w:footnote>
  <w:footnote w:id="6">
    <w:p w14:paraId="7120A1D5" w14:textId="20E2BB26" w:rsidR="009163AB" w:rsidRPr="001954E1" w:rsidRDefault="009163AB" w:rsidP="001954E1">
      <w:pPr>
        <w:pStyle w:val="FootnoteText"/>
        <w:ind w:left="567" w:hanging="567"/>
        <w:rPr>
          <w:sz w:val="24"/>
          <w:lang w:val="sl-SI"/>
        </w:rPr>
      </w:pPr>
      <w:r w:rsidRPr="001954E1">
        <w:rPr>
          <w:rStyle w:val="FootnoteReference"/>
          <w:sz w:val="24"/>
          <w:lang w:val="sl-SI"/>
        </w:rPr>
        <w:footnoteRef/>
      </w:r>
      <w:r w:rsidR="001954E1" w:rsidRPr="001954E1">
        <w:rPr>
          <w:sz w:val="24"/>
          <w:lang w:val="sl-SI"/>
        </w:rPr>
        <w:t xml:space="preserve"> </w:t>
      </w:r>
      <w:r w:rsidR="001954E1" w:rsidRPr="001954E1">
        <w:rPr>
          <w:sz w:val="24"/>
          <w:lang w:val="sl-SI"/>
        </w:rPr>
        <w:tab/>
      </w:r>
      <w:r w:rsidRPr="001954E1">
        <w:rPr>
          <w:sz w:val="24"/>
          <w:lang w:val="sl-SI"/>
        </w:rPr>
        <w:t>Člen 8 uredbe o večletnem finančnem okviru.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EF29B" w14:textId="77777777" w:rsidR="009163AB" w:rsidRPr="001954E1" w:rsidRDefault="009163AB">
    <w:pPr>
      <w:pStyle w:val="Header"/>
    </w:pPr>
  </w:p>
  <w:p w14:paraId="16FDFF93" w14:textId="77777777" w:rsidR="009163AB" w:rsidRPr="001954E1" w:rsidRDefault="009163AB"/>
  <w:p w14:paraId="29426705" w14:textId="77777777" w:rsidR="009163AB" w:rsidRPr="001954E1" w:rsidRDefault="009163A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A19DA" w14:textId="77777777" w:rsidR="00064002" w:rsidRPr="001954E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64C88" w14:textId="77777777" w:rsidR="00064002" w:rsidRPr="001954E1" w:rsidRDefault="0006400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3DAD0" w14:textId="77777777" w:rsidR="00064002" w:rsidRPr="001954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9506310">
    <w:abstractNumId w:val="9"/>
  </w:num>
  <w:num w:numId="2" w16cid:durableId="2088651634">
    <w:abstractNumId w:val="9"/>
  </w:num>
  <w:num w:numId="3" w16cid:durableId="30765921">
    <w:abstractNumId w:val="7"/>
  </w:num>
  <w:num w:numId="4" w16cid:durableId="1534146242">
    <w:abstractNumId w:val="7"/>
  </w:num>
  <w:num w:numId="5" w16cid:durableId="1561092899">
    <w:abstractNumId w:val="6"/>
  </w:num>
  <w:num w:numId="6" w16cid:durableId="610405419">
    <w:abstractNumId w:val="6"/>
  </w:num>
  <w:num w:numId="7" w16cid:durableId="640496640">
    <w:abstractNumId w:val="5"/>
  </w:num>
  <w:num w:numId="8" w16cid:durableId="1320958763">
    <w:abstractNumId w:val="5"/>
  </w:num>
  <w:num w:numId="9" w16cid:durableId="2077388537">
    <w:abstractNumId w:val="4"/>
  </w:num>
  <w:num w:numId="10" w16cid:durableId="850603730">
    <w:abstractNumId w:val="4"/>
  </w:num>
  <w:num w:numId="11" w16cid:durableId="867334328">
    <w:abstractNumId w:val="8"/>
  </w:num>
  <w:num w:numId="12" w16cid:durableId="1122192014">
    <w:abstractNumId w:val="8"/>
  </w:num>
  <w:num w:numId="13" w16cid:durableId="1832217681">
    <w:abstractNumId w:val="3"/>
  </w:num>
  <w:num w:numId="14" w16cid:durableId="446974060">
    <w:abstractNumId w:val="3"/>
  </w:num>
  <w:num w:numId="15" w16cid:durableId="2002806225">
    <w:abstractNumId w:val="2"/>
  </w:num>
  <w:num w:numId="16" w16cid:durableId="1300839403">
    <w:abstractNumId w:val="2"/>
  </w:num>
  <w:num w:numId="17" w16cid:durableId="664473647">
    <w:abstractNumId w:val="1"/>
  </w:num>
  <w:num w:numId="18" w16cid:durableId="349794699">
    <w:abstractNumId w:val="1"/>
  </w:num>
  <w:num w:numId="19" w16cid:durableId="1498227570">
    <w:abstractNumId w:val="0"/>
  </w:num>
  <w:num w:numId="20" w16cid:durableId="1176073757">
    <w:abstractNumId w:val="0"/>
  </w:num>
  <w:num w:numId="21" w16cid:durableId="188491823">
    <w:abstractNumId w:val="9"/>
  </w:num>
  <w:num w:numId="22" w16cid:durableId="1509441673">
    <w:abstractNumId w:val="7"/>
  </w:num>
  <w:num w:numId="23" w16cid:durableId="1602447987">
    <w:abstractNumId w:val="6"/>
  </w:num>
  <w:num w:numId="24" w16cid:durableId="2008942315">
    <w:abstractNumId w:val="5"/>
  </w:num>
  <w:num w:numId="25" w16cid:durableId="2065178935">
    <w:abstractNumId w:val="4"/>
  </w:num>
  <w:num w:numId="26" w16cid:durableId="2018726734">
    <w:abstractNumId w:val="8"/>
  </w:num>
  <w:num w:numId="27" w16cid:durableId="1843619991">
    <w:abstractNumId w:val="3"/>
  </w:num>
  <w:num w:numId="28" w16cid:durableId="1236470669">
    <w:abstractNumId w:val="2"/>
  </w:num>
  <w:num w:numId="29" w16cid:durableId="1671717167">
    <w:abstractNumId w:val="1"/>
  </w:num>
  <w:num w:numId="30" w16cid:durableId="367990292">
    <w:abstractNumId w:val="0"/>
  </w:num>
  <w:num w:numId="31" w16cid:durableId="1179733156">
    <w:abstractNumId w:val="9"/>
  </w:num>
  <w:num w:numId="32" w16cid:durableId="1212184175">
    <w:abstractNumId w:val="7"/>
  </w:num>
  <w:num w:numId="33" w16cid:durableId="135950441">
    <w:abstractNumId w:val="6"/>
  </w:num>
  <w:num w:numId="34" w16cid:durableId="823473583">
    <w:abstractNumId w:val="5"/>
  </w:num>
  <w:num w:numId="35" w16cid:durableId="879709133">
    <w:abstractNumId w:val="4"/>
  </w:num>
  <w:num w:numId="36" w16cid:durableId="402486098">
    <w:abstractNumId w:val="8"/>
  </w:num>
  <w:num w:numId="37" w16cid:durableId="1443762286">
    <w:abstractNumId w:val="3"/>
  </w:num>
  <w:num w:numId="38" w16cid:durableId="1691836626">
    <w:abstractNumId w:val="2"/>
  </w:num>
  <w:num w:numId="39" w16cid:durableId="1296183397">
    <w:abstractNumId w:val="1"/>
  </w:num>
  <w:num w:numId="40" w16cid:durableId="294873644">
    <w:abstractNumId w:val="0"/>
  </w:num>
  <w:num w:numId="41" w16cid:durableId="17856799">
    <w:abstractNumId w:val="10"/>
  </w:num>
  <w:num w:numId="42" w16cid:durableId="1807820222">
    <w:abstractNumId w:val="10"/>
  </w:num>
  <w:num w:numId="43" w16cid:durableId="310863289">
    <w:abstractNumId w:val="10"/>
  </w:num>
  <w:num w:numId="44" w16cid:durableId="13226639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6/2026"/>
    <w:docVar w:name="dvlangue" w:val="SL"/>
    <w:docVar w:name="dvnumam" w:val="0"/>
    <w:docVar w:name="dvpe" w:val="782.226"/>
    <w:docVar w:name="dvrapporteur" w:val="Poročevalec: "/>
    <w:docVar w:name="dvtitre" w:val="Zakonodajna resolucija Evropskega parlamenta z dne … 2026 o predlogu sklepa Evropskega parlamenta in Sveta o uporabi Evropskega sklada za prilagoditev globalizaciji za presežne delavce na podlagi vloge Belgije – EGF/2025/006 BE/Audi(COM(2026)0002 – C10-0002/2026 – 2026/0001(BUD))"/>
  </w:docVars>
  <w:rsids>
    <w:rsidRoot w:val="00A00628"/>
    <w:rsid w:val="00002272"/>
    <w:rsid w:val="000428F8"/>
    <w:rsid w:val="000528FB"/>
    <w:rsid w:val="00064002"/>
    <w:rsid w:val="000677B9"/>
    <w:rsid w:val="000831BA"/>
    <w:rsid w:val="000A42CC"/>
    <w:rsid w:val="000E7DD9"/>
    <w:rsid w:val="0010095E"/>
    <w:rsid w:val="00125B37"/>
    <w:rsid w:val="00187494"/>
    <w:rsid w:val="001954E1"/>
    <w:rsid w:val="001F32AE"/>
    <w:rsid w:val="002767FF"/>
    <w:rsid w:val="002B18FE"/>
    <w:rsid w:val="002B5493"/>
    <w:rsid w:val="00343214"/>
    <w:rsid w:val="00361C00"/>
    <w:rsid w:val="00395FA1"/>
    <w:rsid w:val="003E15D4"/>
    <w:rsid w:val="003F1012"/>
    <w:rsid w:val="00411CCE"/>
    <w:rsid w:val="0041666E"/>
    <w:rsid w:val="00421060"/>
    <w:rsid w:val="00453992"/>
    <w:rsid w:val="00471C19"/>
    <w:rsid w:val="004867E3"/>
    <w:rsid w:val="00494A28"/>
    <w:rsid w:val="004C0004"/>
    <w:rsid w:val="004C5D52"/>
    <w:rsid w:val="0050519A"/>
    <w:rsid w:val="005072A1"/>
    <w:rsid w:val="00514517"/>
    <w:rsid w:val="00545827"/>
    <w:rsid w:val="00560270"/>
    <w:rsid w:val="005C2568"/>
    <w:rsid w:val="005F1B17"/>
    <w:rsid w:val="006037C0"/>
    <w:rsid w:val="00622BFC"/>
    <w:rsid w:val="006631B6"/>
    <w:rsid w:val="00680577"/>
    <w:rsid w:val="006F74FA"/>
    <w:rsid w:val="00731ADD"/>
    <w:rsid w:val="00734777"/>
    <w:rsid w:val="00747932"/>
    <w:rsid w:val="00751A4A"/>
    <w:rsid w:val="00756632"/>
    <w:rsid w:val="00762C74"/>
    <w:rsid w:val="00786EC0"/>
    <w:rsid w:val="007C7128"/>
    <w:rsid w:val="007D1690"/>
    <w:rsid w:val="007E22AD"/>
    <w:rsid w:val="00817416"/>
    <w:rsid w:val="00842779"/>
    <w:rsid w:val="00865F67"/>
    <w:rsid w:val="00881A7B"/>
    <w:rsid w:val="008840E5"/>
    <w:rsid w:val="00887B3E"/>
    <w:rsid w:val="008C2AC6"/>
    <w:rsid w:val="008E389A"/>
    <w:rsid w:val="009163AB"/>
    <w:rsid w:val="0092354E"/>
    <w:rsid w:val="00930C23"/>
    <w:rsid w:val="0093193B"/>
    <w:rsid w:val="009509D8"/>
    <w:rsid w:val="00950B64"/>
    <w:rsid w:val="00981893"/>
    <w:rsid w:val="009855DC"/>
    <w:rsid w:val="00A00628"/>
    <w:rsid w:val="00A1687D"/>
    <w:rsid w:val="00A43E52"/>
    <w:rsid w:val="00A4678D"/>
    <w:rsid w:val="00A737F6"/>
    <w:rsid w:val="00A778C7"/>
    <w:rsid w:val="00AB441E"/>
    <w:rsid w:val="00AB6293"/>
    <w:rsid w:val="00AE0928"/>
    <w:rsid w:val="00AF3B82"/>
    <w:rsid w:val="00AF43AB"/>
    <w:rsid w:val="00B12E95"/>
    <w:rsid w:val="00B22876"/>
    <w:rsid w:val="00B558F0"/>
    <w:rsid w:val="00B863E7"/>
    <w:rsid w:val="00BD48FE"/>
    <w:rsid w:val="00BD7BD8"/>
    <w:rsid w:val="00BE6ADC"/>
    <w:rsid w:val="00C05BFE"/>
    <w:rsid w:val="00C23CD4"/>
    <w:rsid w:val="00C36724"/>
    <w:rsid w:val="00C61C0C"/>
    <w:rsid w:val="00C941CB"/>
    <w:rsid w:val="00CC2357"/>
    <w:rsid w:val="00CF071A"/>
    <w:rsid w:val="00CF4711"/>
    <w:rsid w:val="00D058B8"/>
    <w:rsid w:val="00D56C11"/>
    <w:rsid w:val="00D834A0"/>
    <w:rsid w:val="00D872DF"/>
    <w:rsid w:val="00D91E21"/>
    <w:rsid w:val="00DA7FCD"/>
    <w:rsid w:val="00DC620A"/>
    <w:rsid w:val="00E028B5"/>
    <w:rsid w:val="00E365E1"/>
    <w:rsid w:val="00E443E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D98494"/>
  <w15:chartTrackingRefBased/>
  <w15:docId w15:val="{7EE8EE41-FCFD-49CA-9EDD-18ED4CFD3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163AB"/>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9163AB"/>
    <w:pPr>
      <w:keepNext/>
      <w:spacing w:after="480"/>
      <w:jc w:val="center"/>
    </w:pPr>
    <w:rPr>
      <w:rFonts w:ascii="Arial" w:hAnsi="Arial" w:cs="Arial"/>
      <w:b/>
    </w:rPr>
  </w:style>
  <w:style w:type="paragraph" w:customStyle="1" w:styleId="NormalHanging12a">
    <w:name w:val="NormalHanging12a"/>
    <w:basedOn w:val="Normal"/>
    <w:link w:val="NormalHanging12aChar"/>
    <w:rsid w:val="009163AB"/>
    <w:pPr>
      <w:spacing w:after="240"/>
      <w:ind w:left="567" w:hanging="567"/>
    </w:pPr>
  </w:style>
  <w:style w:type="paragraph" w:styleId="Header">
    <w:name w:val="header"/>
    <w:basedOn w:val="Normal"/>
    <w:link w:val="HeaderChar"/>
    <w:rsid w:val="009163AB"/>
    <w:pPr>
      <w:tabs>
        <w:tab w:val="center" w:pos="4513"/>
        <w:tab w:val="right" w:pos="9026"/>
      </w:tabs>
    </w:pPr>
  </w:style>
  <w:style w:type="character" w:customStyle="1" w:styleId="HeaderChar">
    <w:name w:val="Header Char"/>
    <w:basedOn w:val="DefaultParagraphFont"/>
    <w:link w:val="Header"/>
    <w:rsid w:val="009163AB"/>
    <w:rPr>
      <w:sz w:val="24"/>
      <w:lang w:val="sl-SI"/>
    </w:rPr>
  </w:style>
  <w:style w:type="paragraph" w:customStyle="1" w:styleId="EPFooter">
    <w:name w:val="EPFooter"/>
    <w:basedOn w:val="Normal"/>
    <w:rsid w:val="009163AB"/>
    <w:pPr>
      <w:tabs>
        <w:tab w:val="center" w:pos="4535"/>
        <w:tab w:val="right" w:pos="9071"/>
      </w:tabs>
      <w:spacing w:before="240" w:after="240"/>
    </w:pPr>
    <w:rPr>
      <w:color w:val="010000"/>
      <w:sz w:val="22"/>
    </w:rPr>
  </w:style>
  <w:style w:type="paragraph" w:customStyle="1" w:styleId="EPComma">
    <w:name w:val="EPComma"/>
    <w:basedOn w:val="Normal"/>
    <w:rsid w:val="009163AB"/>
    <w:pPr>
      <w:spacing w:before="480" w:after="240"/>
    </w:pPr>
  </w:style>
  <w:style w:type="character" w:styleId="Hyperlink">
    <w:name w:val="Hyperlink"/>
    <w:basedOn w:val="DefaultParagraphFont"/>
    <w:rsid w:val="009163AB"/>
    <w:rPr>
      <w:color w:val="0563C1" w:themeColor="hyperlink"/>
      <w:u w:val="single"/>
    </w:rPr>
  </w:style>
  <w:style w:type="character" w:customStyle="1" w:styleId="NormalHanging12aChar">
    <w:name w:val="NormalHanging12a Char"/>
    <w:basedOn w:val="DefaultParagraphFont"/>
    <w:link w:val="NormalHanging12a"/>
    <w:locked/>
    <w:rsid w:val="009163AB"/>
    <w:rPr>
      <w:sz w:val="24"/>
      <w:lang w:val="sl-SI"/>
    </w:rPr>
  </w:style>
  <w:style w:type="character" w:customStyle="1" w:styleId="PageHeadingChar">
    <w:name w:val="PageHeading Char"/>
    <w:basedOn w:val="DefaultParagraphFont"/>
    <w:link w:val="PageHeading"/>
    <w:locked/>
    <w:rsid w:val="009163AB"/>
    <w:rPr>
      <w:rFonts w:ascii="Arial" w:hAnsi="Arial" w:cs="Arial"/>
      <w:b/>
      <w:sz w:val="24"/>
      <w:lang w:val="sl-SI"/>
    </w:rPr>
  </w:style>
  <w:style w:type="character" w:styleId="CommentReference">
    <w:name w:val="annotation reference"/>
    <w:basedOn w:val="DefaultParagraphFont"/>
    <w:rsid w:val="007C7128"/>
    <w:rPr>
      <w:sz w:val="16"/>
      <w:szCs w:val="16"/>
    </w:rPr>
  </w:style>
  <w:style w:type="paragraph" w:styleId="CommentText">
    <w:name w:val="annotation text"/>
    <w:basedOn w:val="Normal"/>
    <w:link w:val="CommentTextChar"/>
    <w:rsid w:val="007C7128"/>
    <w:rPr>
      <w:sz w:val="20"/>
    </w:rPr>
  </w:style>
  <w:style w:type="character" w:customStyle="1" w:styleId="CommentTextChar">
    <w:name w:val="Comment Text Char"/>
    <w:basedOn w:val="DefaultParagraphFont"/>
    <w:link w:val="CommentText"/>
    <w:rsid w:val="007C7128"/>
    <w:rPr>
      <w:lang w:val="sl-SI"/>
    </w:rPr>
  </w:style>
  <w:style w:type="paragraph" w:styleId="CommentSubject">
    <w:name w:val="annotation subject"/>
    <w:basedOn w:val="CommentText"/>
    <w:next w:val="CommentText"/>
    <w:link w:val="CommentSubjectChar"/>
    <w:rsid w:val="007C7128"/>
    <w:rPr>
      <w:b/>
      <w:bCs/>
    </w:rPr>
  </w:style>
  <w:style w:type="character" w:customStyle="1" w:styleId="CommentSubjectChar">
    <w:name w:val="Comment Subject Char"/>
    <w:basedOn w:val="CommentTextChar"/>
    <w:link w:val="CommentSubject"/>
    <w:rsid w:val="007C7128"/>
    <w:rPr>
      <w:b/>
      <w:bCs/>
      <w:lang w:val="sl-SI"/>
    </w:rPr>
  </w:style>
  <w:style w:type="paragraph" w:styleId="Revision">
    <w:name w:val="Revision"/>
    <w:hidden/>
    <w:uiPriority w:val="99"/>
    <w:semiHidden/>
    <w:rsid w:val="007C7128"/>
    <w:rPr>
      <w:sz w:val="24"/>
      <w:lang w:val="sl-SI"/>
    </w:rPr>
  </w:style>
  <w:style w:type="character" w:styleId="UnresolvedMention">
    <w:name w:val="Unresolved Mention"/>
    <w:basedOn w:val="DefaultParagraphFont"/>
    <w:uiPriority w:val="99"/>
    <w:semiHidden/>
    <w:unhideWhenUsed/>
    <w:rsid w:val="00AF43AB"/>
    <w:rPr>
      <w:color w:val="605E5C"/>
      <w:shd w:val="clear" w:color="auto" w:fill="E1DFDD"/>
    </w:rPr>
  </w:style>
  <w:style w:type="character" w:styleId="FollowedHyperlink">
    <w:name w:val="FollowedHyperlink"/>
    <w:basedOn w:val="DefaultParagraphFont"/>
    <w:rsid w:val="008E38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1623</Words>
  <Characters>9872</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2026-03-23T14:30:00Z</dcterms:created>
  <dcterms:modified xsi:type="dcterms:W3CDTF">2026-03-23T14:30:00Z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P10_TA(2026)0038_</vt:lpwstr>
  </property>
  <property fmtid="{D5CDD505-2E9C-101B-9397-08002B2CF9AE}" pid="4" name="&lt;Type&gt;">
    <vt:lpwstr>RR</vt:lpwstr>
  </property>
</Properties>
</file>