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C2F" w14:paraId="7F64DD84" w14:textId="77777777" w:rsidTr="0010095E">
        <w:trPr>
          <w:trHeight w:hRule="exact" w:val="1418"/>
        </w:trPr>
        <w:tc>
          <w:tcPr>
            <w:tcW w:w="6804" w:type="dxa"/>
            <w:shd w:val="clear" w:color="auto" w:fill="auto"/>
            <w:vAlign w:val="center"/>
          </w:tcPr>
          <w:p w14:paraId="689BC3D1" w14:textId="77777777" w:rsidR="00751A4A" w:rsidRPr="00A92C2F" w:rsidRDefault="00621F16" w:rsidP="0010095E">
            <w:pPr>
              <w:pStyle w:val="EPName"/>
            </w:pPr>
            <w:r w:rsidRPr="00A92C2F">
              <w:t>Europaparlamentet</w:t>
            </w:r>
          </w:p>
          <w:p w14:paraId="3AB42741" w14:textId="77777777" w:rsidR="00751A4A" w:rsidRPr="00A92C2F" w:rsidRDefault="005F1B17" w:rsidP="005F1B17">
            <w:pPr>
              <w:pStyle w:val="EPTerm"/>
              <w:rPr>
                <w:rStyle w:val="HideTWBExt"/>
                <w:noProof w:val="0"/>
                <w:vanish w:val="0"/>
                <w:color w:val="auto"/>
              </w:rPr>
            </w:pPr>
            <w:r w:rsidRPr="00A92C2F">
              <w:t>2024</w:t>
            </w:r>
            <w:r w:rsidR="00817416" w:rsidRPr="00A92C2F">
              <w:t>-202</w:t>
            </w:r>
            <w:r w:rsidRPr="00A92C2F">
              <w:t>9</w:t>
            </w:r>
          </w:p>
        </w:tc>
        <w:tc>
          <w:tcPr>
            <w:tcW w:w="2268" w:type="dxa"/>
            <w:shd w:val="clear" w:color="auto" w:fill="auto"/>
          </w:tcPr>
          <w:p w14:paraId="2C52CBE5" w14:textId="77777777" w:rsidR="00751A4A" w:rsidRPr="00A92C2F" w:rsidRDefault="00187494" w:rsidP="0010095E">
            <w:pPr>
              <w:pStyle w:val="EPLogo"/>
            </w:pPr>
            <w:r w:rsidRPr="00A92C2F">
              <w:rPr>
                <w:noProof/>
                <w:lang w:eastAsia="ja-JP"/>
              </w:rPr>
              <w:drawing>
                <wp:inline distT="0" distB="0" distL="0" distR="0" wp14:anchorId="7B58BCF4" wp14:editId="1655E8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2FC2D" w14:textId="77777777" w:rsidR="00D058B8" w:rsidRPr="00A92C2F" w:rsidRDefault="00D058B8" w:rsidP="004C5D52">
      <w:pPr>
        <w:pStyle w:val="LineTop"/>
      </w:pPr>
    </w:p>
    <w:p w14:paraId="30E1217E" w14:textId="77777777" w:rsidR="00680577" w:rsidRPr="00A92C2F" w:rsidRDefault="00621F16" w:rsidP="00680577">
      <w:pPr>
        <w:pStyle w:val="EPBodyTA1"/>
      </w:pPr>
      <w:r w:rsidRPr="00A92C2F">
        <w:t>ANTAGNA TEXTER</w:t>
      </w:r>
    </w:p>
    <w:p w14:paraId="47CE9BC4" w14:textId="77777777" w:rsidR="00D058B8" w:rsidRPr="00A92C2F" w:rsidRDefault="00D058B8" w:rsidP="00D058B8">
      <w:pPr>
        <w:pStyle w:val="LineBottom"/>
      </w:pPr>
    </w:p>
    <w:p w14:paraId="5C3A827F" w14:textId="4D72CCE2" w:rsidR="00621F16" w:rsidRPr="00A92C2F" w:rsidRDefault="00621F16" w:rsidP="00621F16">
      <w:pPr>
        <w:pStyle w:val="ATHeading1"/>
      </w:pPr>
      <w:bookmarkStart w:id="0" w:name="TANumber"/>
      <w:r w:rsidRPr="00A92C2F">
        <w:t>P10_TA(2026)00</w:t>
      </w:r>
      <w:bookmarkEnd w:id="0"/>
      <w:r w:rsidR="004F635A">
        <w:t>38</w:t>
      </w:r>
    </w:p>
    <w:p w14:paraId="4BAD293D" w14:textId="77777777" w:rsidR="00621F16" w:rsidRPr="00A92C2F" w:rsidRDefault="00621F16" w:rsidP="00621F16">
      <w:pPr>
        <w:pStyle w:val="ATHeading2"/>
      </w:pPr>
      <w:bookmarkStart w:id="1" w:name="title"/>
      <w:r w:rsidRPr="00A92C2F">
        <w:t>Utnyttjande av Europeiska fonden för justering för globaliseringseffekter: ansökan EGF/2025/006 BE/Audi – Belgien</w:t>
      </w:r>
    </w:p>
    <w:p w14:paraId="4D13E09A" w14:textId="77777777" w:rsidR="00621F16" w:rsidRPr="00A92C2F" w:rsidRDefault="00621F16" w:rsidP="00621F16">
      <w:pPr>
        <w:rPr>
          <w:i/>
          <w:vanish/>
        </w:rPr>
      </w:pPr>
      <w:r w:rsidRPr="00A92C2F">
        <w:rPr>
          <w:i/>
        </w:rPr>
        <w:fldChar w:fldCharType="begin"/>
      </w:r>
      <w:r w:rsidRPr="00A92C2F">
        <w:rPr>
          <w:i/>
        </w:rPr>
        <w:instrText xml:space="preserve"> TC"(</w:instrText>
      </w:r>
      <w:bookmarkStart w:id="2" w:name="DocNumber"/>
      <w:r w:rsidRPr="00A92C2F">
        <w:rPr>
          <w:i/>
        </w:rPr>
        <w:instrText>A10-0006/2026</w:instrText>
      </w:r>
      <w:bookmarkEnd w:id="2"/>
      <w:r w:rsidRPr="00A92C2F">
        <w:rPr>
          <w:i/>
        </w:rPr>
        <w:instrText xml:space="preserve"> - Föredragande: </w:instrText>
      </w:r>
      <w:proofErr w:type="spellStart"/>
      <w:r w:rsidRPr="00A92C2F">
        <w:rPr>
          <w:i/>
        </w:rPr>
        <w:instrText>Nicolae</w:instrText>
      </w:r>
      <w:proofErr w:type="spellEnd"/>
      <w:r w:rsidRPr="00A92C2F">
        <w:rPr>
          <w:i/>
        </w:rPr>
        <w:instrText xml:space="preserve"> </w:instrText>
      </w:r>
      <w:proofErr w:type="spellStart"/>
      <w:r w:rsidRPr="00A92C2F">
        <w:rPr>
          <w:i/>
        </w:rPr>
        <w:instrText>Ștefănuță</w:instrText>
      </w:r>
      <w:proofErr w:type="spellEnd"/>
      <w:r w:rsidRPr="00A92C2F">
        <w:rPr>
          <w:i/>
        </w:rPr>
        <w:instrText xml:space="preserve">)"\l3 \n&gt; \* MERGEFORMAT </w:instrText>
      </w:r>
      <w:r w:rsidRPr="00A92C2F">
        <w:rPr>
          <w:i/>
        </w:rPr>
        <w:fldChar w:fldCharType="end"/>
      </w:r>
    </w:p>
    <w:p w14:paraId="0E9C4CD0" w14:textId="77777777" w:rsidR="00621F16" w:rsidRPr="00A92C2F" w:rsidRDefault="00621F16" w:rsidP="00621F16">
      <w:pPr>
        <w:rPr>
          <w:vanish/>
        </w:rPr>
      </w:pPr>
      <w:bookmarkStart w:id="3" w:name="Commission"/>
      <w:r w:rsidRPr="00A92C2F">
        <w:rPr>
          <w:vanish/>
        </w:rPr>
        <w:t>Budgetutskottet</w:t>
      </w:r>
      <w:bookmarkEnd w:id="3"/>
    </w:p>
    <w:p w14:paraId="1D3B8B60" w14:textId="77777777" w:rsidR="00621F16" w:rsidRPr="00A92C2F" w:rsidRDefault="00621F16" w:rsidP="00621F16">
      <w:pPr>
        <w:rPr>
          <w:vanish/>
        </w:rPr>
      </w:pPr>
      <w:bookmarkStart w:id="4" w:name="PE"/>
      <w:r w:rsidRPr="00A92C2F">
        <w:rPr>
          <w:vanish/>
        </w:rPr>
        <w:t>PE782.226</w:t>
      </w:r>
      <w:bookmarkEnd w:id="4"/>
    </w:p>
    <w:p w14:paraId="105EA41D" w14:textId="5D5164FB" w:rsidR="00621F16" w:rsidRPr="00A92C2F" w:rsidRDefault="00621F16" w:rsidP="00621F16">
      <w:pPr>
        <w:pStyle w:val="ATHeading3"/>
      </w:pPr>
      <w:bookmarkStart w:id="5" w:name="Sujet"/>
      <w:r w:rsidRPr="00A92C2F">
        <w:t xml:space="preserve">Europaparlamentets resolution av den </w:t>
      </w:r>
      <w:r w:rsidR="00A92C2F" w:rsidRPr="00A92C2F">
        <w:t xml:space="preserve">11 </w:t>
      </w:r>
      <w:r w:rsidR="003643DB" w:rsidRPr="00A92C2F">
        <w:t xml:space="preserve">februari </w:t>
      </w:r>
      <w:r w:rsidRPr="00A92C2F">
        <w:t>2026 om förslaget till Europaparlamentets och rådets beslut om utnyttjande av Europeiska fonden för justering för globaliseringseffekter för uppsagda arbetstagare efter en ansökan från Belgien – EGF/2025/006 BE/Audi</w:t>
      </w:r>
      <w:bookmarkEnd w:id="5"/>
      <w:r w:rsidRPr="00A92C2F">
        <w:t xml:space="preserve"> </w:t>
      </w:r>
      <w:bookmarkStart w:id="6" w:name="References"/>
      <w:r w:rsidRPr="00A92C2F">
        <w:t>(COM(2026)0002 – C10-0002/2026 – 2026/0001(BUD))</w:t>
      </w:r>
      <w:bookmarkEnd w:id="6"/>
    </w:p>
    <w:p w14:paraId="6A78921C" w14:textId="77777777" w:rsidR="001545F9" w:rsidRPr="00A92C2F" w:rsidRDefault="001545F9" w:rsidP="001545F9">
      <w:pPr>
        <w:pStyle w:val="EPComma"/>
        <w:widowControl/>
        <w:rPr>
          <w:noProof/>
        </w:rPr>
      </w:pPr>
      <w:r w:rsidRPr="00A92C2F">
        <w:rPr>
          <w:i/>
        </w:rPr>
        <w:t>Europaparlamentet utfärdar denna resolution</w:t>
      </w:r>
    </w:p>
    <w:p w14:paraId="2E8A39AE" w14:textId="77777777" w:rsidR="001545F9" w:rsidRPr="00A92C2F" w:rsidRDefault="001545F9" w:rsidP="001545F9">
      <w:pPr>
        <w:pStyle w:val="NormalHanging12a"/>
        <w:widowControl/>
        <w:rPr>
          <w:noProof/>
        </w:rPr>
      </w:pPr>
      <w:r w:rsidRPr="00A92C2F">
        <w:t>–</w:t>
      </w:r>
      <w:r w:rsidRPr="00A92C2F">
        <w:tab/>
        <w:t>med beaktande av kommissionens förslag till Europaparlamentet och rådet (COM(2026)0002 – C10-0002/2026),</w:t>
      </w:r>
    </w:p>
    <w:p w14:paraId="07D38535" w14:textId="77777777" w:rsidR="001545F9" w:rsidRPr="00A92C2F" w:rsidRDefault="001545F9" w:rsidP="001545F9">
      <w:pPr>
        <w:pStyle w:val="NormalHanging12a"/>
        <w:widowControl/>
      </w:pPr>
      <w:r w:rsidRPr="00A92C2F">
        <w:t>–</w:t>
      </w:r>
      <w:r w:rsidRPr="00A92C2F">
        <w:tab/>
        <w:t>med beaktande av Europaparlamentets och rådets förordning (EU) 2021/691 av den 28 april 2021 om Europeiska fonden för justering för globaliseringseffekter för uppsagda arbetstagare (EGF) och om upphävande av förordning (EU) nr 1309/2013</w:t>
      </w:r>
      <w:r w:rsidRPr="00A92C2F">
        <w:rPr>
          <w:vertAlign w:val="superscript"/>
        </w:rPr>
        <w:footnoteReference w:id="1"/>
      </w:r>
      <w:r w:rsidRPr="00A92C2F">
        <w:t xml:space="preserve"> (</w:t>
      </w:r>
      <w:r w:rsidRPr="00A92C2F">
        <w:rPr>
          <w:i/>
          <w:iCs/>
        </w:rPr>
        <w:t>EGF-förordningen</w:t>
      </w:r>
      <w:r w:rsidRPr="00A92C2F">
        <w:t xml:space="preserve">), </w:t>
      </w:r>
    </w:p>
    <w:p w14:paraId="58A9F02F" w14:textId="77777777" w:rsidR="001545F9" w:rsidRPr="00A92C2F" w:rsidRDefault="001545F9" w:rsidP="001545F9">
      <w:pPr>
        <w:pStyle w:val="NormalHanging12a"/>
        <w:widowControl/>
        <w:rPr>
          <w:noProof/>
        </w:rPr>
      </w:pPr>
      <w:r w:rsidRPr="00A92C2F">
        <w:t>–</w:t>
      </w:r>
      <w:r w:rsidRPr="00A92C2F">
        <w:tab/>
        <w:t>med beaktande av rådets förordning (EU, Euratom) 2020/2093 av den 17 december 2020 om den fleråriga budgetramen för 2021–2027</w:t>
      </w:r>
      <w:r w:rsidRPr="00A92C2F">
        <w:rPr>
          <w:noProof/>
          <w:vertAlign w:val="superscript"/>
        </w:rPr>
        <w:footnoteReference w:id="2"/>
      </w:r>
      <w:r w:rsidRPr="00A92C2F">
        <w:t xml:space="preserve"> ändrad genom förordning (EU, Euratom) 2024/765</w:t>
      </w:r>
      <w:r w:rsidRPr="00A92C2F">
        <w:rPr>
          <w:noProof/>
          <w:vertAlign w:val="superscript"/>
        </w:rPr>
        <w:footnoteReference w:id="3"/>
      </w:r>
      <w:r w:rsidRPr="00A92C2F">
        <w:t xml:space="preserve"> (</w:t>
      </w:r>
      <w:r w:rsidRPr="00A92C2F">
        <w:rPr>
          <w:i/>
          <w:iCs/>
        </w:rPr>
        <w:t>förordningen om den fleråriga budgetramen</w:t>
      </w:r>
      <w:r w:rsidRPr="00A92C2F">
        <w:t xml:space="preserve">), särskilt artikel 8, </w:t>
      </w:r>
    </w:p>
    <w:p w14:paraId="0A70222E" w14:textId="77777777" w:rsidR="001545F9" w:rsidRPr="00A92C2F" w:rsidRDefault="001545F9" w:rsidP="001545F9">
      <w:pPr>
        <w:pStyle w:val="NormalHanging12a"/>
        <w:widowControl/>
        <w:rPr>
          <w:noProof/>
        </w:rPr>
      </w:pPr>
      <w:r w:rsidRPr="00A92C2F">
        <w:t>–</w:t>
      </w:r>
      <w:r w:rsidRPr="00A92C2F">
        <w:tab/>
        <w:t xml:space="preserve">med beaktande av det interinstitutionella avtalet av den 16 december 2020 mellan Europaparlamentet, Europeiska unionens råd och Europeiska kommissionen om </w:t>
      </w:r>
      <w:r w:rsidRPr="00A92C2F">
        <w:lastRenderedPageBreak/>
        <w:t>budgetdisciplin, samarbete i budgetfrågor och sund ekonomisk förvaltning samt om nya egna medel, inbegripet en färdplan för införandet av nya egna medel</w:t>
      </w:r>
      <w:r w:rsidRPr="00A92C2F">
        <w:rPr>
          <w:rStyle w:val="FootnoteReference"/>
          <w:noProof/>
        </w:rPr>
        <w:footnoteReference w:id="4"/>
      </w:r>
      <w:r w:rsidRPr="00A92C2F">
        <w:t>, särskilt punkt 9,</w:t>
      </w:r>
    </w:p>
    <w:p w14:paraId="0ADBEFCB" w14:textId="77777777" w:rsidR="001545F9" w:rsidRPr="00A92C2F" w:rsidRDefault="001545F9" w:rsidP="001545F9">
      <w:pPr>
        <w:pStyle w:val="NormalHanging12a"/>
        <w:widowControl/>
      </w:pPr>
      <w:r w:rsidRPr="00A92C2F">
        <w:t>–</w:t>
      </w:r>
      <w:r w:rsidRPr="00A92C2F">
        <w:tab/>
        <w:t>med beaktande av den europeiska pelaren för sociala rättigheter,</w:t>
      </w:r>
    </w:p>
    <w:p w14:paraId="328AF140" w14:textId="77777777" w:rsidR="001545F9" w:rsidRPr="00A92C2F" w:rsidRDefault="001545F9" w:rsidP="001545F9">
      <w:pPr>
        <w:pStyle w:val="NormalHanging12a"/>
        <w:widowControl/>
      </w:pPr>
      <w:r w:rsidRPr="00A92C2F">
        <w:t>–</w:t>
      </w:r>
      <w:r w:rsidRPr="00A92C2F">
        <w:tab/>
        <w:t>med beaktande av skrivelsen från utskottet för sysselsättning och sociala frågor.</w:t>
      </w:r>
    </w:p>
    <w:p w14:paraId="1755E810" w14:textId="77777777" w:rsidR="001545F9" w:rsidRPr="00A92C2F" w:rsidRDefault="001545F9" w:rsidP="001545F9">
      <w:pPr>
        <w:pStyle w:val="NormalHanging12a"/>
        <w:widowControl/>
      </w:pPr>
      <w:r w:rsidRPr="00A92C2F">
        <w:t>–</w:t>
      </w:r>
      <w:r w:rsidRPr="00A92C2F">
        <w:tab/>
        <w:t>med beaktande av betänkandet från budgetutskottet (A10-0006/2026), och av följande skäl:</w:t>
      </w:r>
    </w:p>
    <w:p w14:paraId="55B4700C" w14:textId="77777777" w:rsidR="001545F9" w:rsidRPr="00A92C2F" w:rsidRDefault="001545F9" w:rsidP="001545F9">
      <w:pPr>
        <w:pStyle w:val="NormalHanging12a"/>
        <w:widowControl/>
        <w:rPr>
          <w:noProof/>
        </w:rPr>
      </w:pPr>
      <w:r w:rsidRPr="00A92C2F">
        <w:t>A.</w:t>
      </w:r>
      <w:r w:rsidRPr="00A92C2F">
        <w:tab/>
        <w:t>Unionen har inrättat lagstiftnings- och budgetinstrument för att ge kompletterande stöd till arbetstagare som drabbats av effekterna av genomgripande strukturförändringar inom världshandeln och för att underlätta deras återinträde på arbetsmarknaden. Detta stöd ges i form av ekonomiskt stöd till arbetstagare.</w:t>
      </w:r>
    </w:p>
    <w:p w14:paraId="063B6C15" w14:textId="797C8F49" w:rsidR="001545F9" w:rsidRPr="00A92C2F" w:rsidRDefault="001545F9" w:rsidP="001545F9">
      <w:pPr>
        <w:pStyle w:val="NormalHanging12a"/>
        <w:widowControl/>
      </w:pPr>
      <w:r w:rsidRPr="00A92C2F">
        <w:t>B.</w:t>
      </w:r>
      <w:r w:rsidRPr="00A92C2F">
        <w:tab/>
        <w:t xml:space="preserve">Belgien lämnade in ansökan EGF/2025/006 BE/Audi om ekonomiskt bidrag från </w:t>
      </w:r>
      <w:r w:rsidR="0064452D" w:rsidRPr="00A92C2F">
        <w:t>EGF</w:t>
      </w:r>
      <w:r w:rsidRPr="00A92C2F">
        <w:t xml:space="preserve"> till följd av 3 414 uppsägningar</w:t>
      </w:r>
      <w:r w:rsidRPr="00A92C2F">
        <w:rPr>
          <w:vertAlign w:val="superscript"/>
        </w:rPr>
        <w:footnoteReference w:id="5"/>
      </w:r>
      <w:r w:rsidRPr="00A92C2F">
        <w:t xml:space="preserve"> inom den näringsgren som i </w:t>
      </w:r>
      <w:proofErr w:type="spellStart"/>
      <w:r w:rsidRPr="00A92C2F">
        <w:t>Nace</w:t>
      </w:r>
      <w:proofErr w:type="spellEnd"/>
      <w:r w:rsidRPr="00A92C2F">
        <w:t xml:space="preserve"> rev. 2 klassificeras som huvudgrupp 29 (Tillverkning av motorfordon, släpfordon och påhängsvagnar) i regionerna Bruxelles </w:t>
      </w:r>
      <w:proofErr w:type="spellStart"/>
      <w:r w:rsidRPr="00A92C2F">
        <w:t>Capitale</w:t>
      </w:r>
      <w:proofErr w:type="spellEnd"/>
      <w:r w:rsidRPr="00A92C2F">
        <w:t xml:space="preserve"> (BE10), </w:t>
      </w:r>
      <w:proofErr w:type="spellStart"/>
      <w:r w:rsidRPr="00A92C2F">
        <w:t>Provincie</w:t>
      </w:r>
      <w:proofErr w:type="spellEnd"/>
      <w:r w:rsidRPr="00A92C2F">
        <w:t xml:space="preserve"> </w:t>
      </w:r>
      <w:proofErr w:type="spellStart"/>
      <w:r w:rsidRPr="00A92C2F">
        <w:t>Oost-Vlaanderen</w:t>
      </w:r>
      <w:proofErr w:type="spellEnd"/>
      <w:r w:rsidRPr="00A92C2F">
        <w:t xml:space="preserve"> (BE23) och </w:t>
      </w:r>
      <w:proofErr w:type="spellStart"/>
      <w:r w:rsidRPr="00A92C2F">
        <w:t>Provincie</w:t>
      </w:r>
      <w:proofErr w:type="spellEnd"/>
      <w:r w:rsidRPr="00A92C2F">
        <w:t xml:space="preserve"> Hainaut (BE32), med 3 148 uppsägningar under referensperioden 28 februari 2025–28 juni 2025, varav 2 580 uppsagda arbetstagare vars verksamhet upphörde hos Audi S.A./</w:t>
      </w:r>
      <w:proofErr w:type="spellStart"/>
      <w:r w:rsidRPr="00A92C2F">
        <w:t>n.V</w:t>
      </w:r>
      <w:proofErr w:type="spellEnd"/>
      <w:r w:rsidRPr="00A92C2F">
        <w:t xml:space="preserve">. (Audi) och dess dotterbolag, och 568 uppsagda arbetstagare hos fem leverantörer och producenter i efterföljande produktionsled, och 266 uppsägningar före eller efter referensperioden. </w:t>
      </w:r>
    </w:p>
    <w:p w14:paraId="30AE0E70" w14:textId="77777777" w:rsidR="001545F9" w:rsidRPr="00A92C2F" w:rsidRDefault="001545F9" w:rsidP="001545F9">
      <w:pPr>
        <w:pStyle w:val="NormalHanging12a"/>
        <w:widowControl/>
      </w:pPr>
      <w:r w:rsidRPr="00A92C2F">
        <w:t>C.</w:t>
      </w:r>
      <w:r w:rsidRPr="00A92C2F">
        <w:tab/>
        <w:t xml:space="preserve">Ansökan baseras på insatskriteriet i artikel 4.2 a i EGF-förordningen. Ansökan gäller uppsägningar av 266 arbetstagare vars verksamhet upphörde före eller efter referensperioden på fyra månader, där ett tydligt orsakssamband kan fastställas med den händelse som ledde till att verksamheten upphörde för de uppsagda arbetstagarna under referensperioden på det sätt som krävs enligt artikel 6.2 i EGF-förordningen. </w:t>
      </w:r>
    </w:p>
    <w:p w14:paraId="206CA9FE" w14:textId="3A91EA8A" w:rsidR="001545F9" w:rsidRPr="00A92C2F" w:rsidRDefault="001545F9" w:rsidP="001545F9">
      <w:pPr>
        <w:pStyle w:val="NormalHanging12a"/>
        <w:widowControl/>
      </w:pPr>
      <w:r w:rsidRPr="00A92C2F">
        <w:t>D.</w:t>
      </w:r>
      <w:r w:rsidRPr="00A92C2F">
        <w:tab/>
        <w:t xml:space="preserve">I Audis berörda anläggning tillverkades endast en modell, och produktionen upphörde tidigare än planerat på grund av höga produktionskostnader kopplade till anläggningens läge. Anläggningen stängdes den 28 februari 2025. </w:t>
      </w:r>
    </w:p>
    <w:p w14:paraId="03C23DCF" w14:textId="77777777" w:rsidR="001545F9" w:rsidRPr="00A92C2F" w:rsidRDefault="001545F9" w:rsidP="001545F9">
      <w:pPr>
        <w:pStyle w:val="NormalHanging12a"/>
        <w:widowControl/>
      </w:pPr>
      <w:r w:rsidRPr="00A92C2F">
        <w:t>E.</w:t>
      </w:r>
      <w:r w:rsidRPr="00A92C2F">
        <w:tab/>
        <w:t>Belgien tillhandahåller den nationella förfinansieringen och medfinansieringen av åtgärderna.</w:t>
      </w:r>
    </w:p>
    <w:p w14:paraId="4DC9DB15" w14:textId="77777777" w:rsidR="001545F9" w:rsidRPr="00A92C2F" w:rsidRDefault="001545F9" w:rsidP="001545F9">
      <w:pPr>
        <w:pStyle w:val="NormalHanging12a"/>
        <w:widowControl/>
      </w:pPr>
      <w:r w:rsidRPr="00A92C2F">
        <w:t>F.</w:t>
      </w:r>
      <w:r w:rsidRPr="00A92C2F">
        <w:tab/>
        <w:t>De krav som rör kollektiva uppsägningar i unionens lagstiftning och i den nationella lagstiftningen är uppfyllda av de berörda företagen.</w:t>
      </w:r>
    </w:p>
    <w:p w14:paraId="53E686E6" w14:textId="77777777" w:rsidR="001545F9" w:rsidRPr="00A92C2F" w:rsidRDefault="001545F9" w:rsidP="001545F9">
      <w:pPr>
        <w:pStyle w:val="NormalHanging12a"/>
        <w:widowControl/>
      </w:pPr>
      <w:r w:rsidRPr="00A92C2F">
        <w:t>G.</w:t>
      </w:r>
      <w:r w:rsidRPr="00A92C2F">
        <w:tab/>
        <w:t xml:space="preserve">Ekonomiskt stöd från EGF bör i första hand inriktas på aktiva arbetsmarknadsåtgärder och individanpassade tjänster som syftar till att snabbt återintegrera stödmottagarna i en anständig och hållbar anställning som erbjuder dem kompetensutveckling för att </w:t>
      </w:r>
      <w:r w:rsidRPr="00A92C2F">
        <w:lastRenderedPageBreak/>
        <w:t>underlätta deras tillträde till arbetsmarknaden, samtidigt som de förbereder sig för en grönare och mer digital europeisk ekonomi.</w:t>
      </w:r>
    </w:p>
    <w:p w14:paraId="4DD21054" w14:textId="77777777" w:rsidR="001545F9" w:rsidRPr="00A92C2F" w:rsidRDefault="001545F9" w:rsidP="001545F9">
      <w:pPr>
        <w:pStyle w:val="NormalHanging12a"/>
        <w:widowControl/>
      </w:pPr>
      <w:r w:rsidRPr="00A92C2F">
        <w:t>H.</w:t>
      </w:r>
      <w:r w:rsidRPr="00A92C2F">
        <w:tab/>
        <w:t>EGF får inte överstiga ett årligt maximibelopp på 30 miljoner EUR (i 2018 års priser)</w:t>
      </w:r>
      <w:r w:rsidRPr="00A92C2F">
        <w:rPr>
          <w:rStyle w:val="FootnoteReference"/>
        </w:rPr>
        <w:footnoteReference w:id="6"/>
      </w:r>
      <w:r w:rsidRPr="00A92C2F">
        <w:t xml:space="preserve">. </w:t>
      </w:r>
    </w:p>
    <w:p w14:paraId="0EC93A24" w14:textId="77777777" w:rsidR="001545F9" w:rsidRPr="00A92C2F" w:rsidRDefault="001545F9" w:rsidP="001545F9">
      <w:pPr>
        <w:pStyle w:val="NormalHanging12a"/>
        <w:widowControl/>
      </w:pPr>
      <w:r w:rsidRPr="00A92C2F">
        <w:t>1.</w:t>
      </w:r>
      <w:r w:rsidRPr="00A92C2F">
        <w:tab/>
        <w:t>Europaparlamentet delar kommissionens åsikt att villkoren i EGF-förordningen, särskilt artikel 4.2 a, är uppfyllda och att Belgien är berättigat till ekonomiskt stöd på 7 527 625 EUR enligt den förordningen, vilket utgör 85 % av de totala kostnaderna på 8 856 030 EUR, bestående av utgifter för individanpassade tjänster på 8 738 968 EUR och utgifter för förberedande åtgärder samt för förvaltning, information och marknadsföring, kontroll och rapportering på 117 062 EUR.</w:t>
      </w:r>
    </w:p>
    <w:p w14:paraId="58C81F77" w14:textId="5B178C72" w:rsidR="001545F9" w:rsidRPr="00A92C2F" w:rsidRDefault="001545F9" w:rsidP="001545F9">
      <w:pPr>
        <w:pStyle w:val="NormalHanging12a"/>
        <w:widowControl/>
      </w:pPr>
      <w:r w:rsidRPr="00A92C2F">
        <w:t>2.</w:t>
      </w:r>
      <w:r w:rsidRPr="00A92C2F">
        <w:tab/>
        <w:t xml:space="preserve">Europaparlamentet noterar att de belgiska myndigheterna lämnade in ansökan den 18 september 2025 och att kommissionen, utifrån den ytterligare information som Belgien lämnade, slutförde sin bedömning den 9 januari 2026 och underrättade parlamentet samma dag. Parlamentet betonar vikten av att förkorta tiden mellan inlämnandet av en ansökan om stöd från </w:t>
      </w:r>
      <w:r w:rsidR="0064452D" w:rsidRPr="00A92C2F">
        <w:t>EGF</w:t>
      </w:r>
      <w:r w:rsidRPr="00A92C2F">
        <w:t xml:space="preserve"> och finansieringsbeslutet, samtidigt som parlamentets rättigheter i egenskap av den ena grenen av budgetmyndigheten skyddas fullt ut.</w:t>
      </w:r>
    </w:p>
    <w:p w14:paraId="106BEE67" w14:textId="77777777" w:rsidR="001545F9" w:rsidRPr="00A92C2F" w:rsidRDefault="001545F9" w:rsidP="001545F9">
      <w:pPr>
        <w:pStyle w:val="NormalHanging12a"/>
        <w:widowControl/>
      </w:pPr>
      <w:r w:rsidRPr="00A92C2F">
        <w:t>3.</w:t>
      </w:r>
      <w:r w:rsidRPr="00A92C2F">
        <w:tab/>
        <w:t>Europaparlamentet noterar att ansökan avser arbetstagare vars verksamhet har upphört hos Audi och fem leverantörer och producenter i efterföljande produktionsled och att de alla kommer att vara berörda stödmottagare.</w:t>
      </w:r>
    </w:p>
    <w:p w14:paraId="17A5948D" w14:textId="3173D6B8" w:rsidR="001545F9" w:rsidRPr="00A92C2F" w:rsidRDefault="001545F9" w:rsidP="001545F9">
      <w:pPr>
        <w:pStyle w:val="NormalHanging12a"/>
        <w:widowControl/>
      </w:pPr>
      <w:r w:rsidRPr="00A92C2F">
        <w:t>4.</w:t>
      </w:r>
      <w:r w:rsidRPr="00A92C2F">
        <w:tab/>
        <w:t>Europaparlamentet noterar att ökningen av konkurser under de senaste två åren avsevärt har ökat arbetslösheten i vissa regioner i Belgien, särskilt i Bryssel och Hainaut (Vallonien). Parlamentet betonar att risken för arbetslöshet hänger samman med utbildningsnivå och att varannan person med låg utbildning och en av tre personer med medelhög utbildning löper större risk för arbetslöshet, och att dessa grupper utgör 83 % av de uppsagda arbetstagarna. Parlamentet beklagar att uppsägningar</w:t>
      </w:r>
      <w:r w:rsidR="009521B3" w:rsidRPr="00A92C2F">
        <w:t>na</w:t>
      </w:r>
      <w:r w:rsidRPr="00A92C2F">
        <w:t xml:space="preserve"> ytterligare kommer att förvärra situationen. Parlamentet uppmanar de belgiska myndigheterna att vidta åtgärder för att minska konkurserna för att förhindra strukturell och regional nedgång, samtidigt som man tar itu med sociala skillnader som leder till utestängning av arbetskraft, såsom bristande jämställdhet och låg utbildningsnivå.</w:t>
      </w:r>
    </w:p>
    <w:p w14:paraId="4640A25D" w14:textId="4B543F9F" w:rsidR="001545F9" w:rsidRPr="00A92C2F" w:rsidRDefault="001545F9" w:rsidP="001545F9">
      <w:pPr>
        <w:pStyle w:val="NormalHanging12a"/>
        <w:widowControl/>
        <w:rPr>
          <w:noProof/>
        </w:rPr>
      </w:pPr>
      <w:r w:rsidRPr="00A92C2F">
        <w:t>5.</w:t>
      </w:r>
      <w:r w:rsidRPr="00A92C2F">
        <w:tab/>
        <w:t>Europaparlamentet konstaterar att den globala marknaden för produktion och försäljning av bilar, särskilt elbilar, kännetecknas av en alltmer aggressiv global konkurrens. Parlamentet framhåller de växande utmaningar som europeiska biltillverkare står inför när det gäller att få ut innovativa modeller till överkomliga priser på marknaden inom framtidsorienterade segment såsom batteridrivna elfordon. Parlamentet beklagar att Audi upphörde med verksamheten i Belgien trots att den fortfarande var lönsam, och att produktionen kommer att flyttas till Kina och Mexiko, vilket har lett till att 3 414 arbetstagare har sagts upp. Parlamentet noterar med oro att utmanande produktionsvillkor, inbegripet otillräcklig tillgång till och användning av billigare rena energikällor</w:t>
      </w:r>
      <w:r w:rsidR="009521B3" w:rsidRPr="00A92C2F">
        <w:t>,</w:t>
      </w:r>
      <w:r w:rsidRPr="00A92C2F">
        <w:t xml:space="preserve"> har bidragit till att Audis anläggningar flyttas utanför unionen.</w:t>
      </w:r>
    </w:p>
    <w:p w14:paraId="38A1AC04" w14:textId="77777777" w:rsidR="001545F9" w:rsidRPr="00A92C2F" w:rsidRDefault="001545F9" w:rsidP="001545F9">
      <w:pPr>
        <w:pStyle w:val="NormalHanging12a"/>
        <w:widowControl/>
        <w:rPr>
          <w:bCs/>
          <w:iCs/>
        </w:rPr>
      </w:pPr>
      <w:r w:rsidRPr="00A92C2F">
        <w:lastRenderedPageBreak/>
        <w:t>6.</w:t>
      </w:r>
      <w:r w:rsidRPr="00A92C2F">
        <w:tab/>
        <w:t>Europaparlamentet betonar att stängningen av anläggningen efter mer än 70 års drift, trots dess produktion av elfordon, visar att de utmaningar som den europeiska industrin står inför är av strukturell, och inte enbart teknisk, karaktär.</w:t>
      </w:r>
    </w:p>
    <w:p w14:paraId="2D50F450" w14:textId="44011A80" w:rsidR="001545F9" w:rsidRPr="00A92C2F" w:rsidRDefault="001545F9" w:rsidP="001545F9">
      <w:pPr>
        <w:pStyle w:val="NormalHanging12a"/>
        <w:widowControl/>
      </w:pPr>
      <w:r w:rsidRPr="00A92C2F">
        <w:t>7.</w:t>
      </w:r>
      <w:r w:rsidRPr="00A92C2F">
        <w:tab/>
        <w:t>Europaparlamentet betonar vikten av att hitta nya hållbara användningsområden för den stängda fabriken för att skapa arbetstillfällen av hög kvalitet i regionen. Parlamentet uppmanar de belgiska myndigheterna att vidta nödvändiga åtgärder för att underlätta öppnandet av en ny produktionsanläggning i den före detta Audi-fabriken.</w:t>
      </w:r>
    </w:p>
    <w:p w14:paraId="15B97942" w14:textId="77777777" w:rsidR="001545F9" w:rsidRPr="00A92C2F" w:rsidRDefault="001545F9" w:rsidP="00A92C2F">
      <w:pPr>
        <w:pStyle w:val="NormalHanging12a"/>
        <w:widowControl/>
        <w:rPr>
          <w:bCs/>
          <w:iCs/>
        </w:rPr>
      </w:pPr>
      <w:r w:rsidRPr="00A92C2F">
        <w:t>8.</w:t>
      </w:r>
      <w:r w:rsidRPr="00A92C2F">
        <w:tab/>
        <w:t>Europaparlamentet betonar att de uppsagda arbetstagarnas kvalifikationer och färdigheter fortfarande är avgörande för en framtidssäkrad europeisk ekonomi som fullbordar den gröna omställningen och samtidigt upprätthåller en stark industriell bas. Parlamentet anser därför att utnyttjandet av fonden måste ingå i en bredare politisk insats på alla politiska nivåer för att säkerställa att de berörda arbetstagarna hittar lämpliga möjligheter i linje med sina kvalifikationer och färdigheter.</w:t>
      </w:r>
    </w:p>
    <w:p w14:paraId="076D8470" w14:textId="77777777" w:rsidR="001545F9" w:rsidRPr="00A92C2F" w:rsidRDefault="001545F9" w:rsidP="001545F9">
      <w:pPr>
        <w:pStyle w:val="NormalHanging12a"/>
        <w:widowControl/>
      </w:pPr>
      <w:r w:rsidRPr="00A92C2F">
        <w:t>9.</w:t>
      </w:r>
      <w:r w:rsidRPr="00A92C2F">
        <w:tab/>
        <w:t xml:space="preserve">Europaparlamentet påminner om att de individanpassade tjänster som ska tillhandahållas arbetstagarna i samförstånd med fackföreningar och arbetsmarknadens parter består av följande åtgärder: rådgivnings-, informations- och arbetsförmedlingstjänster; utbildning, inklusive </w:t>
      </w:r>
      <w:proofErr w:type="spellStart"/>
      <w:r w:rsidRPr="00A92C2F">
        <w:t>it-kompetens</w:t>
      </w:r>
      <w:proofErr w:type="spellEnd"/>
      <w:r w:rsidRPr="00A92C2F">
        <w:t xml:space="preserve">; jobbdag; starta eget-bidrag; incitament för att delta i jobbsökaraktiviteter. Parlamentet betonar vikten av att främja framtidsorienterade arbetstillfällen av hög kvalitet för att säkerställa långsiktig ekonomisk och social </w:t>
      </w:r>
      <w:proofErr w:type="spellStart"/>
      <w:r w:rsidRPr="00A92C2F">
        <w:t>resiliens</w:t>
      </w:r>
      <w:proofErr w:type="spellEnd"/>
      <w:r w:rsidRPr="00A92C2F">
        <w:t>.</w:t>
      </w:r>
    </w:p>
    <w:p w14:paraId="0F7E7DA7" w14:textId="77777777" w:rsidR="001545F9" w:rsidRPr="00A92C2F" w:rsidRDefault="001545F9" w:rsidP="001545F9">
      <w:pPr>
        <w:pStyle w:val="NormalHanging12a"/>
        <w:widowControl/>
        <w:rPr>
          <w:bCs/>
          <w:iCs/>
        </w:rPr>
      </w:pPr>
      <w:r w:rsidRPr="00A92C2F">
        <w:t>10.</w:t>
      </w:r>
      <w:r w:rsidRPr="00A92C2F">
        <w:tab/>
        <w:t>Europaparlamentet betonar att de belgiska myndigheterna ska säkerställa unionsfinansieringens synlighet och lyfta fram dess mervärde genom att tillhandahålla effektiv och riktad information till stödmottagare, regionala och lokala myndigheter, arbetsmarknadens parter och den bredare allmänheten.</w:t>
      </w:r>
    </w:p>
    <w:p w14:paraId="02A735A8" w14:textId="77777777" w:rsidR="001545F9" w:rsidRPr="00A92C2F" w:rsidRDefault="001545F9" w:rsidP="001545F9">
      <w:pPr>
        <w:pStyle w:val="NormalHanging12a"/>
        <w:widowControl/>
      </w:pPr>
      <w:r w:rsidRPr="00A92C2F">
        <w:t>11.</w:t>
      </w:r>
      <w:r w:rsidRPr="00A92C2F">
        <w:tab/>
        <w:t>Europaparlamentet efterlyser noggranna slutliga utvärderingar av de åtgärder som genomförts, inbegripet tydlig information om hur medlen har använts och huruvida de faktiskt har uppnått de mål för vilka EGF inrättades, inbegripet uppgifter och tidsplaner avseende antalet arbetstagare som framgångsrikt återintegrerats på arbetsmarknaden och vilka jobb de har fått samt avseende dem som har slutfört utbildnings- och kompetenshöjningsåtgärder samt de relevanta tidsplanerna.</w:t>
      </w:r>
    </w:p>
    <w:p w14:paraId="63C2142B" w14:textId="77777777" w:rsidR="001545F9" w:rsidRPr="00A92C2F" w:rsidRDefault="001545F9" w:rsidP="001545F9">
      <w:pPr>
        <w:pStyle w:val="NormalHanging12a"/>
        <w:widowControl/>
      </w:pPr>
      <w:r w:rsidRPr="00A92C2F">
        <w:t>12.</w:t>
      </w:r>
      <w:r w:rsidRPr="00A92C2F">
        <w:tab/>
        <w:t>Europarlamentet noterar att Belgien började tillhandahålla individanpassade tjänster till de berörda stödmottagarna den 17 februari 2025 och att perioden för berättigande till ekonomiskt bidrag från EGF därför kommer att löpa från och med detta datum till och med 24 månader efter den dag då finansieringsbeslutet träder i kraft.</w:t>
      </w:r>
    </w:p>
    <w:p w14:paraId="278CA0EC" w14:textId="77777777" w:rsidR="001545F9" w:rsidRPr="00A92C2F" w:rsidRDefault="001545F9" w:rsidP="001545F9">
      <w:pPr>
        <w:pStyle w:val="NormalHanging12a"/>
        <w:widowControl/>
        <w:rPr>
          <w:sz w:val="23"/>
          <w:szCs w:val="23"/>
        </w:rPr>
      </w:pPr>
      <w:r w:rsidRPr="00A92C2F">
        <w:t>13.</w:t>
      </w:r>
      <w:r w:rsidRPr="00A92C2F">
        <w:tab/>
        <w:t>Europaparlamentet noterar att Belgien började ådra sig administrativa kostnader för att genomföra EGF den 9 juli 2024, och att dessa utgifter därför ska berättiga till ekonomiskt bidrag från EGF från och med detta datum och till och med 31 månader efter den dag då beslutet om det ekonomiska bidraget träder i kraft.</w:t>
      </w:r>
    </w:p>
    <w:p w14:paraId="59064C68" w14:textId="77777777" w:rsidR="001545F9" w:rsidRPr="00A92C2F" w:rsidRDefault="001545F9" w:rsidP="001545F9">
      <w:pPr>
        <w:pStyle w:val="NormalHanging12a"/>
        <w:widowControl/>
      </w:pPr>
      <w:r w:rsidRPr="00A92C2F">
        <w:t>14.</w:t>
      </w:r>
      <w:r w:rsidRPr="00A92C2F">
        <w:tab/>
        <w:t xml:space="preserve">Europaparlamentet noterar att de belgiska myndigheterna har bekräftat att principerna om likabehandling och icke-diskriminering kommer att respekteras när det gäller </w:t>
      </w:r>
      <w:r w:rsidRPr="00A92C2F">
        <w:lastRenderedPageBreak/>
        <w:t>tillgången till de föreslagna åtgärderna och deras genomförande och att dubbelfinansiering kommer att förhindras.</w:t>
      </w:r>
    </w:p>
    <w:p w14:paraId="61AE2758" w14:textId="77777777" w:rsidR="001545F9" w:rsidRPr="00A92C2F" w:rsidRDefault="001545F9" w:rsidP="001545F9">
      <w:pPr>
        <w:pStyle w:val="NormalHanging12a"/>
        <w:widowControl/>
      </w:pPr>
      <w:r w:rsidRPr="00A92C2F">
        <w:t>15.</w:t>
      </w:r>
      <w:r w:rsidRPr="00A92C2F">
        <w:tab/>
        <w:t>Europaparlamentet upprepar att bidrag från EGF inte får ersätta åtgärder som enligt nationell rätt eller kollektivavtal åligger företagen.</w:t>
      </w:r>
    </w:p>
    <w:p w14:paraId="71283495" w14:textId="77777777" w:rsidR="001545F9" w:rsidRPr="00A92C2F" w:rsidRDefault="001545F9" w:rsidP="001545F9">
      <w:pPr>
        <w:pStyle w:val="NormalHanging12a"/>
        <w:widowControl/>
        <w:rPr>
          <w:bCs/>
          <w:iCs/>
        </w:rPr>
      </w:pPr>
      <w:r w:rsidRPr="00A92C2F">
        <w:t>16.</w:t>
      </w:r>
      <w:r w:rsidRPr="00A92C2F">
        <w:tab/>
        <w:t xml:space="preserve">Europaparlamentet påminner om att EGF är ett instrument för solidaritet och rättvis omställning, och även om den ger stöd efter det att arbetstillfällen har gått förlorade kan den inte ersätta en proaktiv, sammanhängande och samordnad industripolitik för unionen i syfte att skydda Europas industriella sysselsättningsbas och sociala trygghet och långsiktiga ekonomiska och sociala </w:t>
      </w:r>
      <w:proofErr w:type="spellStart"/>
      <w:r w:rsidRPr="00A92C2F">
        <w:t>resiliens</w:t>
      </w:r>
      <w:proofErr w:type="spellEnd"/>
      <w:r w:rsidRPr="00A92C2F">
        <w:t xml:space="preserve"> och förhindra regional strukturell nedgång. Parlamentet betonar att unionens främsta uppgift måste vara att förhindra sådana nedläggningar genom att skapa förutsättningar för ekonomiskt överkomlig, ren och tillförlitlig energi för att se till att industriproduktionen förblir konkurrenskraftig, samtidigt som man investerar i kompetens för både högkvalificerade arbetstagare och industriarbetare. Parlamentet betonar dessutom det akuta behovet av samstämmiga och samordnade insatser för unionens konkurrenskraft, som utvecklas i nära partnerskap med medlemsstaterna, för att skydda Europas industriella sysselsättningsbas och sociala trygghet, och understryker att endast en robust och motståndskraftig europeisk ekonomi effektivt kan förhindra storskaliga uppsägningar och därigenom minska behovet av insatser från fonden. </w:t>
      </w:r>
    </w:p>
    <w:p w14:paraId="2E761B43" w14:textId="77777777" w:rsidR="001545F9" w:rsidRPr="00A92C2F" w:rsidRDefault="001545F9" w:rsidP="001545F9">
      <w:pPr>
        <w:pStyle w:val="NormalHanging12a"/>
        <w:widowControl/>
      </w:pPr>
      <w:r w:rsidRPr="00A92C2F">
        <w:t>17.</w:t>
      </w:r>
      <w:r w:rsidRPr="00A92C2F">
        <w:tab/>
        <w:t>Europaparlamentet godkänner det bifogade beslutet.</w:t>
      </w:r>
    </w:p>
    <w:p w14:paraId="040098CF" w14:textId="77777777" w:rsidR="001545F9" w:rsidRPr="00A92C2F" w:rsidRDefault="001545F9" w:rsidP="001545F9">
      <w:pPr>
        <w:pStyle w:val="NormalHanging12a"/>
        <w:widowControl/>
      </w:pPr>
      <w:r w:rsidRPr="00A92C2F">
        <w:t>18.</w:t>
      </w:r>
      <w:r w:rsidRPr="00A92C2F">
        <w:tab/>
        <w:t xml:space="preserve">Europaparlamentet uppdrar åt talmannen att tillsammans med rådets ordförande underteckna beslutet och se till att det offentliggörs i </w:t>
      </w:r>
      <w:r w:rsidRPr="00A92C2F">
        <w:rPr>
          <w:i/>
        </w:rPr>
        <w:t>Europeiska unionens officiella tidning</w:t>
      </w:r>
      <w:r w:rsidRPr="00A92C2F">
        <w:t>.</w:t>
      </w:r>
    </w:p>
    <w:p w14:paraId="25F2EAE8" w14:textId="77777777" w:rsidR="001545F9" w:rsidRPr="00A92C2F" w:rsidRDefault="001545F9" w:rsidP="001545F9">
      <w:pPr>
        <w:pStyle w:val="NormalHanging12a"/>
        <w:widowControl/>
      </w:pPr>
      <w:r w:rsidRPr="00A92C2F">
        <w:t>19.</w:t>
      </w:r>
      <w:r w:rsidRPr="00A92C2F">
        <w:tab/>
        <w:t>Europaparlamentet uppdrar åt talmannen att översända denna resolution med bilaga till rådet och kommissionen.</w:t>
      </w:r>
    </w:p>
    <w:p w14:paraId="732A987A" w14:textId="77777777" w:rsidR="001545F9" w:rsidRPr="00A92C2F" w:rsidRDefault="001545F9" w:rsidP="001545F9">
      <w:pPr>
        <w:pStyle w:val="NormalHanging12a"/>
        <w:widowControl/>
      </w:pPr>
    </w:p>
    <w:p w14:paraId="44286420" w14:textId="77777777" w:rsidR="001545F9" w:rsidRPr="00A92C2F" w:rsidRDefault="001545F9" w:rsidP="001545F9">
      <w:pPr>
        <w:pStyle w:val="NormalHanging12a"/>
        <w:widowControl/>
      </w:pPr>
    </w:p>
    <w:p w14:paraId="5C95F75D" w14:textId="77777777" w:rsidR="001545F9" w:rsidRPr="00A92C2F" w:rsidRDefault="001545F9" w:rsidP="001545F9">
      <w:pPr>
        <w:widowControl/>
        <w:rPr>
          <w:noProof/>
        </w:rPr>
      </w:pPr>
    </w:p>
    <w:p w14:paraId="003F9F87" w14:textId="77777777" w:rsidR="001545F9" w:rsidRPr="00A92C2F" w:rsidRDefault="001545F9" w:rsidP="001545F9">
      <w:pPr>
        <w:pStyle w:val="PageHeading"/>
        <w:widowControl/>
        <w:rPr>
          <w:noProof/>
        </w:rPr>
        <w:sectPr w:rsidR="001545F9" w:rsidRPr="00A92C2F" w:rsidSect="00764BB0">
          <w:headerReference w:type="even" r:id="rId9"/>
          <w:headerReference w:type="default" r:id="rId10"/>
          <w:footerReference w:type="even"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103D96" w14:textId="6E852EAF" w:rsidR="002200FF" w:rsidRPr="002200FF" w:rsidRDefault="001545F9" w:rsidP="001545F9">
      <w:pPr>
        <w:pStyle w:val="PageHeading"/>
        <w:widowControl/>
        <w:rPr>
          <w:rFonts w:ascii="Times New Roman" w:hAnsi="Times New Roman" w:cs="Times New Roman"/>
        </w:rPr>
      </w:pPr>
      <w:bookmarkStart w:id="7" w:name="_Toc220591116"/>
      <w:bookmarkStart w:id="8" w:name="_Toc221183614"/>
      <w:r w:rsidRPr="002200FF">
        <w:rPr>
          <w:rFonts w:ascii="Times New Roman" w:hAnsi="Times New Roman" w:cs="Times New Roman"/>
        </w:rPr>
        <w:lastRenderedPageBreak/>
        <w:t>BILAGA</w:t>
      </w:r>
      <w:bookmarkStart w:id="9" w:name="_Hlk219192825"/>
    </w:p>
    <w:p w14:paraId="23D7B15F" w14:textId="6D51CC1C" w:rsidR="001545F9" w:rsidRPr="002200FF" w:rsidRDefault="001545F9" w:rsidP="001545F9">
      <w:pPr>
        <w:pStyle w:val="PageHeading"/>
        <w:widowControl/>
        <w:rPr>
          <w:rFonts w:ascii="Times New Roman" w:hAnsi="Times New Roman" w:cs="Times New Roman"/>
        </w:rPr>
      </w:pPr>
      <w:r w:rsidRPr="002200FF">
        <w:rPr>
          <w:rFonts w:ascii="Times New Roman" w:hAnsi="Times New Roman" w:cs="Times New Roman"/>
        </w:rPr>
        <w:t>EUROPAPARLAMENTETS OCH RÅDETS BESLUT</w:t>
      </w:r>
      <w:bookmarkEnd w:id="7"/>
      <w:bookmarkEnd w:id="8"/>
      <w:bookmarkEnd w:id="9"/>
    </w:p>
    <w:p w14:paraId="24BC4D40" w14:textId="77777777" w:rsidR="001545F9" w:rsidRDefault="001545F9" w:rsidP="001545F9">
      <w:pPr>
        <w:spacing w:after="240"/>
        <w:rPr>
          <w:b/>
        </w:rPr>
      </w:pPr>
      <w:r w:rsidRPr="00A92C2F">
        <w:rPr>
          <w:b/>
        </w:rPr>
        <w:t>om utnyttjande av Europeiska fonden för justering för globaliseringseffekter för uppsagda arbetstagare efter en ansökan från Belgien – EGF/2025/006 BE/Audi</w:t>
      </w:r>
    </w:p>
    <w:p w14:paraId="093BAFF0" w14:textId="77777777" w:rsidR="002200FF" w:rsidRPr="00A92C2F" w:rsidRDefault="002200FF" w:rsidP="001545F9">
      <w:pPr>
        <w:spacing w:after="240"/>
        <w:rPr>
          <w:b/>
          <w:bCs/>
          <w:noProof/>
        </w:rPr>
      </w:pPr>
    </w:p>
    <w:bookmarkEnd w:id="1"/>
    <w:p w14:paraId="6DA92EDD" w14:textId="154741C6" w:rsidR="00E365E1" w:rsidRPr="002200FF" w:rsidRDefault="002200FF" w:rsidP="001545F9">
      <w:pPr>
        <w:rPr>
          <w:i/>
          <w:iCs/>
          <w:szCs w:val="24"/>
          <w:lang w:eastAsia="fr-FR"/>
        </w:rPr>
      </w:pPr>
      <w:r w:rsidRPr="002200FF">
        <w:rPr>
          <w:i/>
          <w:iCs/>
          <w:szCs w:val="24"/>
          <w:lang w:eastAsia="fr-FR"/>
        </w:rPr>
        <w:t>(Texten till denna bilaga återges inte här eftersom den motsvaras av den slutliga rättsakten, beslut</w:t>
      </w:r>
      <w:r>
        <w:rPr>
          <w:i/>
          <w:iCs/>
          <w:szCs w:val="24"/>
          <w:lang w:eastAsia="fr-FR"/>
        </w:rPr>
        <w:t xml:space="preserve"> </w:t>
      </w:r>
      <w:r w:rsidRPr="002200FF">
        <w:rPr>
          <w:i/>
          <w:iCs/>
          <w:szCs w:val="24"/>
          <w:lang w:eastAsia="fr-FR"/>
        </w:rPr>
        <w:t xml:space="preserve">(EU) </w:t>
      </w:r>
      <w:r>
        <w:rPr>
          <w:i/>
          <w:iCs/>
          <w:szCs w:val="24"/>
          <w:lang w:eastAsia="fr-FR"/>
        </w:rPr>
        <w:t>2026</w:t>
      </w:r>
      <w:r w:rsidRPr="002200FF">
        <w:rPr>
          <w:i/>
          <w:iCs/>
          <w:szCs w:val="24"/>
          <w:lang w:eastAsia="fr-FR"/>
        </w:rPr>
        <w:t>/</w:t>
      </w:r>
      <w:r>
        <w:rPr>
          <w:i/>
          <w:iCs/>
          <w:szCs w:val="24"/>
          <w:lang w:eastAsia="fr-FR"/>
        </w:rPr>
        <w:t>454</w:t>
      </w:r>
      <w:r w:rsidRPr="002200FF">
        <w:rPr>
          <w:i/>
          <w:iCs/>
          <w:szCs w:val="24"/>
          <w:lang w:eastAsia="fr-FR"/>
        </w:rPr>
        <w:t>.)</w:t>
      </w:r>
    </w:p>
    <w:sectPr w:rsidR="00E365E1" w:rsidRPr="002200FF" w:rsidSect="00764BB0">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BF36A" w14:textId="77777777" w:rsidR="00621F16" w:rsidRPr="00764BB0" w:rsidRDefault="00621F16">
      <w:r w:rsidRPr="00764BB0">
        <w:separator/>
      </w:r>
    </w:p>
  </w:endnote>
  <w:endnote w:type="continuationSeparator" w:id="0">
    <w:p w14:paraId="6CF73ADD" w14:textId="77777777" w:rsidR="00621F16" w:rsidRPr="00764BB0" w:rsidRDefault="00621F16">
      <w:r w:rsidRPr="00764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7E15" w14:textId="77777777" w:rsidR="001545F9" w:rsidRPr="00764BB0" w:rsidRDefault="001545F9" w:rsidP="00B30CE4">
    <w:pPr>
      <w:pStyle w:val="EPFooter"/>
    </w:pPr>
    <w:r w:rsidRPr="00764BB0">
      <w:t>PE</w:t>
    </w:r>
    <w:r w:rsidRPr="00764BB0">
      <w:rPr>
        <w:rStyle w:val="HideTWBExt"/>
      </w:rPr>
      <w:t>&lt;</w:t>
    </w:r>
    <w:proofErr w:type="spellStart"/>
    <w:r w:rsidRPr="00764BB0">
      <w:rPr>
        <w:rStyle w:val="HideTWBExt"/>
      </w:rPr>
      <w:t>NoPE</w:t>
    </w:r>
    <w:proofErr w:type="spellEnd"/>
    <w:r w:rsidRPr="00764BB0">
      <w:rPr>
        <w:rStyle w:val="HideTWBExt"/>
      </w:rPr>
      <w:t>&gt;</w:t>
    </w:r>
    <w:r w:rsidRPr="00764BB0">
      <w:t>782.226</w:t>
    </w:r>
    <w:r w:rsidRPr="00764BB0">
      <w:rPr>
        <w:rStyle w:val="HideTWBExt"/>
      </w:rPr>
      <w:t>&lt;/</w:t>
    </w:r>
    <w:proofErr w:type="spellStart"/>
    <w:r w:rsidRPr="00764BB0">
      <w:rPr>
        <w:rStyle w:val="HideTWBExt"/>
      </w:rPr>
      <w:t>NoPE</w:t>
    </w:r>
    <w:proofErr w:type="spellEnd"/>
    <w:r w:rsidRPr="00764BB0">
      <w:rPr>
        <w:rStyle w:val="HideTWBExt"/>
      </w:rPr>
      <w:t>&gt;&lt;Version&gt;</w:t>
    </w:r>
    <w:r w:rsidRPr="00764BB0">
      <w:t>v02-00</w:t>
    </w:r>
    <w:r w:rsidRPr="00764BB0">
      <w:rPr>
        <w:rStyle w:val="HideTWBExt"/>
      </w:rPr>
      <w:t>&lt;/Version&gt;</w:t>
    </w:r>
    <w:r w:rsidRPr="00764BB0">
      <w:tab/>
    </w:r>
    <w:r w:rsidRPr="00764BB0">
      <w:fldChar w:fldCharType="begin"/>
    </w:r>
    <w:r w:rsidRPr="00764BB0">
      <w:instrText xml:space="preserve"> PAGE  \* MERGEFORMAT </w:instrText>
    </w:r>
    <w:r w:rsidRPr="00764BB0">
      <w:fldChar w:fldCharType="separate"/>
    </w:r>
    <w:r w:rsidRPr="00764BB0">
      <w:rPr>
        <w:noProof/>
      </w:rPr>
      <w:t>10</w:t>
    </w:r>
    <w:r w:rsidRPr="00764BB0">
      <w:fldChar w:fldCharType="end"/>
    </w:r>
    <w:r w:rsidRPr="00764BB0">
      <w:t>/</w:t>
    </w:r>
    <w:r w:rsidR="002200FF">
      <w:fldChar w:fldCharType="begin"/>
    </w:r>
    <w:r w:rsidR="002200FF">
      <w:instrText xml:space="preserve"> NUMPAGES  \* MERGEFORMAT </w:instrText>
    </w:r>
    <w:r w:rsidR="002200FF">
      <w:fldChar w:fldCharType="separate"/>
    </w:r>
    <w:r w:rsidRPr="00764BB0">
      <w:rPr>
        <w:noProof/>
      </w:rPr>
      <w:t>20</w:t>
    </w:r>
    <w:r w:rsidR="002200FF">
      <w:rPr>
        <w:noProof/>
      </w:rPr>
      <w:fldChar w:fldCharType="end"/>
    </w:r>
    <w:r w:rsidRPr="00764BB0">
      <w:tab/>
    </w:r>
    <w:r w:rsidRPr="00764BB0">
      <w:rPr>
        <w:rStyle w:val="HideTWBExt"/>
      </w:rPr>
      <w:t>&lt;PathFdR&gt;</w:t>
    </w:r>
    <w:r w:rsidRPr="00764BB0">
      <w:t>RR\1336415SV.docx</w:t>
    </w:r>
    <w:r w:rsidRPr="00764BB0">
      <w:rPr>
        <w:rStyle w:val="HideTWBExt"/>
      </w:rPr>
      <w:t>&lt;/</w:t>
    </w:r>
    <w:proofErr w:type="spellStart"/>
    <w:r w:rsidRPr="00764BB0">
      <w:rPr>
        <w:rStyle w:val="HideTWBExt"/>
      </w:rPr>
      <w:t>PathFdR</w:t>
    </w:r>
    <w:proofErr w:type="spellEnd"/>
    <w:r w:rsidRPr="00764BB0">
      <w:rPr>
        <w:rStyle w:val="HideTWBExt"/>
      </w:rPr>
      <w:t>&gt;</w:t>
    </w:r>
  </w:p>
  <w:p w14:paraId="18DBBF2D" w14:textId="77777777" w:rsidR="001545F9" w:rsidRPr="00764BB0" w:rsidRDefault="001545F9" w:rsidP="00B30CE4">
    <w:pPr>
      <w:pStyle w:val="EPFooter2"/>
    </w:pPr>
    <w:r w:rsidRPr="00764BB0">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AAB6" w14:textId="77777777" w:rsidR="001545F9" w:rsidRPr="00764BB0" w:rsidRDefault="001545F9" w:rsidP="00B30CE4">
    <w:pPr>
      <w:pStyle w:val="EPFooter"/>
    </w:pPr>
    <w:r w:rsidRPr="00764BB0">
      <w:rPr>
        <w:rStyle w:val="HideTWBExt"/>
      </w:rPr>
      <w:t>&lt;PathFdR&gt;</w:t>
    </w:r>
    <w:r w:rsidRPr="00764BB0">
      <w:t>RR\1336415SV.docx</w:t>
    </w:r>
    <w:r w:rsidRPr="00764BB0">
      <w:rPr>
        <w:rStyle w:val="HideTWBExt"/>
      </w:rPr>
      <w:t>&lt;/</w:t>
    </w:r>
    <w:proofErr w:type="spellStart"/>
    <w:r w:rsidRPr="00764BB0">
      <w:rPr>
        <w:rStyle w:val="HideTWBExt"/>
      </w:rPr>
      <w:t>PathFdR</w:t>
    </w:r>
    <w:proofErr w:type="spellEnd"/>
    <w:r w:rsidRPr="00764BB0">
      <w:rPr>
        <w:rStyle w:val="HideTWBExt"/>
      </w:rPr>
      <w:t>&gt;</w:t>
    </w:r>
    <w:r w:rsidRPr="00764BB0">
      <w:tab/>
    </w:r>
    <w:r w:rsidRPr="00764BB0">
      <w:tab/>
      <w:t>PE</w:t>
    </w:r>
    <w:r w:rsidRPr="00764BB0">
      <w:rPr>
        <w:rStyle w:val="HideTWBExt"/>
      </w:rPr>
      <w:t>&lt;</w:t>
    </w:r>
    <w:proofErr w:type="spellStart"/>
    <w:r w:rsidRPr="00764BB0">
      <w:rPr>
        <w:rStyle w:val="HideTWBExt"/>
      </w:rPr>
      <w:t>NoPE</w:t>
    </w:r>
    <w:proofErr w:type="spellEnd"/>
    <w:r w:rsidRPr="00764BB0">
      <w:rPr>
        <w:rStyle w:val="HideTWBExt"/>
      </w:rPr>
      <w:t>&gt;</w:t>
    </w:r>
    <w:r w:rsidRPr="00764BB0">
      <w:t>782.226</w:t>
    </w:r>
    <w:r w:rsidRPr="00764BB0">
      <w:rPr>
        <w:rStyle w:val="HideTWBExt"/>
      </w:rPr>
      <w:t>&lt;/</w:t>
    </w:r>
    <w:proofErr w:type="spellStart"/>
    <w:r w:rsidRPr="00764BB0">
      <w:rPr>
        <w:rStyle w:val="HideTWBExt"/>
      </w:rPr>
      <w:t>NoPE</w:t>
    </w:r>
    <w:proofErr w:type="spellEnd"/>
    <w:r w:rsidRPr="00764BB0">
      <w:rPr>
        <w:rStyle w:val="HideTWBExt"/>
      </w:rPr>
      <w:t>&gt;&lt;Version&gt;</w:t>
    </w:r>
    <w:r w:rsidRPr="00764BB0">
      <w:t>v02-00</w:t>
    </w:r>
    <w:r w:rsidRPr="00764BB0">
      <w:rPr>
        <w:rStyle w:val="HideTWBExt"/>
      </w:rPr>
      <w:t>&lt;/Version&gt;</w:t>
    </w:r>
  </w:p>
  <w:p w14:paraId="2F1BCDE0" w14:textId="77777777" w:rsidR="001545F9" w:rsidRPr="00764BB0" w:rsidRDefault="001545F9" w:rsidP="00B30CE4">
    <w:pPr>
      <w:pStyle w:val="EPFooter2"/>
    </w:pPr>
    <w:r w:rsidRPr="00764BB0">
      <w:t>SV</w:t>
    </w:r>
    <w:r w:rsidRPr="00764BB0">
      <w:tab/>
    </w:r>
    <w:r w:rsidRPr="00764BB0">
      <w:rPr>
        <w:b w:val="0"/>
        <w:i/>
        <w:color w:val="C0C0C0"/>
        <w:sz w:val="22"/>
      </w:rPr>
      <w:t>Förenade i mångfalden</w:t>
    </w:r>
    <w:r w:rsidRPr="00764BB0">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D5F9D" w14:textId="77777777" w:rsidR="00064002" w:rsidRPr="00764BB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1E80" w14:textId="77777777" w:rsidR="00064002" w:rsidRPr="00764BB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1673" w14:textId="77777777" w:rsidR="00064002" w:rsidRPr="00764B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755F0" w14:textId="77777777" w:rsidR="00621F16" w:rsidRPr="00764BB0" w:rsidRDefault="00621F16">
      <w:r w:rsidRPr="00764BB0">
        <w:separator/>
      </w:r>
    </w:p>
  </w:footnote>
  <w:footnote w:type="continuationSeparator" w:id="0">
    <w:p w14:paraId="14D30499" w14:textId="77777777" w:rsidR="00621F16" w:rsidRPr="00764BB0" w:rsidRDefault="00621F16">
      <w:r w:rsidRPr="00764BB0">
        <w:continuationSeparator/>
      </w:r>
    </w:p>
  </w:footnote>
  <w:footnote w:id="1">
    <w:p w14:paraId="5A13050E" w14:textId="79D7937E" w:rsidR="001545F9" w:rsidRPr="00A92C2F" w:rsidRDefault="001545F9" w:rsidP="00764BB0">
      <w:pPr>
        <w:pStyle w:val="FootnoteText"/>
        <w:ind w:left="567" w:hanging="567"/>
        <w:rPr>
          <w:sz w:val="24"/>
          <w:lang w:val="fi-FI"/>
        </w:rPr>
      </w:pPr>
      <w:r w:rsidRPr="00764BB0">
        <w:rPr>
          <w:rStyle w:val="FootnoteReference"/>
          <w:sz w:val="24"/>
          <w:lang w:val="sv-SE"/>
        </w:rPr>
        <w:footnoteRef/>
      </w:r>
      <w:r w:rsidR="00764BB0" w:rsidRPr="00A92C2F">
        <w:rPr>
          <w:sz w:val="24"/>
          <w:lang w:val="fi-FI"/>
        </w:rPr>
        <w:t xml:space="preserve"> </w:t>
      </w:r>
      <w:r w:rsidR="00764BB0" w:rsidRPr="00A92C2F">
        <w:rPr>
          <w:sz w:val="24"/>
          <w:lang w:val="fi-FI"/>
        </w:rPr>
        <w:tab/>
      </w:r>
      <w:r w:rsidRPr="00A92C2F">
        <w:rPr>
          <w:sz w:val="24"/>
          <w:lang w:val="fi-FI"/>
        </w:rPr>
        <w:t xml:space="preserve">EUT L 153, 3.5.2021, s. 48, ELI: </w:t>
      </w:r>
      <w:hyperlink r:id="rId1" w:history="1">
        <w:r w:rsidRPr="00A92C2F">
          <w:rPr>
            <w:rStyle w:val="Hyperlink"/>
            <w:sz w:val="24"/>
            <w:lang w:val="fi-FI"/>
          </w:rPr>
          <w:t>http://data.europa.eu/eli/reg/2021/691/oj</w:t>
        </w:r>
      </w:hyperlink>
      <w:r w:rsidRPr="00A92C2F">
        <w:rPr>
          <w:sz w:val="24"/>
          <w:lang w:val="fi-FI"/>
        </w:rPr>
        <w:t>.</w:t>
      </w:r>
    </w:p>
  </w:footnote>
  <w:footnote w:id="2">
    <w:p w14:paraId="26B5C4FA" w14:textId="4E4C9ACB" w:rsidR="001545F9" w:rsidRPr="00A92C2F" w:rsidRDefault="001545F9" w:rsidP="00764BB0">
      <w:pPr>
        <w:pStyle w:val="FootnoteText"/>
        <w:ind w:left="567" w:hanging="567"/>
        <w:rPr>
          <w:sz w:val="24"/>
          <w:lang w:val="fi-FI"/>
        </w:rPr>
      </w:pPr>
      <w:r w:rsidRPr="00764BB0">
        <w:rPr>
          <w:rStyle w:val="FootnoteReference"/>
          <w:sz w:val="24"/>
          <w:lang w:val="sv-SE"/>
        </w:rPr>
        <w:footnoteRef/>
      </w:r>
      <w:r w:rsidR="00764BB0" w:rsidRPr="00A92C2F">
        <w:rPr>
          <w:sz w:val="24"/>
          <w:lang w:val="fi-FI"/>
        </w:rPr>
        <w:t xml:space="preserve"> </w:t>
      </w:r>
      <w:r w:rsidR="00764BB0" w:rsidRPr="00A92C2F">
        <w:rPr>
          <w:sz w:val="24"/>
          <w:lang w:val="fi-FI"/>
        </w:rPr>
        <w:tab/>
      </w:r>
      <w:r w:rsidRPr="00A92C2F">
        <w:rPr>
          <w:sz w:val="24"/>
          <w:lang w:val="fi-FI"/>
        </w:rPr>
        <w:t>EUT L 433</w:t>
      </w:r>
      <w:r w:rsidR="00F54288">
        <w:rPr>
          <w:sz w:val="24"/>
          <w:lang w:val="fi-FI"/>
        </w:rPr>
        <w:t xml:space="preserve"> I</w:t>
      </w:r>
      <w:r w:rsidRPr="00A92C2F">
        <w:rPr>
          <w:sz w:val="24"/>
          <w:lang w:val="fi-FI"/>
        </w:rPr>
        <w:t xml:space="preserve">, 22.12.2020, s. 11, ELI: </w:t>
      </w:r>
      <w:hyperlink r:id="rId2" w:history="1">
        <w:r w:rsidRPr="00A92C2F">
          <w:rPr>
            <w:rStyle w:val="Hyperlink"/>
            <w:sz w:val="24"/>
            <w:lang w:val="fi-FI"/>
          </w:rPr>
          <w:t>http://data.europa.eu/eli/reg/2020/2093/oj</w:t>
        </w:r>
      </w:hyperlink>
      <w:r w:rsidRPr="00A92C2F">
        <w:rPr>
          <w:sz w:val="24"/>
          <w:lang w:val="fi-FI"/>
        </w:rPr>
        <w:t>.</w:t>
      </w:r>
    </w:p>
  </w:footnote>
  <w:footnote w:id="3">
    <w:p w14:paraId="26526AF6" w14:textId="17C0D35B" w:rsidR="001545F9" w:rsidRPr="00764BB0" w:rsidRDefault="001545F9" w:rsidP="00764BB0">
      <w:pPr>
        <w:pStyle w:val="FootnoteText"/>
        <w:ind w:left="567" w:hanging="567"/>
        <w:rPr>
          <w:sz w:val="24"/>
          <w:lang w:val="sv-SE"/>
        </w:rPr>
      </w:pPr>
      <w:r w:rsidRPr="00764BB0">
        <w:rPr>
          <w:rStyle w:val="FootnoteReference"/>
          <w:sz w:val="24"/>
          <w:lang w:val="sv-SE"/>
        </w:rPr>
        <w:footnoteRef/>
      </w:r>
      <w:r w:rsidR="00764BB0" w:rsidRPr="00764BB0">
        <w:rPr>
          <w:sz w:val="24"/>
          <w:shd w:val="clear" w:color="auto" w:fill="FFFFFF"/>
          <w:lang w:val="sv-SE"/>
        </w:rPr>
        <w:t xml:space="preserve"> </w:t>
      </w:r>
      <w:r w:rsidR="00764BB0" w:rsidRPr="00764BB0">
        <w:rPr>
          <w:sz w:val="24"/>
          <w:shd w:val="clear" w:color="auto" w:fill="FFFFFF"/>
          <w:lang w:val="sv-SE"/>
        </w:rPr>
        <w:tab/>
      </w:r>
      <w:r w:rsidRPr="00764BB0">
        <w:rPr>
          <w:sz w:val="24"/>
          <w:shd w:val="clear" w:color="auto" w:fill="FFFFFF"/>
          <w:lang w:val="sv-SE"/>
        </w:rPr>
        <w:t>Rådets förordning (EU, Euratom) 2024/765 av den 29 februari 2024 om ändring av förordning (EU, Euratom) 2020/2093 om den fleråriga budgetramen 2021–2027 (EUT L</w:t>
      </w:r>
      <w:r w:rsidR="00F54288">
        <w:rPr>
          <w:sz w:val="24"/>
          <w:shd w:val="clear" w:color="auto" w:fill="FFFFFF"/>
          <w:lang w:val="sv-SE"/>
        </w:rPr>
        <w:t>,</w:t>
      </w:r>
      <w:r w:rsidRPr="00764BB0">
        <w:rPr>
          <w:sz w:val="24"/>
          <w:shd w:val="clear" w:color="auto" w:fill="FFFFFF"/>
          <w:lang w:val="sv-SE"/>
        </w:rPr>
        <w:t> 2024/765, 29.2.2024, ELI:</w:t>
      </w:r>
      <w:r w:rsidRPr="00764BB0">
        <w:rPr>
          <w:color w:val="333333"/>
          <w:sz w:val="24"/>
          <w:shd w:val="clear" w:color="auto" w:fill="FFFFFF"/>
          <w:lang w:val="sv-SE"/>
        </w:rPr>
        <w:t xml:space="preserve"> </w:t>
      </w:r>
      <w:hyperlink r:id="rId3" w:history="1">
        <w:r w:rsidRPr="00764BB0">
          <w:rPr>
            <w:rStyle w:val="Hyperlink"/>
            <w:sz w:val="24"/>
            <w:shd w:val="clear" w:color="auto" w:fill="FFFFFF"/>
            <w:lang w:val="sv-SE"/>
          </w:rPr>
          <w:t>http://data.europa.eu/eli/reg/2024/765/oj</w:t>
        </w:r>
      </w:hyperlink>
      <w:r w:rsidRPr="00764BB0">
        <w:rPr>
          <w:i/>
          <w:color w:val="333333"/>
          <w:sz w:val="24"/>
          <w:shd w:val="clear" w:color="auto" w:fill="FFFFFF"/>
          <w:lang w:val="sv-SE"/>
        </w:rPr>
        <w:t>).</w:t>
      </w:r>
    </w:p>
  </w:footnote>
  <w:footnote w:id="4">
    <w:p w14:paraId="42DE256D" w14:textId="0276845F" w:rsidR="001545F9" w:rsidRPr="00A92C2F" w:rsidRDefault="001545F9" w:rsidP="00764BB0">
      <w:pPr>
        <w:pStyle w:val="FootnoteText"/>
        <w:ind w:left="567" w:hanging="567"/>
        <w:rPr>
          <w:sz w:val="24"/>
          <w:lang w:val="fi-FI"/>
        </w:rPr>
      </w:pPr>
      <w:r w:rsidRPr="00764BB0">
        <w:rPr>
          <w:rStyle w:val="FootnoteReference"/>
          <w:sz w:val="24"/>
          <w:lang w:val="sv-SE"/>
        </w:rPr>
        <w:footnoteRef/>
      </w:r>
      <w:r w:rsidR="00764BB0" w:rsidRPr="00A92C2F">
        <w:rPr>
          <w:sz w:val="24"/>
          <w:lang w:val="fi-FI"/>
        </w:rPr>
        <w:t xml:space="preserve"> </w:t>
      </w:r>
      <w:r w:rsidR="00764BB0" w:rsidRPr="00A92C2F">
        <w:rPr>
          <w:sz w:val="24"/>
          <w:lang w:val="fi-FI"/>
        </w:rPr>
        <w:tab/>
      </w:r>
      <w:r w:rsidRPr="00A92C2F">
        <w:rPr>
          <w:sz w:val="24"/>
          <w:lang w:val="fi-FI"/>
        </w:rPr>
        <w:t>EUT L 433</w:t>
      </w:r>
      <w:r w:rsidR="00F54288">
        <w:rPr>
          <w:sz w:val="24"/>
          <w:lang w:val="fi-FI"/>
        </w:rPr>
        <w:t xml:space="preserve"> I</w:t>
      </w:r>
      <w:r w:rsidRPr="00A92C2F">
        <w:rPr>
          <w:sz w:val="24"/>
          <w:lang w:val="fi-FI"/>
        </w:rPr>
        <w:t xml:space="preserve">, 22.12.2020, s. 28, ELI: </w:t>
      </w:r>
      <w:hyperlink r:id="rId4" w:history="1">
        <w:r w:rsidRPr="00A92C2F">
          <w:rPr>
            <w:rStyle w:val="Hyperlink"/>
            <w:sz w:val="24"/>
            <w:lang w:val="fi-FI"/>
          </w:rPr>
          <w:t>http://data.europa.eu/eli/agree_interinstit/2020/1222/oj</w:t>
        </w:r>
      </w:hyperlink>
      <w:r w:rsidRPr="00A92C2F">
        <w:rPr>
          <w:sz w:val="24"/>
          <w:lang w:val="fi-FI"/>
        </w:rPr>
        <w:t>.</w:t>
      </w:r>
    </w:p>
  </w:footnote>
  <w:footnote w:id="5">
    <w:p w14:paraId="5F4E9A11" w14:textId="5FA6C9EB" w:rsidR="001545F9" w:rsidRPr="00764BB0" w:rsidRDefault="001545F9" w:rsidP="00764BB0">
      <w:pPr>
        <w:pStyle w:val="FootnoteText"/>
        <w:ind w:left="567" w:hanging="567"/>
        <w:rPr>
          <w:sz w:val="24"/>
          <w:lang w:val="sv-SE"/>
        </w:rPr>
      </w:pPr>
      <w:r w:rsidRPr="00764BB0">
        <w:rPr>
          <w:rStyle w:val="FootnoteReference"/>
          <w:sz w:val="24"/>
          <w:lang w:val="sv-SE"/>
        </w:rPr>
        <w:footnoteRef/>
      </w:r>
      <w:r w:rsidR="00764BB0" w:rsidRPr="00764BB0">
        <w:rPr>
          <w:sz w:val="24"/>
          <w:lang w:val="sv-SE"/>
        </w:rPr>
        <w:t xml:space="preserve"> </w:t>
      </w:r>
      <w:r w:rsidR="00764BB0" w:rsidRPr="00764BB0">
        <w:rPr>
          <w:sz w:val="24"/>
          <w:lang w:val="sv-SE"/>
        </w:rPr>
        <w:tab/>
      </w:r>
      <w:r w:rsidRPr="00764BB0">
        <w:rPr>
          <w:sz w:val="24"/>
          <w:lang w:val="sv-SE"/>
        </w:rPr>
        <w:t>I den mening som avses i artikel 3 i EGF-förordningen.</w:t>
      </w:r>
    </w:p>
  </w:footnote>
  <w:footnote w:id="6">
    <w:p w14:paraId="6579655A" w14:textId="52137FA8" w:rsidR="001545F9" w:rsidRPr="00764BB0" w:rsidRDefault="001545F9" w:rsidP="00764BB0">
      <w:pPr>
        <w:pStyle w:val="FootnoteText"/>
        <w:ind w:left="567" w:hanging="567"/>
        <w:rPr>
          <w:sz w:val="24"/>
          <w:lang w:val="sv-SE"/>
        </w:rPr>
      </w:pPr>
      <w:r w:rsidRPr="00764BB0">
        <w:rPr>
          <w:rStyle w:val="FootnoteReference"/>
          <w:sz w:val="24"/>
          <w:lang w:val="sv-SE"/>
        </w:rPr>
        <w:footnoteRef/>
      </w:r>
      <w:r w:rsidR="00764BB0" w:rsidRPr="00764BB0">
        <w:rPr>
          <w:sz w:val="24"/>
          <w:lang w:val="sv-SE"/>
        </w:rPr>
        <w:t xml:space="preserve"> </w:t>
      </w:r>
      <w:r w:rsidR="00764BB0" w:rsidRPr="00764BB0">
        <w:rPr>
          <w:sz w:val="24"/>
          <w:lang w:val="sv-SE"/>
        </w:rPr>
        <w:tab/>
      </w:r>
      <w:r w:rsidRPr="00764BB0">
        <w:rPr>
          <w:sz w:val="24"/>
          <w:lang w:val="sv-SE"/>
        </w:rPr>
        <w:t>Artikel 8 i förordningen om den fleråriga budgetramen.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4B569" w14:textId="77777777" w:rsidR="001545F9" w:rsidRPr="00764BB0" w:rsidRDefault="001545F9">
    <w:pPr>
      <w:pStyle w:val="Header"/>
    </w:pPr>
  </w:p>
  <w:p w14:paraId="700089DB" w14:textId="77777777" w:rsidR="001545F9" w:rsidRPr="00764BB0" w:rsidRDefault="001545F9"/>
  <w:p w14:paraId="5FB59B8E" w14:textId="77777777" w:rsidR="001545F9" w:rsidRPr="00764BB0" w:rsidRDefault="001545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03BDA" w14:textId="77777777" w:rsidR="001545F9" w:rsidRPr="00764BB0" w:rsidRDefault="001545F9">
    <w:pPr>
      <w:pStyle w:val="Header"/>
    </w:pPr>
  </w:p>
  <w:p w14:paraId="3A94FC47" w14:textId="77777777" w:rsidR="001545F9" w:rsidRPr="00764BB0" w:rsidRDefault="001545F9"/>
  <w:p w14:paraId="009F00B8" w14:textId="77777777" w:rsidR="001545F9" w:rsidRPr="00764BB0" w:rsidRDefault="001545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DAE7" w14:textId="77777777" w:rsidR="00064002" w:rsidRPr="00764BB0"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314D" w14:textId="77777777" w:rsidR="00064002" w:rsidRPr="00764BB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46A2B" w14:textId="77777777" w:rsidR="00064002" w:rsidRPr="00764B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940040">
    <w:abstractNumId w:val="9"/>
  </w:num>
  <w:num w:numId="2" w16cid:durableId="11345149">
    <w:abstractNumId w:val="9"/>
  </w:num>
  <w:num w:numId="3" w16cid:durableId="422267628">
    <w:abstractNumId w:val="7"/>
  </w:num>
  <w:num w:numId="4" w16cid:durableId="390465545">
    <w:abstractNumId w:val="7"/>
  </w:num>
  <w:num w:numId="5" w16cid:durableId="1955987665">
    <w:abstractNumId w:val="6"/>
  </w:num>
  <w:num w:numId="6" w16cid:durableId="458035983">
    <w:abstractNumId w:val="6"/>
  </w:num>
  <w:num w:numId="7" w16cid:durableId="1422098377">
    <w:abstractNumId w:val="5"/>
  </w:num>
  <w:num w:numId="8" w16cid:durableId="664479512">
    <w:abstractNumId w:val="5"/>
  </w:num>
  <w:num w:numId="9" w16cid:durableId="1971132649">
    <w:abstractNumId w:val="4"/>
  </w:num>
  <w:num w:numId="10" w16cid:durableId="1595625117">
    <w:abstractNumId w:val="4"/>
  </w:num>
  <w:num w:numId="11" w16cid:durableId="450125825">
    <w:abstractNumId w:val="8"/>
  </w:num>
  <w:num w:numId="12" w16cid:durableId="1616785337">
    <w:abstractNumId w:val="8"/>
  </w:num>
  <w:num w:numId="13" w16cid:durableId="1495030501">
    <w:abstractNumId w:val="3"/>
  </w:num>
  <w:num w:numId="14" w16cid:durableId="1240096558">
    <w:abstractNumId w:val="3"/>
  </w:num>
  <w:num w:numId="15" w16cid:durableId="1596743077">
    <w:abstractNumId w:val="2"/>
  </w:num>
  <w:num w:numId="16" w16cid:durableId="842163249">
    <w:abstractNumId w:val="2"/>
  </w:num>
  <w:num w:numId="17" w16cid:durableId="1910768010">
    <w:abstractNumId w:val="1"/>
  </w:num>
  <w:num w:numId="18" w16cid:durableId="1409418904">
    <w:abstractNumId w:val="1"/>
  </w:num>
  <w:num w:numId="19" w16cid:durableId="643773414">
    <w:abstractNumId w:val="0"/>
  </w:num>
  <w:num w:numId="20" w16cid:durableId="2067679449">
    <w:abstractNumId w:val="0"/>
  </w:num>
  <w:num w:numId="21" w16cid:durableId="1346129398">
    <w:abstractNumId w:val="9"/>
  </w:num>
  <w:num w:numId="22" w16cid:durableId="1556816829">
    <w:abstractNumId w:val="7"/>
  </w:num>
  <w:num w:numId="23" w16cid:durableId="46538421">
    <w:abstractNumId w:val="6"/>
  </w:num>
  <w:num w:numId="24" w16cid:durableId="1819498677">
    <w:abstractNumId w:val="5"/>
  </w:num>
  <w:num w:numId="25" w16cid:durableId="1603762743">
    <w:abstractNumId w:val="4"/>
  </w:num>
  <w:num w:numId="26" w16cid:durableId="846020191">
    <w:abstractNumId w:val="8"/>
  </w:num>
  <w:num w:numId="27" w16cid:durableId="1397706217">
    <w:abstractNumId w:val="3"/>
  </w:num>
  <w:num w:numId="28" w16cid:durableId="1160924981">
    <w:abstractNumId w:val="2"/>
  </w:num>
  <w:num w:numId="29" w16cid:durableId="958029452">
    <w:abstractNumId w:val="1"/>
  </w:num>
  <w:num w:numId="30" w16cid:durableId="1522817325">
    <w:abstractNumId w:val="0"/>
  </w:num>
  <w:num w:numId="31" w16cid:durableId="1329017214">
    <w:abstractNumId w:val="9"/>
  </w:num>
  <w:num w:numId="32" w16cid:durableId="718625538">
    <w:abstractNumId w:val="7"/>
  </w:num>
  <w:num w:numId="33" w16cid:durableId="1012683873">
    <w:abstractNumId w:val="6"/>
  </w:num>
  <w:num w:numId="34" w16cid:durableId="1364674035">
    <w:abstractNumId w:val="5"/>
  </w:num>
  <w:num w:numId="35" w16cid:durableId="2123574642">
    <w:abstractNumId w:val="4"/>
  </w:num>
  <w:num w:numId="36" w16cid:durableId="1111707369">
    <w:abstractNumId w:val="8"/>
  </w:num>
  <w:num w:numId="37" w16cid:durableId="463274149">
    <w:abstractNumId w:val="3"/>
  </w:num>
  <w:num w:numId="38" w16cid:durableId="1943758717">
    <w:abstractNumId w:val="2"/>
  </w:num>
  <w:num w:numId="39" w16cid:durableId="1172573217">
    <w:abstractNumId w:val="1"/>
  </w:num>
  <w:num w:numId="40" w16cid:durableId="37515172">
    <w:abstractNumId w:val="0"/>
  </w:num>
  <w:num w:numId="41" w16cid:durableId="1427842102">
    <w:abstractNumId w:val="10"/>
  </w:num>
  <w:num w:numId="42" w16cid:durableId="281542927">
    <w:abstractNumId w:val="10"/>
  </w:num>
  <w:num w:numId="43" w16cid:durableId="2073768925">
    <w:abstractNumId w:val="10"/>
  </w:num>
  <w:num w:numId="44" w16cid:durableId="197015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SV"/>
    <w:docVar w:name="dvnumam" w:val="0"/>
    <w:docVar w:name="dvpe" w:val="782.226"/>
    <w:docVar w:name="dvrapporteur" w:val="Föredragande: "/>
    <w:docVar w:name="dvtitre" w:val="Europaparlamentets resolution av den xx xx 2026 om förslaget till Europaparlamentets och rådets beslut om utnyttjande av Europeiska fonden för justering för globaliseringseffekter för uppsagda arbetstagare efter en ansökan från Belgien – EGF/2025/006 BE/Audi(COM(2026)0002 – C10-0002/2026 – 2026/0001(BUD))"/>
  </w:docVars>
  <w:rsids>
    <w:rsidRoot w:val="00621F16"/>
    <w:rsid w:val="00002272"/>
    <w:rsid w:val="00064002"/>
    <w:rsid w:val="000677B9"/>
    <w:rsid w:val="000831BA"/>
    <w:rsid w:val="000A42CC"/>
    <w:rsid w:val="000E7DD9"/>
    <w:rsid w:val="0010095E"/>
    <w:rsid w:val="00124BF2"/>
    <w:rsid w:val="00125B37"/>
    <w:rsid w:val="001545F9"/>
    <w:rsid w:val="00187494"/>
    <w:rsid w:val="001F32AE"/>
    <w:rsid w:val="002200FF"/>
    <w:rsid w:val="002767FF"/>
    <w:rsid w:val="002B18FE"/>
    <w:rsid w:val="002B5493"/>
    <w:rsid w:val="002C2EF7"/>
    <w:rsid w:val="00343214"/>
    <w:rsid w:val="00361C00"/>
    <w:rsid w:val="003643DB"/>
    <w:rsid w:val="00395FA1"/>
    <w:rsid w:val="003A11A8"/>
    <w:rsid w:val="003E15D4"/>
    <w:rsid w:val="00410449"/>
    <w:rsid w:val="00411CCE"/>
    <w:rsid w:val="0041666E"/>
    <w:rsid w:val="00421060"/>
    <w:rsid w:val="00425BA9"/>
    <w:rsid w:val="00471C19"/>
    <w:rsid w:val="004867E3"/>
    <w:rsid w:val="00494A28"/>
    <w:rsid w:val="004C0004"/>
    <w:rsid w:val="004C15D3"/>
    <w:rsid w:val="004C5D52"/>
    <w:rsid w:val="004F635A"/>
    <w:rsid w:val="00504B1F"/>
    <w:rsid w:val="0050519A"/>
    <w:rsid w:val="005072A1"/>
    <w:rsid w:val="00514517"/>
    <w:rsid w:val="00545827"/>
    <w:rsid w:val="00560270"/>
    <w:rsid w:val="005C2568"/>
    <w:rsid w:val="005F1B17"/>
    <w:rsid w:val="006037C0"/>
    <w:rsid w:val="00621F16"/>
    <w:rsid w:val="0064452D"/>
    <w:rsid w:val="006631B6"/>
    <w:rsid w:val="00680577"/>
    <w:rsid w:val="006F74FA"/>
    <w:rsid w:val="00731ADD"/>
    <w:rsid w:val="00734777"/>
    <w:rsid w:val="00747932"/>
    <w:rsid w:val="00751A4A"/>
    <w:rsid w:val="00756632"/>
    <w:rsid w:val="00762C74"/>
    <w:rsid w:val="00764BB0"/>
    <w:rsid w:val="00786EC0"/>
    <w:rsid w:val="007D1690"/>
    <w:rsid w:val="007E22AD"/>
    <w:rsid w:val="00817416"/>
    <w:rsid w:val="00842779"/>
    <w:rsid w:val="00865F67"/>
    <w:rsid w:val="00881A7B"/>
    <w:rsid w:val="008840E5"/>
    <w:rsid w:val="00887B3E"/>
    <w:rsid w:val="008B55F1"/>
    <w:rsid w:val="008C2AC6"/>
    <w:rsid w:val="00930C23"/>
    <w:rsid w:val="0093193B"/>
    <w:rsid w:val="009509D8"/>
    <w:rsid w:val="00950B64"/>
    <w:rsid w:val="009521B3"/>
    <w:rsid w:val="00981893"/>
    <w:rsid w:val="009835E8"/>
    <w:rsid w:val="009A19A9"/>
    <w:rsid w:val="00A1687D"/>
    <w:rsid w:val="00A43E52"/>
    <w:rsid w:val="00A4678D"/>
    <w:rsid w:val="00A778C7"/>
    <w:rsid w:val="00A92C2F"/>
    <w:rsid w:val="00AB441E"/>
    <w:rsid w:val="00AB6293"/>
    <w:rsid w:val="00AE0928"/>
    <w:rsid w:val="00AF3B82"/>
    <w:rsid w:val="00B12E95"/>
    <w:rsid w:val="00B22876"/>
    <w:rsid w:val="00B558F0"/>
    <w:rsid w:val="00B7300B"/>
    <w:rsid w:val="00BD48FE"/>
    <w:rsid w:val="00BD7BD8"/>
    <w:rsid w:val="00BE6ADC"/>
    <w:rsid w:val="00C05BFE"/>
    <w:rsid w:val="00C23CD4"/>
    <w:rsid w:val="00C61C0C"/>
    <w:rsid w:val="00C941CB"/>
    <w:rsid w:val="00C94416"/>
    <w:rsid w:val="00CA57F8"/>
    <w:rsid w:val="00CC2357"/>
    <w:rsid w:val="00CF071A"/>
    <w:rsid w:val="00D058B8"/>
    <w:rsid w:val="00D56C11"/>
    <w:rsid w:val="00D834A0"/>
    <w:rsid w:val="00D872DF"/>
    <w:rsid w:val="00D91E21"/>
    <w:rsid w:val="00DA7FCD"/>
    <w:rsid w:val="00DC2602"/>
    <w:rsid w:val="00E365E1"/>
    <w:rsid w:val="00E820A4"/>
    <w:rsid w:val="00EB006A"/>
    <w:rsid w:val="00EB4772"/>
    <w:rsid w:val="00ED169E"/>
    <w:rsid w:val="00ED4235"/>
    <w:rsid w:val="00F04346"/>
    <w:rsid w:val="00F075DC"/>
    <w:rsid w:val="00F149E9"/>
    <w:rsid w:val="00F5134D"/>
    <w:rsid w:val="00F5428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785C7"/>
  <w15:chartTrackingRefBased/>
  <w15:docId w15:val="{5077C28B-9BA0-44F5-86F8-28D49245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45F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545F9"/>
    <w:pPr>
      <w:keepNext/>
      <w:spacing w:after="480"/>
      <w:jc w:val="center"/>
    </w:pPr>
    <w:rPr>
      <w:rFonts w:ascii="Arial" w:hAnsi="Arial" w:cs="Arial"/>
      <w:b/>
    </w:rPr>
  </w:style>
  <w:style w:type="paragraph" w:customStyle="1" w:styleId="NormalHanging12a">
    <w:name w:val="NormalHanging12a"/>
    <w:basedOn w:val="Normal"/>
    <w:link w:val="NormalHanging12aChar"/>
    <w:rsid w:val="001545F9"/>
    <w:pPr>
      <w:spacing w:after="240"/>
      <w:ind w:left="567" w:hanging="567"/>
    </w:pPr>
  </w:style>
  <w:style w:type="paragraph" w:styleId="Header">
    <w:name w:val="header"/>
    <w:basedOn w:val="Normal"/>
    <w:link w:val="HeaderChar"/>
    <w:rsid w:val="001545F9"/>
    <w:pPr>
      <w:tabs>
        <w:tab w:val="center" w:pos="4513"/>
        <w:tab w:val="right" w:pos="9026"/>
      </w:tabs>
    </w:pPr>
  </w:style>
  <w:style w:type="character" w:customStyle="1" w:styleId="HeaderChar">
    <w:name w:val="Header Char"/>
    <w:basedOn w:val="DefaultParagraphFont"/>
    <w:link w:val="Header"/>
    <w:rsid w:val="001545F9"/>
    <w:rPr>
      <w:sz w:val="24"/>
      <w:lang w:val="sv-SE"/>
    </w:rPr>
  </w:style>
  <w:style w:type="paragraph" w:customStyle="1" w:styleId="EPFooter">
    <w:name w:val="EPFooter"/>
    <w:basedOn w:val="Normal"/>
    <w:rsid w:val="001545F9"/>
    <w:pPr>
      <w:tabs>
        <w:tab w:val="center" w:pos="4535"/>
        <w:tab w:val="right" w:pos="9071"/>
      </w:tabs>
      <w:spacing w:before="240" w:after="240"/>
    </w:pPr>
    <w:rPr>
      <w:color w:val="010000"/>
      <w:sz w:val="22"/>
    </w:rPr>
  </w:style>
  <w:style w:type="paragraph" w:customStyle="1" w:styleId="EPComma">
    <w:name w:val="EPComma"/>
    <w:basedOn w:val="Normal"/>
    <w:rsid w:val="001545F9"/>
    <w:pPr>
      <w:spacing w:before="480" w:after="240"/>
    </w:pPr>
  </w:style>
  <w:style w:type="character" w:styleId="Hyperlink">
    <w:name w:val="Hyperlink"/>
    <w:basedOn w:val="DefaultParagraphFont"/>
    <w:uiPriority w:val="99"/>
    <w:rsid w:val="001545F9"/>
    <w:rPr>
      <w:color w:val="0563C1" w:themeColor="hyperlink"/>
      <w:u w:val="single"/>
    </w:rPr>
  </w:style>
  <w:style w:type="character" w:customStyle="1" w:styleId="NormalHanging12aChar">
    <w:name w:val="NormalHanging12a Char"/>
    <w:basedOn w:val="DefaultParagraphFont"/>
    <w:link w:val="NormalHanging12a"/>
    <w:locked/>
    <w:rsid w:val="001545F9"/>
    <w:rPr>
      <w:sz w:val="24"/>
      <w:lang w:val="sv-SE"/>
    </w:rPr>
  </w:style>
  <w:style w:type="character" w:customStyle="1" w:styleId="PageHeadingChar">
    <w:name w:val="PageHeading Char"/>
    <w:basedOn w:val="DefaultParagraphFont"/>
    <w:link w:val="PageHeading"/>
    <w:locked/>
    <w:rsid w:val="001545F9"/>
    <w:rPr>
      <w:rFonts w:ascii="Arial" w:hAnsi="Arial" w:cs="Arial"/>
      <w:b/>
      <w:sz w:val="24"/>
      <w:lang w:val="sv-SE"/>
    </w:rPr>
  </w:style>
  <w:style w:type="paragraph" w:customStyle="1" w:styleId="Fait">
    <w:name w:val="Fait à"/>
    <w:basedOn w:val="Normal"/>
    <w:next w:val="Institutionquisigne"/>
    <w:rsid w:val="001545F9"/>
    <w:pPr>
      <w:keepNext/>
      <w:widowControl/>
      <w:spacing w:before="120" w:line="360" w:lineRule="auto"/>
    </w:pPr>
    <w:rPr>
      <w:rFonts w:eastAsiaTheme="minorHAnsi"/>
      <w:szCs w:val="22"/>
      <w:lang w:eastAsia="sv-SE" w:bidi="sv-SE"/>
    </w:rPr>
  </w:style>
  <w:style w:type="paragraph" w:customStyle="1" w:styleId="Formuledadoption">
    <w:name w:val="Formule d'adoption"/>
    <w:basedOn w:val="Normal"/>
    <w:next w:val="Titrearticle"/>
    <w:rsid w:val="001545F9"/>
    <w:pPr>
      <w:keepNext/>
      <w:widowControl/>
      <w:spacing w:before="120" w:after="120" w:line="360" w:lineRule="auto"/>
    </w:pPr>
    <w:rPr>
      <w:rFonts w:eastAsiaTheme="minorHAnsi"/>
      <w:szCs w:val="22"/>
      <w:lang w:eastAsia="sv-SE" w:bidi="sv-SE"/>
    </w:rPr>
  </w:style>
  <w:style w:type="paragraph" w:customStyle="1" w:styleId="Institutionquiagit">
    <w:name w:val="Institution qui agit"/>
    <w:basedOn w:val="Normal"/>
    <w:next w:val="Normal"/>
    <w:rsid w:val="001545F9"/>
    <w:pPr>
      <w:keepNext/>
      <w:widowControl/>
      <w:spacing w:before="600" w:after="120" w:line="360" w:lineRule="auto"/>
    </w:pPr>
    <w:rPr>
      <w:rFonts w:eastAsiaTheme="minorHAnsi"/>
      <w:szCs w:val="22"/>
      <w:lang w:eastAsia="sv-SE" w:bidi="sv-SE"/>
    </w:rPr>
  </w:style>
  <w:style w:type="paragraph" w:customStyle="1" w:styleId="Institutionquisigne">
    <w:name w:val="Institution qui signe"/>
    <w:basedOn w:val="Normal"/>
    <w:next w:val="Personnequisigne"/>
    <w:rsid w:val="001545F9"/>
    <w:pPr>
      <w:keepNext/>
      <w:widowControl/>
      <w:tabs>
        <w:tab w:val="left" w:pos="5669"/>
      </w:tabs>
      <w:spacing w:before="720" w:line="360" w:lineRule="auto"/>
    </w:pPr>
    <w:rPr>
      <w:rFonts w:eastAsiaTheme="minorHAnsi"/>
      <w:i/>
      <w:szCs w:val="22"/>
      <w:lang w:eastAsia="sv-SE" w:bidi="sv-SE"/>
    </w:rPr>
  </w:style>
  <w:style w:type="paragraph" w:customStyle="1" w:styleId="ManualConsidrant">
    <w:name w:val="Manual Considérant"/>
    <w:basedOn w:val="Normal"/>
    <w:rsid w:val="001545F9"/>
    <w:pPr>
      <w:widowControl/>
      <w:spacing w:before="120" w:after="120" w:line="360" w:lineRule="auto"/>
      <w:ind w:left="850" w:hanging="850"/>
    </w:pPr>
    <w:rPr>
      <w:rFonts w:eastAsiaTheme="minorHAnsi"/>
      <w:szCs w:val="22"/>
      <w:lang w:eastAsia="sv-SE" w:bidi="sv-SE"/>
    </w:rPr>
  </w:style>
  <w:style w:type="paragraph" w:customStyle="1" w:styleId="Personnequisigne">
    <w:name w:val="Personne qui signe"/>
    <w:basedOn w:val="Normal"/>
    <w:next w:val="Institutionquisigne"/>
    <w:rsid w:val="001545F9"/>
    <w:pPr>
      <w:widowControl/>
      <w:tabs>
        <w:tab w:val="left" w:pos="5669"/>
      </w:tabs>
      <w:spacing w:line="360" w:lineRule="auto"/>
    </w:pPr>
    <w:rPr>
      <w:rFonts w:eastAsiaTheme="minorHAnsi"/>
      <w:i/>
      <w:szCs w:val="22"/>
      <w:lang w:eastAsia="sv-SE" w:bidi="sv-SE"/>
    </w:rPr>
  </w:style>
  <w:style w:type="paragraph" w:customStyle="1" w:styleId="Titrearticle">
    <w:name w:val="Titre article"/>
    <w:basedOn w:val="Normal"/>
    <w:next w:val="Normal"/>
    <w:rsid w:val="001545F9"/>
    <w:pPr>
      <w:keepNext/>
      <w:widowControl/>
      <w:spacing w:before="360" w:after="120" w:line="360" w:lineRule="auto"/>
      <w:jc w:val="center"/>
    </w:pPr>
    <w:rPr>
      <w:rFonts w:eastAsiaTheme="minorHAnsi"/>
      <w:i/>
      <w:szCs w:val="22"/>
      <w:lang w:eastAsia="sv-SE" w:bidi="sv-SE"/>
    </w:rPr>
  </w:style>
  <w:style w:type="paragraph" w:styleId="Revision">
    <w:name w:val="Revision"/>
    <w:hidden/>
    <w:uiPriority w:val="99"/>
    <w:semiHidden/>
    <w:rsid w:val="003643DB"/>
    <w:rPr>
      <w:sz w:val="24"/>
      <w:lang w:val="sv-SE"/>
    </w:rPr>
  </w:style>
  <w:style w:type="character" w:styleId="FollowedHyperlink">
    <w:name w:val="FollowedHyperlink"/>
    <w:basedOn w:val="DefaultParagraphFont"/>
    <w:rsid w:val="00F54288"/>
    <w:rPr>
      <w:color w:val="954F72" w:themeColor="followedHyperlink"/>
      <w:u w:val="single"/>
    </w:rPr>
  </w:style>
  <w:style w:type="paragraph" w:styleId="Footer">
    <w:name w:val="footer"/>
    <w:basedOn w:val="Normal"/>
    <w:link w:val="FooterChar"/>
    <w:rsid w:val="00425BA9"/>
    <w:pPr>
      <w:tabs>
        <w:tab w:val="center" w:pos="4513"/>
        <w:tab w:val="right" w:pos="9026"/>
      </w:tabs>
    </w:pPr>
  </w:style>
  <w:style w:type="character" w:customStyle="1" w:styleId="FooterChar">
    <w:name w:val="Footer Char"/>
    <w:basedOn w:val="DefaultParagraphFont"/>
    <w:link w:val="Footer"/>
    <w:rsid w:val="00425BA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1636</Words>
  <Characters>10767</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2026-03-25T10:45:00Z</dcterms:created>
  <dcterms:modified xsi:type="dcterms:W3CDTF">2026-03-25T10:45:00Z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P10_TA(2026)0038_</vt:lpwstr>
  </property>
  <property fmtid="{D5CDD505-2E9C-101B-9397-08002B2CF9AE}" pid="4" name="&lt;Type&gt;">
    <vt:lpwstr>RR</vt:lpwstr>
  </property>
</Properties>
</file>