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550C" w14:paraId="391306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5778E1" w14:textId="77777777" w:rsidR="00751A4A" w:rsidRPr="00F4550C" w:rsidRDefault="000452A6" w:rsidP="0010095E">
            <w:pPr>
              <w:pStyle w:val="EPName"/>
            </w:pPr>
            <w:r w:rsidRPr="00F4550C">
              <w:t>Evropský parlament</w:t>
            </w:r>
          </w:p>
          <w:p w14:paraId="15C53977" w14:textId="77777777" w:rsidR="00751A4A" w:rsidRPr="00F455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550C">
              <w:t>2024</w:t>
            </w:r>
            <w:r w:rsidR="00817416" w:rsidRPr="00F4550C">
              <w:t>-202</w:t>
            </w:r>
            <w:r w:rsidRPr="00F4550C">
              <w:t>9</w:t>
            </w:r>
          </w:p>
        </w:tc>
        <w:tc>
          <w:tcPr>
            <w:tcW w:w="2268" w:type="dxa"/>
            <w:shd w:val="clear" w:color="auto" w:fill="auto"/>
          </w:tcPr>
          <w:p w14:paraId="4A3A4918" w14:textId="77777777" w:rsidR="00751A4A" w:rsidRPr="00F4550C" w:rsidRDefault="00187494" w:rsidP="0010095E">
            <w:pPr>
              <w:pStyle w:val="EPLogo"/>
            </w:pPr>
            <w:r w:rsidRPr="00F4550C">
              <w:rPr>
                <w:noProof/>
                <w:lang w:eastAsia="ja-JP"/>
              </w:rPr>
              <w:drawing>
                <wp:inline distT="0" distB="0" distL="0" distR="0" wp14:anchorId="6362A44F" wp14:editId="5A4654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F7805F" w14:textId="77777777" w:rsidR="00D058B8" w:rsidRPr="00F4550C" w:rsidRDefault="00D058B8" w:rsidP="004C5D52">
      <w:pPr>
        <w:pStyle w:val="LineTop"/>
      </w:pPr>
    </w:p>
    <w:p w14:paraId="170476F5" w14:textId="77777777" w:rsidR="00680577" w:rsidRPr="00F4550C" w:rsidRDefault="000452A6" w:rsidP="00680577">
      <w:pPr>
        <w:pStyle w:val="EPBodyTA1"/>
      </w:pPr>
      <w:r w:rsidRPr="00F4550C">
        <w:t>PŘIJATÉ TEXTY</w:t>
      </w:r>
    </w:p>
    <w:p w14:paraId="2154628F" w14:textId="77777777" w:rsidR="00D058B8" w:rsidRPr="00F4550C" w:rsidRDefault="00D058B8" w:rsidP="00D058B8">
      <w:pPr>
        <w:pStyle w:val="LineBottom"/>
      </w:pPr>
    </w:p>
    <w:p w14:paraId="3D55BB5A" w14:textId="721D1719" w:rsidR="000452A6" w:rsidRPr="00F4550C" w:rsidRDefault="000452A6" w:rsidP="000452A6">
      <w:pPr>
        <w:pStyle w:val="ATHeading1"/>
      </w:pPr>
      <w:bookmarkStart w:id="0" w:name="TANumber"/>
      <w:r w:rsidRPr="00F4550C">
        <w:t>P10_TA(2026)00</w:t>
      </w:r>
      <w:bookmarkEnd w:id="0"/>
      <w:r w:rsidR="00826BE2">
        <w:t>40</w:t>
      </w:r>
    </w:p>
    <w:p w14:paraId="1D013667" w14:textId="77777777" w:rsidR="000452A6" w:rsidRPr="00F4550C" w:rsidRDefault="000452A6" w:rsidP="000452A6">
      <w:pPr>
        <w:pStyle w:val="ATHeading2"/>
      </w:pPr>
      <w:bookmarkStart w:id="1" w:name="title"/>
      <w:r w:rsidRPr="00F4550C">
        <w:t>Strategické partnerství EU v oblasti obrany a bezpečnosti</w:t>
      </w:r>
      <w:bookmarkEnd w:id="1"/>
    </w:p>
    <w:p w14:paraId="5290C490" w14:textId="77777777" w:rsidR="000452A6" w:rsidRPr="00F4550C" w:rsidRDefault="000452A6" w:rsidP="000452A6">
      <w:pPr>
        <w:rPr>
          <w:i/>
          <w:vanish/>
        </w:rPr>
      </w:pPr>
      <w:r w:rsidRPr="00F4550C">
        <w:rPr>
          <w:i/>
        </w:rPr>
        <w:fldChar w:fldCharType="begin"/>
      </w:r>
      <w:r w:rsidRPr="00F4550C">
        <w:rPr>
          <w:i/>
        </w:rPr>
        <w:instrText xml:space="preserve"> TC"(</w:instrText>
      </w:r>
      <w:bookmarkStart w:id="2" w:name="DocNumber"/>
      <w:r w:rsidRPr="00F4550C">
        <w:rPr>
          <w:i/>
        </w:rPr>
        <w:instrText>A10-0005/2026</w:instrText>
      </w:r>
      <w:bookmarkEnd w:id="2"/>
      <w:r w:rsidRPr="00F4550C">
        <w:rPr>
          <w:i/>
        </w:rPr>
        <w:instrText xml:space="preserve"> - Zpravodaj: Michał Szczerba)"\l3 \n&gt; \* MERGEFORMAT </w:instrText>
      </w:r>
      <w:r w:rsidRPr="00F4550C">
        <w:rPr>
          <w:i/>
        </w:rPr>
        <w:fldChar w:fldCharType="end"/>
      </w:r>
    </w:p>
    <w:p w14:paraId="16D1BC87" w14:textId="77777777" w:rsidR="000452A6" w:rsidRPr="00F4550C" w:rsidRDefault="000452A6" w:rsidP="000452A6">
      <w:pPr>
        <w:rPr>
          <w:vanish/>
        </w:rPr>
      </w:pPr>
      <w:bookmarkStart w:id="3" w:name="Commission"/>
      <w:r w:rsidRPr="00F4550C">
        <w:rPr>
          <w:vanish/>
        </w:rPr>
        <w:t>Výbor pro bezpečnost a obranu</w:t>
      </w:r>
      <w:bookmarkEnd w:id="3"/>
    </w:p>
    <w:p w14:paraId="073A5652" w14:textId="77777777" w:rsidR="000452A6" w:rsidRPr="00F4550C" w:rsidRDefault="000452A6" w:rsidP="000452A6">
      <w:pPr>
        <w:rPr>
          <w:vanish/>
        </w:rPr>
      </w:pPr>
      <w:bookmarkStart w:id="4" w:name="PE"/>
      <w:r w:rsidRPr="00F4550C">
        <w:rPr>
          <w:vanish/>
        </w:rPr>
        <w:t>PE778.180</w:t>
      </w:r>
      <w:bookmarkEnd w:id="4"/>
    </w:p>
    <w:p w14:paraId="640E4202" w14:textId="463390B5" w:rsidR="000452A6" w:rsidRPr="00F4550C" w:rsidRDefault="000452A6" w:rsidP="000452A6">
      <w:pPr>
        <w:pStyle w:val="ATHeading3"/>
      </w:pPr>
      <w:bookmarkStart w:id="5" w:name="Sujet"/>
      <w:r w:rsidRPr="00F4550C">
        <w:t>Usnesení Evropského parlamentu ze dne</w:t>
      </w:r>
      <w:r w:rsidR="002B69DC">
        <w:t xml:space="preserve"> </w:t>
      </w:r>
      <w:r w:rsidR="00777AE5">
        <w:t>11</w:t>
      </w:r>
      <w:r w:rsidR="002B69DC">
        <w:t>. února</w:t>
      </w:r>
      <w:r w:rsidRPr="00F4550C">
        <w:t xml:space="preserve"> 2026 o strategických partnerstvích EU v oblasti obrany a bezpečnosti</w:t>
      </w:r>
      <w:bookmarkEnd w:id="5"/>
      <w:r w:rsidRPr="00F4550C">
        <w:t xml:space="preserve"> </w:t>
      </w:r>
      <w:bookmarkStart w:id="6" w:name="References"/>
      <w:r w:rsidRPr="00F4550C">
        <w:t>(2025/2119(INI))</w:t>
      </w:r>
      <w:bookmarkEnd w:id="6"/>
    </w:p>
    <w:p w14:paraId="4C0BFA30" w14:textId="77777777" w:rsidR="00BB656E" w:rsidRPr="00F4550C" w:rsidRDefault="00BB656E" w:rsidP="00BB656E">
      <w:pPr>
        <w:pStyle w:val="Normal12"/>
      </w:pPr>
      <w:r w:rsidRPr="00F4550C">
        <w:rPr>
          <w:i/>
        </w:rPr>
        <w:t>Evropský parlament</w:t>
      </w:r>
      <w:r w:rsidRPr="00F4550C">
        <w:t>,</w:t>
      </w:r>
    </w:p>
    <w:p w14:paraId="0289E992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Smlouvu o fungování Evropské unie a na hlavu V Smlouvy o Evropské unii (Smlouva o EU), zejména na ustanovení o společné bezpečnostní a obranné politice (SBOP),</w:t>
      </w:r>
    </w:p>
    <w:p w14:paraId="7FD22940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dokument nazvaný „Strategický kompas pro bezpečnost a obranu – Za Evropskou unii, která chrání své občany, hodnoty a zájmy a přispívá k mezinárodnímu míru a bezpečnosti“, který přijala Rada dne 21. března 2022,</w:t>
      </w:r>
    </w:p>
    <w:p w14:paraId="3C858AB1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Versailleské prohlášení přijaté na neformálním zasedání hlav států nebo předsedů vlád ve dnech 10. a 11. března 2022,</w:t>
      </w:r>
    </w:p>
    <w:p w14:paraId="6A267E3E" w14:textId="5F2D2AFB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rozhodnutí Rady (SZBP) 2017/2315 ze dne 11. prosince 2017, kterým se zřizuje stálá strukturovaná spolupráce a stanovuje seznam zúčastněných členských států</w:t>
      </w:r>
      <w:r w:rsidR="00777AE5">
        <w:rPr>
          <w:rStyle w:val="FootnoteReference"/>
        </w:rPr>
        <w:footnoteReference w:id="1"/>
      </w:r>
      <w:r w:rsidRPr="00F4550C">
        <w:t>,</w:t>
      </w:r>
    </w:p>
    <w:p w14:paraId="61C5F779" w14:textId="75030FB5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rozhodnutí Rady (SZBP) 2024/890 ze dne 18. března 2024, kterým se mění rozhodnutí (SZBP) 2021/509 o zřízení Evropského mírového nástroje</w:t>
      </w:r>
      <w:r w:rsidR="00777AE5">
        <w:rPr>
          <w:rStyle w:val="FootnoteReference"/>
        </w:rPr>
        <w:footnoteReference w:id="2"/>
      </w:r>
      <w:r w:rsidRPr="00F4550C">
        <w:t>,</w:t>
      </w:r>
    </w:p>
    <w:p w14:paraId="02B3CCD4" w14:textId="77777777" w:rsidR="00BB656E" w:rsidRPr="00F4550C" w:rsidRDefault="00BB656E" w:rsidP="00BB656E">
      <w:pPr>
        <w:pStyle w:val="NormalHanging12a"/>
      </w:pPr>
      <w:r w:rsidRPr="00F4550C">
        <w:t>–</w:t>
      </w:r>
      <w:r w:rsidRPr="00F4550C">
        <w:tab/>
        <w:t>s ohledem na závěry ze zasedání Evropské rady, zejména ze zasedání konaných ve dnech 23. října 2025, 26. června 2025, 20. března 2025 a 6. března 2025,</w:t>
      </w:r>
    </w:p>
    <w:p w14:paraId="46C59BC2" w14:textId="77777777" w:rsidR="00BB656E" w:rsidRPr="00F4550C" w:rsidRDefault="00BB656E" w:rsidP="00BB656E">
      <w:pPr>
        <w:pStyle w:val="NormalHanging"/>
      </w:pPr>
      <w:r w:rsidRPr="00F4550C">
        <w:rPr>
          <w:i/>
        </w:rPr>
        <w:t>–</w:t>
      </w:r>
      <w:r w:rsidRPr="00F4550C">
        <w:rPr>
          <w:i/>
        </w:rPr>
        <w:tab/>
      </w:r>
      <w:r w:rsidRPr="00F4550C">
        <w:t>s ohledem na partnerství v oblasti bezpečnosti a obrany podepsaná dne 21. května 2024 mezi EU a Moldavskem, dne 28. května 2024 mezi EU a Norskem, dne 1. listopadu 2024 mezi EU a Japonskem, dne 4. listopadu 2024 mezi EU a Jižní Koreou, dne 19. listopadu 2024 mezi EU a Severní Makedonií, dne 18. prosince 2024 mezi EU a Albánií, dne 19. května 2025 mezi EU a Spojeným královstvím a dne 23. června 2025 mezi EU a Kanadou,</w:t>
      </w:r>
    </w:p>
    <w:p w14:paraId="25F54AE8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rPr>
          <w:b/>
          <w:i/>
        </w:rPr>
        <w:lastRenderedPageBreak/>
        <w:t>–</w:t>
      </w:r>
      <w:r w:rsidRPr="00F4550C">
        <w:rPr>
          <w:b/>
          <w:i/>
        </w:rPr>
        <w:tab/>
      </w:r>
      <w:r w:rsidRPr="00F4550C">
        <w:t>s ohledem na společné bezpečnostní závazky EU a Ukrajiny podepsané dne 27. června 2024,</w:t>
      </w:r>
    </w:p>
    <w:p w14:paraId="4E476033" w14:textId="339D7C4D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nařízení Evropského parlamentu a Rady (EU) 2021/697 ze dne 29. dubna 2021, kterým se zřizuje Evropský obranný fond a zrušuje nařízení (EU) 2018/1092</w:t>
      </w:r>
      <w:r w:rsidR="00777AE5">
        <w:rPr>
          <w:rStyle w:val="FootnoteReference"/>
        </w:rPr>
        <w:footnoteReference w:id="3"/>
      </w:r>
      <w:r w:rsidRPr="00F4550C">
        <w:t>,</w:t>
      </w:r>
    </w:p>
    <w:p w14:paraId="23426E07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bílou knihu o evropské obraně – Připravenost 2030, kterou předložila předsedkyně Evropské komise dne 19. března 2025, a na její plán financování „ReArm Europe“, který se skládá z pěti složek,</w:t>
      </w:r>
    </w:p>
    <w:p w14:paraId="4683D2CB" w14:textId="4A639AA4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 xml:space="preserve">s ohledem na návrh nařízení Evropského parlamentu a Rady, </w:t>
      </w:r>
      <w:r w:rsidR="00C41A8E" w:rsidRPr="00C41A8E">
        <w:t>kterým se mění nařízení (EU) 2021/694, (EU) 2021/695, (EU) 2021/697, (EU) 2021/1153, (EU) 2023/1525 a (EU) 2024/795, pokud jde o pobídky k investicím souvisejícím s obranou v rozpočtu EU za účelem provádění plánu ReArm Europe</w:t>
      </w:r>
      <w:r w:rsidRPr="00F4550C">
        <w:t xml:space="preserve"> (</w:t>
      </w:r>
      <w:hyperlink r:id="rId9" w:tgtFrame="https://eur-lex.europa.eu/legal-content/EN/ALL/?uri=CELEX:52025PC0188" w:history="1">
        <w:r w:rsidRPr="002B69DC">
          <w:t>COM(2025)0188</w:t>
        </w:r>
      </w:hyperlink>
      <w:r w:rsidRPr="00F4550C">
        <w:t>), jejž předložila Komise dne 22. dubna 2025,</w:t>
      </w:r>
    </w:p>
    <w:p w14:paraId="4A3A7DD4" w14:textId="77777777" w:rsidR="00BB656E" w:rsidRPr="00F4550C" w:rsidRDefault="00BB656E" w:rsidP="00BB656E">
      <w:pPr>
        <w:pStyle w:val="NormalHanging12a"/>
      </w:pPr>
      <w:r w:rsidRPr="00F4550C">
        <w:t>–</w:t>
      </w:r>
      <w:r w:rsidRPr="00F4550C">
        <w:tab/>
        <w:t>s ohledem na nařízení Rady (EU) 2025/1106 ze dne 27. května 2025, kterým se zřizuje nástroj Bezpečnostní akce pro Evropu (SAFE) prostřednictvím posílení evropského obranného průmyslu</w:t>
      </w:r>
      <w:r w:rsidRPr="00F4550C">
        <w:rPr>
          <w:rStyle w:val="FootnoteReference"/>
        </w:rPr>
        <w:footnoteReference w:id="4"/>
      </w:r>
      <w:r w:rsidRPr="00F4550C">
        <w:t>,</w:t>
      </w:r>
    </w:p>
    <w:p w14:paraId="40F9FDD1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sdělení Komise ze dne 17. června 2025 o souhrnném balíčku v oblasti obranné připravenosti (COM(2025)0820), který má zjednodušit příslušné právní a správní rámce s cílem posílit obrannou připravenost Unie,</w:t>
      </w:r>
    </w:p>
    <w:p w14:paraId="518AFF8F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rPr>
          <w:b/>
          <w:i/>
        </w:rPr>
        <w:t>–</w:t>
      </w:r>
      <w:r w:rsidRPr="00F4550C">
        <w:rPr>
          <w:b/>
          <w:i/>
        </w:rPr>
        <w:tab/>
      </w:r>
      <w:r w:rsidRPr="00F4550C">
        <w:t>s ohledem na společné sdělení Komise a vysoké představitelky Unie pro zahraniční věci a bezpečnostní politiku ze dne 16. října 2025 s názvem „Zachování míru – Plán obranné připravenosti 2030“ (JOIN(2025)0027),</w:t>
      </w:r>
    </w:p>
    <w:p w14:paraId="5C7AF979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zprávu Maria Draghiho ze dne 9. září 2024 o budoucnosti evropské konkurenceschopnosti,</w:t>
      </w:r>
    </w:p>
    <w:p w14:paraId="74C17FB4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zprávu Sauliho Niinistöa ze dne 30. října 2024 nazvanou „Společně bezpečnější: posílení evropské civilní a vojenské připravenosti a pohotovosti“,</w:t>
      </w:r>
    </w:p>
    <w:p w14:paraId="3E4D1A0C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tři společná prohlášení o spolupráci mezi EU a NATO, která podepsali předsedové Evropské rady a Komise a generální tajemník NATO dne 10. ledna 2023, 5. prosince 2018 a 6. prosince 2016,</w:t>
      </w:r>
    </w:p>
    <w:p w14:paraId="2EED095D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strategickou koncepci, která byla přijata na summitu NATO v Madridu konaném dne 29. června 2022,</w:t>
      </w:r>
    </w:p>
    <w:p w14:paraId="568D07CE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prohlášení z haagského summitu ze dne 25. června 2025,</w:t>
      </w:r>
    </w:p>
    <w:p w14:paraId="7B714D90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své usnesení ze dne 2. dubna 2025 o provádění společné bezpečnostní a obranné politiky – výroční zpráva za rok 2024</w:t>
      </w:r>
      <w:r w:rsidRPr="00F4550C">
        <w:rPr>
          <w:rStyle w:val="FootnoteReference"/>
        </w:rPr>
        <w:footnoteReference w:id="5"/>
      </w:r>
      <w:r w:rsidRPr="00F4550C">
        <w:t>,</w:t>
      </w:r>
    </w:p>
    <w:p w14:paraId="44B98473" w14:textId="77777777" w:rsidR="00BB656E" w:rsidRPr="00F4550C" w:rsidRDefault="00BB656E" w:rsidP="00BB656E">
      <w:pPr>
        <w:pStyle w:val="NormalHanging"/>
      </w:pPr>
      <w:r w:rsidRPr="00F4550C">
        <w:lastRenderedPageBreak/>
        <w:t>–</w:t>
      </w:r>
      <w:r w:rsidRPr="00F4550C">
        <w:tab/>
        <w:t>s ohledem na své usnesení ze dne 12. března 2025 o bílé knize o budoucnosti evropské obrany</w:t>
      </w:r>
      <w:r w:rsidRPr="00F4550C">
        <w:rPr>
          <w:rStyle w:val="FootnoteReference"/>
        </w:rPr>
        <w:footnoteReference w:id="6"/>
      </w:r>
      <w:r w:rsidRPr="00F4550C">
        <w:t>,</w:t>
      </w:r>
    </w:p>
    <w:p w14:paraId="1C1B026D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své usnesení ze dne 7. července 2021 o spolupráci mezi EU a NATO v rámci transatlantických vztahů</w:t>
      </w:r>
      <w:r w:rsidRPr="00F4550C">
        <w:rPr>
          <w:rStyle w:val="FootnoteReference"/>
        </w:rPr>
        <w:footnoteReference w:id="7"/>
      </w:r>
      <w:r w:rsidRPr="00F4550C">
        <w:t>,</w:t>
      </w:r>
    </w:p>
    <w:p w14:paraId="5338D07C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společné sdělení Komise a vysokého představitele Unie pro zahraniční věci a bezpečnostní politiku ze dne 5. března 2024 nazvané „Nová strategie pro evropský obranný průmysl: dosahování připravenosti EU prostřednictvím pohotového a odolného evropského obranného průmyslu“ (JOIN(2024)0010),</w:t>
      </w:r>
    </w:p>
    <w:p w14:paraId="45A30A6D" w14:textId="0C59D9E2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politické směry pro příští Evropskou komisi 2024–2029 s názvem „Volba Evropy“ představené dne 18. července 202</w:t>
      </w:r>
      <w:r w:rsidR="00C85589">
        <w:t>4</w:t>
      </w:r>
      <w:r w:rsidRPr="00F4550C">
        <w:t xml:space="preserve"> kandidátkou na funkci předsedkyně Evropské komise Ursulou von der Leyenovou,</w:t>
      </w:r>
    </w:p>
    <w:p w14:paraId="1AD3C839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společné prohlášení o spolupráci OSN a EU při řešení krizí podepsané generálním tajemníkem Organizace spojených národů a předsedou Evropské rady dne 24. září 2003,</w:t>
      </w:r>
    </w:p>
    <w:p w14:paraId="49B4F744" w14:textId="77777777" w:rsidR="00BB656E" w:rsidRPr="00F4550C" w:rsidRDefault="00BB656E" w:rsidP="00BB656E">
      <w:pPr>
        <w:pStyle w:val="NormalHanging12a"/>
        <w:rPr>
          <w:b/>
          <w:i/>
        </w:rPr>
      </w:pPr>
      <w:r w:rsidRPr="00F4550C">
        <w:rPr>
          <w:b/>
          <w:i/>
        </w:rPr>
        <w:t>–</w:t>
      </w:r>
      <w:r w:rsidRPr="00F4550C">
        <w:rPr>
          <w:b/>
          <w:i/>
        </w:rPr>
        <w:tab/>
      </w:r>
      <w:r w:rsidRPr="00F4550C">
        <w:t>s ohledem na společné sdělení Komise a vysokého představitele Unie pro zahraniční věci a bezpečnostní politiku ze dne 10. března 2023 nazvané „Kosmická strategie EU pro bezpečnost a obranu“ (JOIN(2023)0009),</w:t>
      </w:r>
    </w:p>
    <w:p w14:paraId="3E7ECD43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článek 55 jednacího řádu,</w:t>
      </w:r>
    </w:p>
    <w:p w14:paraId="219549D9" w14:textId="77777777" w:rsidR="00BB656E" w:rsidRPr="00F4550C" w:rsidRDefault="00BB656E" w:rsidP="00BB656E">
      <w:pPr>
        <w:pStyle w:val="NormalHanging"/>
      </w:pPr>
      <w:r w:rsidRPr="00F4550C">
        <w:t>–</w:t>
      </w:r>
      <w:r w:rsidRPr="00F4550C">
        <w:tab/>
        <w:t>s ohledem na zprávu Výboru pro bezpečnost a obranu (A10-0005/2026),</w:t>
      </w:r>
    </w:p>
    <w:p w14:paraId="773EE0BF" w14:textId="77777777" w:rsidR="00BB656E" w:rsidRPr="00F4550C" w:rsidRDefault="00BB656E" w:rsidP="00BB656E">
      <w:pPr>
        <w:pStyle w:val="NormalHanging12a"/>
      </w:pPr>
      <w:r w:rsidRPr="00F4550C">
        <w:t>A.</w:t>
      </w:r>
      <w:r w:rsidRPr="00F4550C">
        <w:tab/>
        <w:t>vzhledem k tomu, že současný geopolitický kontext, zejména návrat války na evropský kontinent s ohledem na ruskou útočnou válku proti Ukrajině a následné rozhodnutí EU převzít větší odpovědnost za bezpečnost a obranu, včetně vojenské podpory Ukrajiny, vyžaduje, aby EU vytvořila silnější, udržitelnější a uzpůsobená partnerství s cílem prohloubit spolupráci s podobně smýšlejícími partnery vzájemně prospěšným způsobem; vzhledem k tomu, že změna vojenského paradigmatu spolu s nárůstem hybridních hrozeb nečiní žádný region Evropské unie imunním vůči riziku agrese nebo vměšování;</w:t>
      </w:r>
    </w:p>
    <w:p w14:paraId="4240F433" w14:textId="77777777" w:rsidR="00BB656E" w:rsidRPr="00F4550C" w:rsidRDefault="00BB656E" w:rsidP="00BB656E">
      <w:pPr>
        <w:pStyle w:val="NormalHanging12a"/>
        <w:rPr>
          <w:b/>
          <w:i/>
        </w:rPr>
      </w:pPr>
      <w:r w:rsidRPr="00F4550C">
        <w:t>B.</w:t>
      </w:r>
      <w:r w:rsidRPr="00F4550C">
        <w:tab/>
        <w:t>vzhledem k tomu, že rostoucí úloha EU v oblasti bezpečnosti a obrany musí zůstat v souladu se zásadami a cíli vnější činnosti Unie podle článku 21 Smlouvy o EU, včetně dodržování Charty OSN, mezinárodního práva, předcházení konfliktům, udržitelného rozvoje, demokracie a lidských práv;</w:t>
      </w:r>
    </w:p>
    <w:p w14:paraId="50E52942" w14:textId="77777777" w:rsidR="00BB656E" w:rsidRPr="00F4550C" w:rsidRDefault="00BB656E" w:rsidP="00BB656E">
      <w:pPr>
        <w:pStyle w:val="NormalHanging"/>
      </w:pPr>
      <w:r w:rsidRPr="00F4550C">
        <w:t>C.</w:t>
      </w:r>
      <w:r w:rsidRPr="00F4550C">
        <w:tab/>
        <w:t>vzhledem k tomu, že EU je i nadále plně odhodlána podporovat mezinárodní spolupráci a posilovat účinný multilateralismus na všech úrovních;</w:t>
      </w:r>
    </w:p>
    <w:p w14:paraId="026CB5ED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D.</w:t>
      </w:r>
      <w:r w:rsidRPr="00F4550C">
        <w:tab/>
        <w:t>vzhledem k tomu, že celounijní partnerství a dialog o míru, bezpečnosti a obraně jsou klíčovým zdrojem síly a odolnosti;</w:t>
      </w:r>
      <w:r w:rsidRPr="00F4550C">
        <w:rPr>
          <w:b/>
          <w:i/>
        </w:rPr>
        <w:t xml:space="preserve"> </w:t>
      </w:r>
      <w:r w:rsidRPr="00F4550C">
        <w:t>vzhledem k tomu, že tato partnerství by měla řešit nejnaléhavější obranné potřeby a výzvy EU;</w:t>
      </w:r>
    </w:p>
    <w:p w14:paraId="1F8BFC9F" w14:textId="77777777" w:rsidR="00BB656E" w:rsidRPr="00F4550C" w:rsidRDefault="00BB656E" w:rsidP="00BB656E">
      <w:pPr>
        <w:pStyle w:val="NormalHanging12a"/>
      </w:pPr>
      <w:r w:rsidRPr="00F4550C">
        <w:lastRenderedPageBreak/>
        <w:t>E.</w:t>
      </w:r>
      <w:r w:rsidRPr="00F4550C">
        <w:tab/>
        <w:t>vzhledem k tomu, že Strategický kompas vyzval k rozšíření a prohloubení partnerství s dvoustrannými, regionálními a mnohostrannými partnery po celém světě s cílem zajistit vzájemný prospěch a posílenou spolupráci, přičemž zdůraznil potřebu interoperability, inovací a soudržnosti mezi rámci EU a NATO, jakož i k posílení spolupráce s Ukrajinou a Spojenými státy jako klíčovými partnery pro evropskou a transatlantickou bezpečnost;</w:t>
      </w:r>
    </w:p>
    <w:p w14:paraId="58672A17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F.</w:t>
      </w:r>
      <w:r w:rsidRPr="00F4550C">
        <w:tab/>
        <w:t>vzhledem k tomu, že nárůst činnosti organizací obchodujících s lidmi a účelové využívání migrace představují pro EU klíčové bezpečnostní riziko;</w:t>
      </w:r>
    </w:p>
    <w:p w14:paraId="08C6AC65" w14:textId="77777777" w:rsidR="00BB656E" w:rsidRPr="00F4550C" w:rsidRDefault="00BB656E" w:rsidP="00BB656E">
      <w:pPr>
        <w:pStyle w:val="NormalHanging12a"/>
      </w:pPr>
      <w:r w:rsidRPr="00F4550C">
        <w:t>G.</w:t>
      </w:r>
      <w:r w:rsidRPr="00F4550C">
        <w:tab/>
        <w:t xml:space="preserve">vzhledem k tomu, že vytváření nových partnerství v oblasti bezpečnosti a obrany mezi EU a partnerskými zeměmi by mělo usilovat o zajištění a zabezpečení nejvyšších standardů evropské bezpečnosti tím, že se </w:t>
      </w:r>
      <w:proofErr w:type="gramStart"/>
      <w:r w:rsidRPr="00F4550C">
        <w:t>zaručí</w:t>
      </w:r>
      <w:proofErr w:type="gramEnd"/>
      <w:r w:rsidRPr="00F4550C">
        <w:t xml:space="preserve"> přístup k technologicky nejvyspělejším a nejúčinnějším systémům sebeobrany;</w:t>
      </w:r>
    </w:p>
    <w:p w14:paraId="48D051B8" w14:textId="77777777" w:rsidR="00BB656E" w:rsidRPr="00F4550C" w:rsidRDefault="00BB656E" w:rsidP="00BB656E">
      <w:pPr>
        <w:pStyle w:val="NormalHanging12a"/>
        <w:rPr>
          <w:b/>
          <w:bCs/>
          <w:i/>
          <w:iCs/>
        </w:rPr>
      </w:pPr>
      <w:r w:rsidRPr="00F4550C">
        <w:rPr>
          <w:b/>
          <w:i/>
        </w:rPr>
        <w:t>Evropské bezpečnostní prostředí</w:t>
      </w:r>
    </w:p>
    <w:p w14:paraId="7ADBCE11" w14:textId="77777777" w:rsidR="00BB656E" w:rsidRPr="00F4550C" w:rsidRDefault="00BB656E" w:rsidP="00BB656E">
      <w:pPr>
        <w:pStyle w:val="NormalHanging12a"/>
      </w:pPr>
      <w:r w:rsidRPr="00F4550C">
        <w:t>1.</w:t>
      </w:r>
      <w:r w:rsidRPr="00F4550C">
        <w:tab/>
        <w:t>zdůrazňuje, že partnerství v oblasti bezpečnosti a obrany mají klíčový význam pro to, aby Evropa mohla účinně reagovat na vznikající hrozby a podpořila se ambice EU posílit svou úlohu globálního strategického aktéra; zdůrazňuje, že takováto partnerství, která jsou vzájemně přínosná, s jasnou strategickou orientací a cíli, mají zásadní význam pro to, aby se Evropa stala svrchovanější, aby převzala větší díl odpovědnosti za svou vlastní obranu a aby byla lépe vybavena k tomu, aby mohla autonomním a koordinovaným způsobem jednat a řešit bezprostřední i budoucí výzvy a hrozby prostřednictvím „360stupňového přístupu“; konstatuje, že tato partnerství jsou pro EU nezbytností, nikoli možností; zdůrazňuje, že partnerství by měla posílit strategickou autonomii EU, která by měla i nadále plně odhodlána rozvíjet vícestrannou spolupráci, a zároveň se plně doplňovat s NATO a posílit schopnost EU jednat v součinnosti s podobně smýšlejícími partnery v úsilí o mír, stabilitu a kolektivní bezpečnost;</w:t>
      </w:r>
    </w:p>
    <w:p w14:paraId="5D7D544A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2.</w:t>
      </w:r>
      <w:r w:rsidRPr="00F4550C">
        <w:rPr>
          <w:b/>
          <w:i/>
        </w:rPr>
        <w:tab/>
      </w:r>
      <w:r w:rsidRPr="00F4550C">
        <w:t>konstatuje, že se EU v současné době nachází v nejkritičtější bezpečnostní situaci od konce druhé světové války a čelí velkým výzvám, jako je posílení svých vojenských schopností a infrastruktury kybernetické bezpečnosti, boj proti hybridním hrozbám, boj proti terorismu a ochrana své kritické infrastruktury; zdůrazňuje, že nejvýznamnější hrozbu pro bezpečnost EU představují neoimperiální ambice Ruska a jeho revizionistický přístup, a zdůrazňuje, že je naléhavě nutné posílit obranné a odstrašující schopnosti Unie; v této souvislosti připomíná rostoucí bezpečnostní důsledky změny klimatu a zhoršování stavu životního prostředí pro kritickou infrastrukturu, energetické systémy a připravenost na krize;</w:t>
      </w:r>
    </w:p>
    <w:p w14:paraId="2C178D4D" w14:textId="77777777" w:rsidR="00BB656E" w:rsidRPr="00F4550C" w:rsidRDefault="00BB656E" w:rsidP="00BB656E">
      <w:pPr>
        <w:pStyle w:val="NormalHanging12a"/>
      </w:pPr>
      <w:r w:rsidRPr="00F4550C">
        <w:t>3.</w:t>
      </w:r>
      <w:r w:rsidRPr="00F4550C">
        <w:tab/>
        <w:t xml:space="preserve">zdůrazňuje, že ruská útočná válka proti Ukrajině je varovným signálem pro Evropu, aby více upřednostňovala bezpečnost a obranu a více do nich investovala; zdůrazňuje, že Rusko pokračuje ve své agresi na evropském kontinentu i s podporou svých spojenců, jako jsou režimy v Íránu, Severní Koreji a Bělorusku; všímá si nepřátelských činností našich strategických konkurentů a probíhající hybridní války vedené různými státními i nestátními aktéry, které představují hrozbu pro evropskou bezpečnost a mezinárodní řád založený na pravidlech; zdůrazňuje mimořádné bezpečnostní obavy členských států EU na východním křídle, které čelí přímým hrozbám ruské útočné války a hybridní války; zdůrazňuje, že pokračující hospodářskou spolupráci mezi EU a Čínou je s ohledem na podporu ruské válečné ekonomiky ze strany Číny třeba přehodnotit, mimo </w:t>
      </w:r>
      <w:r w:rsidRPr="00F4550C">
        <w:lastRenderedPageBreak/>
        <w:t>jiné s cílem posílit hospodářskou odolnost EU snižováním rizik; zdůrazňuje, že EU musí odolávat strategické konkurenci Číny jakožto země, která umožňuje a podporuje útočnou válku Ruska, a zvládat vedlejší účinky konfliktů na Blízkém východě a v Africe, a zároveň musí řešit společné globální hrozby a výzvy;</w:t>
      </w:r>
    </w:p>
    <w:p w14:paraId="1E948476" w14:textId="77777777" w:rsidR="00BB656E" w:rsidRPr="00F4550C" w:rsidRDefault="00BB656E" w:rsidP="00BB656E">
      <w:pPr>
        <w:pStyle w:val="NormalHanging12a"/>
      </w:pPr>
      <w:r w:rsidRPr="00F4550C">
        <w:t>4.</w:t>
      </w:r>
      <w:r w:rsidRPr="00F4550C">
        <w:tab/>
        <w:t>poukazuje na to, že prostřednictvím Strategického kompasu EU se Unie zavazuje k tomu, že bude se svými dvoustrannými partnery spolupracovat soudržněji, důsledněji a komplexněji, a bude tak budovat vzájemně prospěšná individuálně koncipovaná partnerství založená na společných hodnotách a zájmech; zdůrazňuje význam, který má v rámci těchto partnerství interoperabilita, společná odborná příprava a inovace v obranném průmyslu, zejména prostřednictvím iniciativ, jako je Program pro evropský obranný průmysl (EDIP) a Bezpečnostní akce pro Evropu (SAFE);</w:t>
      </w:r>
    </w:p>
    <w:p w14:paraId="42AA7344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5.</w:t>
      </w:r>
      <w:r w:rsidRPr="00F4550C">
        <w:tab/>
        <w:t>zdůrazňuje skutečnost, že EU a její členské státy jsou i nadále pevně odhodlány prosazovat mezinárodní řád založený na pravidlech a na dodržování mezinárodního práva, zásad Charty OSN, hodnot demokracie, lidských práv a zásad právního státu, jak jsou zakotveny ve Smlouvě o Evropské unii; zdůrazňuje, že tento závazek tvoří základ vnější činnosti EU a jejího úsilí o podporu míru, stability, multilateralismu a prosperity na celém světě; trvá na tom, že by partnerství v oblasti bezpečnosti a obrany měla jako průřezové priority zahrnovat předcházení konfliktům, klimatickou bezpečnost a udržitelnost;</w:t>
      </w:r>
    </w:p>
    <w:p w14:paraId="2014CDB9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6.</w:t>
      </w:r>
      <w:r w:rsidRPr="00F4550C">
        <w:tab/>
        <w:t>vyzývá k pravidelné aktualizaci Strategického kompasu s cílem zajistit, aby strategická vize a společné cíle EU vždy odpovídaly aktuálnímu geopolitickému, společenskému a technologickému vývoji; vyzývá Komisi a Evropskou službu pro vnější činnost (ESVČ), aby začlenily plánování odolnosti do iniciativ v oblasti bezpečnosti, které se týkají kritické infrastruktury, dodavatelských řetězců a energetické nezávislosti;</w:t>
      </w:r>
    </w:p>
    <w:p w14:paraId="5924F9C3" w14:textId="77777777" w:rsidR="00BB656E" w:rsidRPr="00F4550C" w:rsidRDefault="00BB656E" w:rsidP="00BB656E">
      <w:pPr>
        <w:pStyle w:val="NormalHanging12a"/>
        <w:rPr>
          <w:b/>
          <w:bCs/>
          <w:i/>
          <w:iCs/>
        </w:rPr>
      </w:pPr>
      <w:r w:rsidRPr="00F4550C">
        <w:rPr>
          <w:b/>
          <w:i/>
        </w:rPr>
        <w:t>Kritičnost strategického partnerství EU-NATO</w:t>
      </w:r>
    </w:p>
    <w:p w14:paraId="7A8E9995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7.</w:t>
      </w:r>
      <w:r w:rsidRPr="00F4550C">
        <w:tab/>
        <w:t>poukazuje na posílené strategické partnerství s NATO, které zahrnuje strukturované politické dialogy a prohloubenou operativní a odvětvovou spolupráci, zejména v oblastech, jako je vojenská mobilita, námořní bezpečnost, obranný průmysl a rozvoj schopností, přičemž tato spolupráce má zejména formu společných cvičení a spolupráce mezi personálem, čímž se posiluje evropský pilíř NATO; zdůrazňuje, že tato spolupráce se musí i nadále vzájemně posilovat a musí být založena na důvěře, transparentnosti a respektování rozhodovací samostatnosti obou organizací; zdůrazňuje, že demokratická odpovědnost a parlamentní dohled mají zásadní význam pro zajištění toho, aby tato spolupráce posílila evropskou a transatlantickou bezpečnost; zdůrazňuje, že 23 ze 27 členských států EU je členy NATO, a domnívá se, že spolupráce s evropskými členy NATO, kteří nejsou členskými státy EU, by měla být znovu potvrzena prozkoumáním možností posílení těchto partnerství;</w:t>
      </w:r>
    </w:p>
    <w:p w14:paraId="4BA6F0F9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8.</w:t>
      </w:r>
      <w:r w:rsidRPr="00F4550C">
        <w:rPr>
          <w:b/>
          <w:i/>
        </w:rPr>
        <w:tab/>
      </w:r>
      <w:r w:rsidRPr="00F4550C">
        <w:t xml:space="preserve">vzhledem k tomu, že NATO je nejúspěšnější vojenskou a politickou aliancí v moderních dějinách, která svým členům zajišťuje kolektivní obranu, stabilitu a bezpečnost již více než sedm desetiletí; zdůrazňuje, že EU a NATO společně zastupují více než jednu miliardu občanů a zahrnují některé z největších světových ekonomik a tvoří společenství, které spojují společné demokratické hodnoty a bezpečnostní zájmy; zdůrazňuje, že je důležité tento dialog institucionalizovat ve formě pravidelných ministerských konzultací mezi EU a NATO, společných strategických prognóz </w:t>
      </w:r>
      <w:r w:rsidRPr="00F4550C">
        <w:lastRenderedPageBreak/>
        <w:t>a koordinovaného plánování reakce na krize, čímž se zajistí, aby politická koordinace držela krok s operativní spoluprací;</w:t>
      </w:r>
    </w:p>
    <w:p w14:paraId="5E77666F" w14:textId="77777777" w:rsidR="00BB656E" w:rsidRPr="00F4550C" w:rsidRDefault="00BB656E" w:rsidP="00BB656E">
      <w:pPr>
        <w:pStyle w:val="NormalHanging12a"/>
      </w:pPr>
      <w:r w:rsidRPr="00F4550C">
        <w:t>9.</w:t>
      </w:r>
      <w:r w:rsidRPr="00F4550C">
        <w:tab/>
        <w:t>zdůrazňuje, že vztahy EU s NATO jsou prioritou a je třeba je dále rozvíjet, především prostřednictvím intenzivnějšího sdílení zpravodajských i jiných informací; poukazuje na to, že spolupráce mezi EU a NATO má klíčový význam pro odrazování, ochranu kritické infrastruktury, vojenskou mobilitu, energetické sítě, digitální komunikaci, kybernetické, vesmírné a obranné ekosystémy a odolnost společnosti a demokracie; vyzývá k plnému provedení společných prohlášení EU a NATO; dále vyzývá členské státy, které jsou rovněž členy NATO, aby posílily svůj závazek k NATO;</w:t>
      </w:r>
    </w:p>
    <w:p w14:paraId="25A19255" w14:textId="77777777" w:rsidR="00BB656E" w:rsidRPr="00F4550C" w:rsidRDefault="00BB656E" w:rsidP="00BB656E">
      <w:pPr>
        <w:pStyle w:val="NormalHanging12a"/>
      </w:pPr>
      <w:r w:rsidRPr="00F4550C">
        <w:t>10.</w:t>
      </w:r>
      <w:r w:rsidRPr="00F4550C">
        <w:tab/>
        <w:t>zdůrazňuje, že NATO zůstává klíčovou kolektivní transatlantickou aliancí v oblasti obrany, v rámci níž se EU a NATO doplňují, jednají soudržně a vzájemně se posilují s cílem zajistit bezpečnost v Evropě a posílit mezinárodní bezpečnost, a vybízí k úzké spolupráci a vzájemně prospěšnému partnerství se Spojenými státy v této oblasti; domnívá se, že pokud bude EU silnější a schopnější v oblasti bezpečnosti a obrany, bude to mít pozitivní vliv na globální i transatlantickou bezpečnost; zdůrazňuje potřebu silného obranného pilíře EU v rámci NATO, který bude schopen jednat samostatně a zároveň doplňovat NATO, čímž se posílí transatlantické partnerství a poskytnou nezbytné bezpečnostní záruky EU, jejím členským státům a mezinárodnímu řádu založenému na pravidlech; zároveň poukazuje na to, že evropská obrana musí stát na vlastních nohou a musí mít dostatečně silnou odrazující schopnost; varuje před riziky, která představuje měnící se zaměření zahraniční politiky USA, což by se mohlo promítnout do snížení jejich bezpečnostních závazků vůči Evropě; zdůrazňuje proto, že je třeba, aby EU rozvíjela své vlastní plánovací a operační kapacity;</w:t>
      </w:r>
    </w:p>
    <w:p w14:paraId="427790D5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11.</w:t>
      </w:r>
      <w:r w:rsidRPr="00F4550C">
        <w:tab/>
        <w:t>zdůrazňuje, že posílení bezpečnosti závisí na schopnosti členských států vybavit se interoperabilními vojenskými nástroji vyvinutými společně evropským obranným průmyslem, aby tak bylo možné zajistit rychlou a účinnou reakci na jakékoli ohrožení územní celistvosti a svrchovanosti členských států EU; zdůrazňuje, že v této souvislosti musí být vojenské schopnosti určeny v součinnosti s procesem obranného plánování NATO (NDPP) a v souladu se zásadou „jediného souboru sil“; konstatuje, že EU hraje významnou úlohu v regulačních záležitostech a v investicích zaměřených na podporu konkurenceschopnosti průmyslu, technologického rozvoje a evropské obranné logistiky; zdůrazňuje, že standardizace zůstává klíčovým pilířem spolupráce mezi EU a NATO, aby tak byla zaručena interoperabilita, doplňkovost úsilí a účinné využívání zdrojů a zároveň se zabránilo zbytečnému zdvojování činností; vyzývá Komisi a členské státy, aby zjednodušily a harmonizovaly pravidla pro výrobu, certifikaci, transfer, vojenskou mobilitu a údržbu obranných materiálů a systémů s cílem vybudovat konkurenceschopný, odolný a integrovaný evropský průmyslový dodavatelský řetězec, který bude schopen zajistit větší operační připravenost a plnou a účinnou interoperabilitu mezi EU a NATO;</w:t>
      </w:r>
    </w:p>
    <w:p w14:paraId="7FFC1FEE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12.</w:t>
      </w:r>
      <w:r w:rsidRPr="00F4550C">
        <w:tab/>
        <w:t>zdůrazňuje úlohu NATO a Spojených států jako globálních aktérů a spolehlivých partnerů v úsilí o nešíření zbraní hromadného ničení, jako jsou jaderné, chemické, biologické a radiologické zbraně, a v boji proti celosvětovému terorismu;</w:t>
      </w:r>
    </w:p>
    <w:p w14:paraId="0661E487" w14:textId="77777777" w:rsidR="00BB656E" w:rsidRPr="00F4550C" w:rsidRDefault="00BB656E" w:rsidP="00BB656E">
      <w:pPr>
        <w:pStyle w:val="NormalHanging12a"/>
        <w:rPr>
          <w:b/>
          <w:bCs/>
          <w:i/>
          <w:iCs/>
        </w:rPr>
      </w:pPr>
      <w:r w:rsidRPr="00F4550C">
        <w:rPr>
          <w:b/>
          <w:i/>
        </w:rPr>
        <w:t>Nezbytnost partnerství EU v oblasti bezpečnosti a obrany</w:t>
      </w:r>
    </w:p>
    <w:p w14:paraId="7488B448" w14:textId="77777777" w:rsidR="00BB656E" w:rsidRPr="00F4550C" w:rsidRDefault="00BB656E" w:rsidP="00BB656E">
      <w:pPr>
        <w:pStyle w:val="NormalHanging12a"/>
      </w:pPr>
      <w:r w:rsidRPr="00F4550C">
        <w:t>13.</w:t>
      </w:r>
      <w:r w:rsidRPr="00F4550C">
        <w:tab/>
        <w:t xml:space="preserve">oceňuje skutečnost, že posilováním své společné bezpečnostní a obranné politiky (SBOP) se EU staví do pozice spolehlivého globálního bezpečnostního partnera, mimo </w:t>
      </w:r>
      <w:r w:rsidRPr="00F4550C">
        <w:lastRenderedPageBreak/>
        <w:t>jiné prostřednictvím vzájemně prospěšných partnerství v oblasti bezpečnosti a obrany a hlubších dvoustranných a mnohostranných dialogů; konstatuje, že dosud bylo uzavřeno partnerství v oblasti bezpečnosti a obrany s osmi zeměmi, a uzavření dalších se připravuje, mimo jiné s Islandem; vyzývá k tomu, aby tato partnerství zahrnovala strukturovanou průmyslovou spolupráci zaměřenou na zvýšení výrobních kapacit v EU pro základní obranné výrobní prostředky v rámci posílení evropské technologické a průmyslové základny obrany (EDTIB);</w:t>
      </w:r>
    </w:p>
    <w:p w14:paraId="3B791290" w14:textId="77777777" w:rsidR="00BB656E" w:rsidRPr="00F4550C" w:rsidRDefault="00BB656E" w:rsidP="00BB656E">
      <w:pPr>
        <w:pStyle w:val="NormalHanging12a"/>
      </w:pPr>
      <w:r w:rsidRPr="00F4550C">
        <w:t>14.</w:t>
      </w:r>
      <w:r w:rsidRPr="00F4550C">
        <w:tab/>
        <w:t>domnívá se, že tento rámec partnerství v oblasti bezpečnosti a obrany dává nový impuls probíhajícím dialogům o bezpečnosti a obraně a praktické spolupráci; zdůrazňuje, že je důležité mít hmatatelné výstupy a milníky s dohodnutými cílovými termíny; zdůrazňuje, že je nutné zajistit monitorování výsledků, dvoustranné přezkumy a dialog o vnímání hrozeb a společných zájmech ve více oblastech, což má zásadní význam pro realizaci partnerství; zdůrazňuje, že je důležité zajistit prostřednictvím strategických partnerství v oblasti bezpečnosti a obrany spolehlivé dodávky kritických surovin, které mají zásadní význam pro evropskou obranu; vyzývá místopředsedkyni Komise, vysokou představitelku Unie pro zahraniční věci a bezpečnostní politiku, aby Parlamentu předkládala pravidelné hodnocení týkající se stavu provádění partnerství v oblasti bezpečnosti a obrany;</w:t>
      </w:r>
    </w:p>
    <w:p w14:paraId="2EC9E113" w14:textId="77777777" w:rsidR="00BB656E" w:rsidRPr="00F4550C" w:rsidRDefault="00BB656E" w:rsidP="00BB656E">
      <w:pPr>
        <w:pStyle w:val="NormalHanging12a"/>
      </w:pPr>
      <w:r w:rsidRPr="00F4550C">
        <w:t>15.</w:t>
      </w:r>
      <w:r w:rsidRPr="00F4550C">
        <w:tab/>
        <w:t>zdůrazňuje, že partnerství v oblasti bezpečnosti a obrany zahrnují spolupráci s misemi SBOP, neboť jejích účelem je vytvářet součinnost, zvyšovat interoperabilitu a koordinaci a posilovat celkové bezpečnostní a obranné schopnosti EU;</w:t>
      </w:r>
    </w:p>
    <w:p w14:paraId="11CC69AD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16.</w:t>
      </w:r>
      <w:r w:rsidRPr="00F4550C">
        <w:tab/>
        <w:t>poukazuje na potřebu stanovení priorit v rámci partnerství v oblasti bezpečnosti a obrany uzavřených s Norskem, Spojeným královstvím a Kanadou, což jsou spojenci NATO a klíčoví partneři EU v oblasti obrany, a na strategický význam těchto partnerství; vybízí k jejich prohloubení, a to i v oblasti obranného průmyslu, kybernetických a hybridních hrozeb, námořní bezpečnosti a při budování společných vojenských schopností a podpoře užší spolupráce; zdůrazňuje, že průmyslová spolupráce by měla upřednostňovat projekty přispívající ke strategické autonomii a odolnosti a zajistit vyvážené zeměpisné rozložení investic mezi členskými státy, přičemž zvláštní pozornost by měla být věnována zemím východního křídla; vybízí rovněž EU, aby podepsala podobné dohody s dalšími obdobně smýšlejícími partnery, a to i s těmi, kteří nejsou členy NATO;</w:t>
      </w:r>
    </w:p>
    <w:p w14:paraId="69FEC82B" w14:textId="77777777" w:rsidR="00BB656E" w:rsidRPr="00F4550C" w:rsidRDefault="00BB656E" w:rsidP="00BB656E">
      <w:pPr>
        <w:pStyle w:val="NormalHanging12a"/>
      </w:pPr>
      <w:r w:rsidRPr="00F4550C">
        <w:t>17.</w:t>
      </w:r>
      <w:r w:rsidRPr="00F4550C">
        <w:tab/>
        <w:t>poukazuje na to, že vztahy mezi EU a USA mají pro evropskou bezpečnost a obranu i nadále zásadní význam; zdůrazňuje, že je důležité prozkoumat možnost formalizovaného partnerství v oblasti bezpečnosti a obrany se Spojenými státy, které by bylo v souladu se zájmy a hodnotami EU a podporovalo mezinárodní řád založený na pravidlech; poukazuje na to, že je nutné vést trvalý dialog a spolupracovat ohledně vnímání hrozeb; opakuje, že naše partnerství se Spojenými státy má strategický význam, a vyzývá k prohloubení naší spolupráce vzájemně prospěšným způsobem a k posouzení možností optimální spolupráce mezi obranným průmyslem obou stran;</w:t>
      </w:r>
    </w:p>
    <w:p w14:paraId="6E520DE8" w14:textId="77777777" w:rsidR="00BB656E" w:rsidRPr="00F4550C" w:rsidRDefault="00BB656E" w:rsidP="00BB656E">
      <w:pPr>
        <w:pStyle w:val="NormalHanging12a"/>
      </w:pPr>
      <w:r w:rsidRPr="00F4550C">
        <w:t>18.</w:t>
      </w:r>
      <w:r w:rsidRPr="00F4550C">
        <w:tab/>
        <w:t xml:space="preserve">zdůrazňuje, že bez bezpečnosti Ukrajiny nemůže existovat evropská bezpečnost; zdůrazňuje, že je důležité prozkoumat možnost uzavření formalizovaného partnerství v oblasti bezpečnosti a obrany s Ukrajinou; potvrzuje, že Ukrajina je pro EU strategickým prioritním partnerem, neboť se připravuje na to, aby se stala členskou zemí Unie; opakuje, že EU bude i nadále všemi prostředky poskytovat trvalou podporu nezbytnou k zajištění toho, aby Ukrajina co nejrychleji dosáhla vítězství; trvá na tom, že </w:t>
      </w:r>
      <w:r w:rsidRPr="00F4550C">
        <w:lastRenderedPageBreak/>
        <w:t>EU musí přispět ke spolehlivým, právně zakotveným bezpečnostním zárukám pro Ukrajinu, aby zabránila další agresi ze strany Ruska; zdůrazňuje, že prioritou je užší spolupráce mezi EU a ukrajinským odvětvím obranného průmyslu, mimo jiné i prostřednictvím sladění s evropskými normami a transparentností; zdůrazňuje význam partnerství EU a devítibodových společných bezpečnostních závazků mezi EU a Ukrajinou při koordinaci pomoci Ukrajině; vybízí k bezodkladnému použití zmrazeného ruského majetku na podporu Ukrajiny, a to v souladu s mezinárodním právem; zdůrazňuje, že je důležité systematicky čerpat z operačních zkušeností Ukrajiny, zejména pokud jde o bezpilotní letouny/bezpilotní systémy a elektronický boj;</w:t>
      </w:r>
    </w:p>
    <w:p w14:paraId="5CEC79E3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19.</w:t>
      </w:r>
      <w:r w:rsidRPr="00F4550C">
        <w:tab/>
        <w:t>vyzývá členské státy, aby aktivně spolupracovaly s Ukrajinou a navázaly s ní součinnost, zejména v oblasti protivzdušné a raketové obrany, bezpilotních letounů a protidronové války, a uznaly její průlomové operační odborné znalosti a pokročilé schopnosti, a posílily tak obranné schopnosti EU i Ukrajiny;</w:t>
      </w:r>
    </w:p>
    <w:p w14:paraId="770CD600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20.</w:t>
      </w:r>
      <w:r w:rsidRPr="00F4550C">
        <w:tab/>
        <w:t>oceňuje skutečnost, že dne 21. května 2024 bylo uzavřeno partnerství v oblasti bezpečnosti a obrany EU–Moldavsko, které se zaměřuje na boj proti hybridním hrozbám;</w:t>
      </w:r>
    </w:p>
    <w:p w14:paraId="427AA45A" w14:textId="5673BD90" w:rsidR="00BB656E" w:rsidRPr="00F4550C" w:rsidRDefault="00BB656E" w:rsidP="00BB656E">
      <w:pPr>
        <w:pStyle w:val="NormalHanging12a"/>
        <w:rPr>
          <w:bCs/>
          <w:iCs/>
        </w:rPr>
      </w:pPr>
      <w:r w:rsidRPr="00F4550C">
        <w:t>21.</w:t>
      </w:r>
      <w:r w:rsidRPr="00F4550C">
        <w:tab/>
        <w:t>poukazuje na strategický význam partnerství EU se zeměmi v indicko-tichomořském regionu, jako je Japonsko</w:t>
      </w:r>
      <w:r w:rsidR="00552C99">
        <w:t xml:space="preserve">, </w:t>
      </w:r>
      <w:r w:rsidRPr="00F4550C">
        <w:t xml:space="preserve">Korejská </w:t>
      </w:r>
      <w:r w:rsidRPr="00552C99">
        <w:t>republika</w:t>
      </w:r>
      <w:r w:rsidR="00826BE2" w:rsidRPr="00552C99">
        <w:t xml:space="preserve"> a Indie</w:t>
      </w:r>
      <w:r w:rsidRPr="00552C99">
        <w:t>, které již</w:t>
      </w:r>
      <w:r w:rsidRPr="00F4550C">
        <w:t xml:space="preserve"> podepsaly partnerství v oblasti bezpečnosti a obrany, a vybízí k rychlému uzavření jednání s Austrálií a k prozkoumání možnosti dalších partnerství s dalšími zeměmi v regionu, zejména s Novým Zélandem; zdůrazňuje, že euroatlantické a indicko-tichomořské bezpečnostní výzvy jsou úzce propojeny; poukazuje na to, že je třeba prohloubit spolupráci v oblasti bezpečnosti a obrany s Tchaj-wanem;</w:t>
      </w:r>
    </w:p>
    <w:p w14:paraId="75FFEF54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22.</w:t>
      </w:r>
      <w:r w:rsidRPr="00F4550C">
        <w:tab/>
        <w:t>zdůrazňuje, že je třeba prozkoumat spolupráci na různých úrovních a v různých formátech v oblasti energetické bezpečnosti, konektivity a ochrany kritické infrastruktury se zeměmi Kavkazu a Střední Asie; poukazuje na strategický význam těchto regionů pro diverzifikaci dodávek energie, rozvoj bezpečných dopravních koridorů a posílení celkové odolnosti Evropy;</w:t>
      </w:r>
    </w:p>
    <w:p w14:paraId="768D5329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23.</w:t>
      </w:r>
      <w:r w:rsidRPr="00F4550C">
        <w:tab/>
        <w:t>zdůrazňuje strategický význam černomořského regionu pro evropskou bezpečnost; vyzývá k posílení bezpečnostní a obranné spolupráce se obdobně smýšlejícími partnery v černomořském regionu a k vypracování komplexní bezpečnostní strategie EU pro oblast Černého moře; podporuje zvýšené investice EU do námořních kapacit, pobřežní obrany a znalosti situace na moři v oblasti Černého moře;</w:t>
      </w:r>
    </w:p>
    <w:p w14:paraId="26BC5098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24.</w:t>
      </w:r>
      <w:r w:rsidRPr="00F4550C">
        <w:tab/>
        <w:t>vyzývá členské státy a Evropskou službu pro vnější činnost, aby na základě jasné, vzájemně výhodné spolupráce prozkoumaly možnost navázání dalších partnerství v oblasti bezpečnosti a obrany s jinými podobně smýšlejícími partnery, kteří sdílejí naše hodnoty a jsou odhodláni prosazovat mezinárodní řád založený na pravidlech;</w:t>
      </w:r>
    </w:p>
    <w:p w14:paraId="216CA512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25.</w:t>
      </w:r>
      <w:r w:rsidRPr="00F4550C">
        <w:tab/>
        <w:t xml:space="preserve">zdůrazňuje, že je důležité navázat strukturované partnerství v oblasti bezpečnosti a obrany se zeměmi západního Balkánu, zejména s Bosnou a Hercegovinou, s cílem upevnit regionální stabilitu, bojovat proti hybridním hrozbám a posílit evropskou bezpečnostní architekturu v bezprostředním sousedství EU; poukazuje na to, že tato partnerství by měla vycházet ze stávající angažovanosti v rámci SBOP v regionu, včetně operace EUFOR Althea, politického a bezpečnostního dialogu a společné účasti v misích EU, a zároveň zajišťovat strategičtější a dlouhodobější rámec pro spolupráci </w:t>
      </w:r>
      <w:r w:rsidRPr="00F4550C">
        <w:lastRenderedPageBreak/>
        <w:t>v oblastech, jako je kybernetická odolnost, boj proti dezinformacím a budování obranných kapacit;</w:t>
      </w:r>
    </w:p>
    <w:p w14:paraId="600572D0" w14:textId="77777777" w:rsidR="00BB656E" w:rsidRPr="00F4550C" w:rsidRDefault="00BB656E" w:rsidP="00BB656E">
      <w:pPr>
        <w:pStyle w:val="NormalHanging12a"/>
        <w:rPr>
          <w:b/>
          <w:i/>
        </w:rPr>
      </w:pPr>
      <w:r w:rsidRPr="00F4550C">
        <w:rPr>
          <w:b/>
          <w:i/>
        </w:rPr>
        <w:t>Rozvoj partnerství s OSN a dalších mnohostranných partnerství</w:t>
      </w:r>
    </w:p>
    <w:p w14:paraId="4C127625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26.</w:t>
      </w:r>
      <w:r w:rsidRPr="00F4550C">
        <w:tab/>
        <w:t>poukazuje na význam strategického partnerství EU a OSN z hlediska mírových operací a řešení krizí: vítá stanovení nových priorit strategického partnerství EU a OSN na období 2025–2028 a zdůrazňuje, že je třeba zajistit větší ucelenost a účinnost misí a operací EU a OSN, mimo jiné prostřednictvím společného plánování a analýzy získaných poznatků; vyzývá k neomezené realizaci agendy žen, míru a bezpečnosti v souladu s rezolucí Rady bezpečnosti OSN č. 1325 a k jejímu systematickému začleňování do této oblasti, zejména pokud jde o ochranu civilního obyvatelstva, o neomezenou, rovnou a smysluplnou účast žen v mírových procesech a o předcházení sexuálnímu násilí souvisejícímu s konflikty; vyzývá k reformě fungování OSN s cílem zajistit, aby mise a operace byly účinné a měly požadovaný dopad;</w:t>
      </w:r>
    </w:p>
    <w:p w14:paraId="7B4B4872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27.</w:t>
      </w:r>
      <w:r w:rsidRPr="00F4550C">
        <w:tab/>
        <w:t>konstatuje, že EU a Africká unie udržují strategické partnerství, zejména v oblasti míru a bezpečnosti; zdůrazňuje, že je třeba prohloubit strategické partnerství s dalšími regionálními organizacemi, mj. s Organizací pro bezpečnost a spolupráci v Evropě, se Sdružením národů jihovýchodní Asie, s Ligou arabských států, s Radou pro spolupráci v Perském zálivu a s Organizací amerických států, v oblastech společného zájmu prostřednictvím společných iniciativ, dialogu a intenzivnější diplomatické činnosti; poukazuje na význam spolupráce s latinskoamerickými partnery při řešení mezinárodní organizované trestné činnosti, nadnárodního obchodování s lidmi, hybridních hrozeb a námořní bezpečnosti, ale i při podpoře demokratické odolnosti a regionální stability;</w:t>
      </w:r>
    </w:p>
    <w:p w14:paraId="122749E8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28.</w:t>
      </w:r>
      <w:r w:rsidRPr="00F4550C">
        <w:tab/>
        <w:t>vyzývá k posílení operačního rozměru bezpečnostní a obranné spolupráce EU s podobně smýšlejícími i dalšími partnery v jižním sousedství, zejména ve Středomoří, se zaměřením na námořní bezpečnost, boj proti terorismu, správu hranic a ochranu kritické infrastruktury, a to na základě závazků stanovených v Paktu pro Středomoří, s cílem prohloubit bezpečnostní spolupráci se středomořskými partnery; zdůrazňuje, že nestabilita v regionu má přímý dopad na vnitřní bezpečnost EU, a vyžaduje proto strategičtější a koordinovanější reakci;</w:t>
      </w:r>
    </w:p>
    <w:p w14:paraId="084B12F1" w14:textId="77777777" w:rsidR="00BB656E" w:rsidRPr="00F4550C" w:rsidRDefault="00BB656E" w:rsidP="00BB656E">
      <w:pPr>
        <w:pStyle w:val="NormalHanging12a"/>
        <w:rPr>
          <w:b/>
          <w:bCs/>
          <w:i/>
          <w:iCs/>
        </w:rPr>
      </w:pPr>
      <w:r w:rsidRPr="00F4550C">
        <w:rPr>
          <w:b/>
          <w:i/>
        </w:rPr>
        <w:t>Podpora širokých individuálních způsobů spolupráce</w:t>
      </w:r>
    </w:p>
    <w:p w14:paraId="432249DE" w14:textId="77777777" w:rsidR="00BB656E" w:rsidRPr="00F4550C" w:rsidRDefault="00BB656E" w:rsidP="00BB656E">
      <w:pPr>
        <w:pStyle w:val="NormalHanging12a"/>
      </w:pPr>
      <w:r w:rsidRPr="00F4550C">
        <w:t>29.</w:t>
      </w:r>
      <w:r w:rsidRPr="00F4550C">
        <w:tab/>
        <w:t>poukazuje na to, že integrovaný přístup EU ke SBOP zahrnuje právní rámce pro účast třetích zemí a regionálních organizací na misích a operacích SBOP; zdůrazňuje, že tito partneři musejí prosazovat naše hodnoty a sdílet naše zájmy; vybízí Komisi a ESVČ, aby dále zefektivnily administrativní postupy s cílem zajistit rychlejší a flexibilnější účast podobně smýšlejících partnerů, zejména na odborné přípravě, budování kapacit a misích zajišťujících reakci na krize;</w:t>
      </w:r>
    </w:p>
    <w:p w14:paraId="1578AAD5" w14:textId="77777777" w:rsidR="00BB656E" w:rsidRPr="00F4550C" w:rsidRDefault="00BB656E" w:rsidP="00BB656E">
      <w:pPr>
        <w:pStyle w:val="NormalHanging12a"/>
      </w:pPr>
      <w:r w:rsidRPr="00F4550C">
        <w:t>30.</w:t>
      </w:r>
      <w:r w:rsidRPr="00F4550C">
        <w:tab/>
        <w:t>poukazuje na strategickou úlohu Evropského mírového nástroje jako klíčového nástroje při budování širších vojenských a obranných kapacit, podpoře vojenských aspektů mírových operací a při poskytování vybavení ozbrojeným silám partnerů EU; vyzývá k plné transparentnosti a demokratické kontrole Evropského mírového nástroje;</w:t>
      </w:r>
    </w:p>
    <w:p w14:paraId="513E7768" w14:textId="77777777" w:rsidR="00BB656E" w:rsidRPr="00F4550C" w:rsidRDefault="00BB656E" w:rsidP="00BB656E">
      <w:pPr>
        <w:pStyle w:val="NormalHanging12a"/>
      </w:pPr>
      <w:r w:rsidRPr="00F4550C">
        <w:t>31.</w:t>
      </w:r>
      <w:r w:rsidRPr="00F4550C">
        <w:tab/>
        <w:t xml:space="preserve">vyjadřuje politování nad tím, že maďarská vláda nadále brání využívání tohoto nástroje na pomoc Ukrajině, a to i prostřednictvím právních kroků u Tribunálu EU, a nad tím, že </w:t>
      </w:r>
      <w:r w:rsidRPr="00F4550C">
        <w:lastRenderedPageBreak/>
        <w:t>stále blokuje podporu z Evropského mírového nástroje Arménii; naléhavě vyzývá členské státy, aby aktivně vyvíjely tlak na maďarskou vládu, aby ukončila nezodpovědnou blokádu evropského mírového nástroje; vyzývá vysokou představitelku, místopředsedkyni Komise, aby nalezla alternativní řešení, jak toto zablokování překonat;</w:t>
      </w:r>
    </w:p>
    <w:p w14:paraId="6477BC4D" w14:textId="77777777" w:rsidR="00BB656E" w:rsidRPr="00F4550C" w:rsidRDefault="00BB656E" w:rsidP="00BB656E">
      <w:pPr>
        <w:pStyle w:val="NormalHanging12a"/>
      </w:pPr>
      <w:r w:rsidRPr="00F4550C">
        <w:t>32.</w:t>
      </w:r>
      <w:r w:rsidRPr="00F4550C">
        <w:tab/>
        <w:t>vítá rozšíření sítě vojenských poradců ESVČ v delegacích EU, pomocí níž dochází k upevnění vztahů s vojenskými a civilními institucemi partnerů; vyzývá k pořádání pravidelných koordinačních schůzek mezi těmito poradci za účelem sdílení osvědčených postupů, zvýšení informovanosti o situaci a zajištění ucelenější vnější činnosti EU;</w:t>
      </w:r>
    </w:p>
    <w:p w14:paraId="607FC8E9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33.</w:t>
      </w:r>
      <w:r w:rsidRPr="00F4550C">
        <w:tab/>
        <w:t>trvá na tom, že k zajištění obranné připravenosti EU do roku 2030 je nutné navázat partnerství a spolupráci EU s podobně smýšlejícími partnery; zdůrazňuje, že dosažení vyhlášených cílů EU vyžaduje zabezpečení dodavatelských řetězců, včetně surovin a kritických součástí, posílení evropské technologické a průmyslové základny obrany a snížení strategické závislosti EU, aniž by došlo k vytvoření nové; poukazuje například na závislost EU na Číně, pokud jde o kritické suroviny, která představuje významnou geopolitickou a hospodářskou zranitelnost; vyzývá k zajištění demokratického dohledu nad partnerstvími v oblasti obranného průmyslu a jejich transparentnosti, mj. za účelem zajištění dodržování pracovněprávních norem a norem na ochranu životního prostředí; je si vědom toho, že vytvoření skutečně jednotného trhu v oblasti obrany má rozhodující význam a posílí jak vojenské schopnosti EU, tak i její strategickou autonomii;</w:t>
      </w:r>
    </w:p>
    <w:p w14:paraId="214B84EA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34.</w:t>
      </w:r>
      <w:r w:rsidRPr="00F4550C">
        <w:tab/>
        <w:t>vítá skutečnost, že zvýhodněný přístup k nástroji SAFE by mohl být na základě zvláštních dvoustranných dohod poskytnut zemím, s nimiž bylo uzavřeno partnerství v oblasti bezpečnosti a obrany; konstatuje, že jednání o dohodě s Kanadou, která je v souladu s nástrojem SAFE, dospělo ke konci; s politováním konstatuje, že zatím nebyla uzavřena dohoda s Velkou Británií; zdůrazňuje, že začlenění těchto dvou zemí do obranných iniciativ EU by bylo vzájemně prospěšné a zvýšilo by přínos každého odvětví; zdůrazňuje, že je důležité, aby byla do nástroje SAFE zapojena i Ukrajina;</w:t>
      </w:r>
    </w:p>
    <w:p w14:paraId="6936B88E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35.</w:t>
      </w:r>
      <w:r w:rsidRPr="00F4550C">
        <w:tab/>
        <w:t>konstatuje, že Evropská obranná agentura spolupracuje v rámci individuálně uzpůsobených správních ujednání také se třetími zeměmi, organizacemi a subjekty; zdůrazňuje, že je třeba zajistit, aby tato ujednání přispívala ke konsolidaci evropské technologické a průmyslové základny obrany a k ochraně přelomových technologií; vyzývá k přehodnocení administrativních opatření a jejich účinnosti;</w:t>
      </w:r>
    </w:p>
    <w:p w14:paraId="73531E96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36.</w:t>
      </w:r>
      <w:r w:rsidRPr="00F4550C">
        <w:tab/>
        <w:t>vyzývá ESVČ, aby si obstarala lidské a finanční zdroje nezbytné k realizaci stávajících partnerství v oblasti bezpečnosti a obrany a zajistila, aby přinášely hmatatelné výsledky;</w:t>
      </w:r>
    </w:p>
    <w:p w14:paraId="56C95C1F" w14:textId="77777777" w:rsidR="00BB656E" w:rsidRPr="00F4550C" w:rsidRDefault="00BB656E" w:rsidP="00BB656E">
      <w:pPr>
        <w:rPr>
          <w:b/>
          <w:bCs/>
          <w:i/>
          <w:iCs/>
        </w:rPr>
      </w:pPr>
      <w:r w:rsidRPr="00F4550C">
        <w:rPr>
          <w:b/>
          <w:bCs/>
          <w:i/>
          <w:iCs/>
        </w:rPr>
        <w:t>Posílení klíčových oblastí spolupráce v rámci partnerství v oblasti bezpečnosti a obrany</w:t>
      </w:r>
    </w:p>
    <w:p w14:paraId="05E00661" w14:textId="77777777" w:rsidR="00BB656E" w:rsidRPr="00F4550C" w:rsidRDefault="00BB656E" w:rsidP="00BB656E">
      <w:pPr>
        <w:rPr>
          <w:bCs/>
          <w:iCs/>
        </w:rPr>
      </w:pPr>
    </w:p>
    <w:p w14:paraId="7E61670A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37.</w:t>
      </w:r>
      <w:r w:rsidRPr="00F4550C">
        <w:tab/>
        <w:t>poukazuje na úlohu partnerství v oblasti bezpečnosti a obrany při integrované správě hranic s řadou partnerů, což je vzhledem k nedávným provokacím a případům narušení vzdušného prostoru NATO ze strany ruského a běloruského režimu, které mají vliv zejména na členské státy EU na východním křídle, a vzhledem k vnějším aspektům nelegální migrace obzvláště důležité; připomíná, že tyto aspekty mají vliv i na členské státy na jižním křídle; vyzývá k větší finanční a operativní podpoře EU, pokud jde o kapacity v oblasti správy hranic států v přední linii;</w:t>
      </w:r>
    </w:p>
    <w:p w14:paraId="79BAE67C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lastRenderedPageBreak/>
        <w:t>38.</w:t>
      </w:r>
      <w:r w:rsidRPr="00F4550C">
        <w:tab/>
        <w:t>vybízí Evropskou radu, aby zvážila účast zemí, které podepsaly partnerství v oblasti bezpečnosti a obrany, zejména Norska, Velké Británie a Kanady, na stěžejních projektech EU, jako je Hlídka na východním křídle, Evropská iniciativa na obranu pomocí dronů, Evropský letecký štít a Evropský kosmický štít;</w:t>
      </w:r>
    </w:p>
    <w:p w14:paraId="12292CFE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39.</w:t>
      </w:r>
      <w:r w:rsidRPr="00F4550C">
        <w:tab/>
        <w:t>zdůrazňuje, že priority unijního financování by měly odrážet potřebu vyváženého zeměpisného rozložení průmyslových kapacit, přičemž zvláštní pozornost by měla být věnována rozšíření obranné výroby na východním křídle EU s cílem řešit blízkost rizikových oblastí;</w:t>
      </w:r>
    </w:p>
    <w:p w14:paraId="50AFCF2F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40.</w:t>
      </w:r>
      <w:r w:rsidRPr="00F4550C">
        <w:tab/>
        <w:t>vyzývá k většímu počtu společných cvičení v oblasti námořní bezpečnosti s příslušnými spojeneckými partnery s cílem podpořit interoperabilitu a operační připravenost na strategicky důležitých vodních cestách a kritických místech po celém světě, zejména v oblastech, kde jsou ohroženy životně důležité zájmy EU; trvá na tom, že je důležité dohlížet na kritickou námořní infrastrukturu, mj. na podmořské kabely a potrubí, a chránit ji, aby se zabránilo stále častějším hybridním útokům;</w:t>
      </w:r>
    </w:p>
    <w:p w14:paraId="03AC1FC9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41.</w:t>
      </w:r>
      <w:r w:rsidRPr="00F4550C">
        <w:tab/>
        <w:t>poukazuje na význam partnerství v oblasti bezpečnosti a obrany z hlediska misí a operací SBOP, které zůstávají základním kamenem angažovanosti EU v oblasti vnější bezpečnosti a jsou klíčovým pilířem činnosti EU v oblasti předcházení konfliktům, řešení krizí a stabilizace po skončení konfliktu;</w:t>
      </w:r>
    </w:p>
    <w:p w14:paraId="7D4C1019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42.</w:t>
      </w:r>
      <w:r w:rsidRPr="00F4550C">
        <w:tab/>
        <w:t>zdůrazňuje, že kybernetické útoky, zahraniční manipulace s informacemi a zahraniční vměšování, činnost nadnárodních zločineckých organizací zapojených do pašování drog a obchodování s lidmi a zneužívání migrace jako zbraně ze strany agresivních třetích zemí představují pro EU rostoucí bezpečnostní hrozbu; vyzývá k další spolupráci s partnery EU s cílem posílit naši odolnost, chránit naši kritickou infrastrukturu a vyměňovat si osvědčené postupy v boji proti zahraniční manipulaci s informacemi a zahraničnímu vměšování; poukazuje na význam partnerství v oblasti bezpečnosti a obrany při budování společenské a demokratické odolnosti; vybízí k vytvoření společných cvičení v oblasti kybernetické reakce a k vybudování bezpečných kanálů pro výměnu informací mezi EU a jejími partnery s cílem bojovat proti hybridním hrozbám;</w:t>
      </w:r>
    </w:p>
    <w:p w14:paraId="6A12841E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43.</w:t>
      </w:r>
      <w:r w:rsidRPr="00F4550C">
        <w:tab/>
        <w:t>konstatuje, že přístup EU k obraně podmořské kritické infrastruktury odráží rovněž rostoucí povědomí o netradičních bezpečnostních výzvách;</w:t>
      </w:r>
    </w:p>
    <w:p w14:paraId="6363689C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44.</w:t>
      </w:r>
      <w:r w:rsidRPr="00F4550C">
        <w:tab/>
        <w:t>zdůrazňuje, že je důležité bojovat proti terorismu, předcházet násilnému extremismu a řešit státní i nestátní hrozby prostřednictvím integrovaných bezpečnostních rámců; zdůrazňuje, že je nutné zajistit rozsáhlou mezivládní spolupráci a výměnu informací, a to jak v rámci EU, tak i se třetími zeměmi, s cílem účinně bojovat proti terorismu a násilnému extremismu a předcházet jim;</w:t>
      </w:r>
    </w:p>
    <w:p w14:paraId="77B11038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45.</w:t>
      </w:r>
      <w:r w:rsidRPr="00F4550C">
        <w:tab/>
        <w:t>poukazuje na to, že partnerství mají zásadní význam při prosazování mírového a odpovědného chování ve vesmíru, při reakci na kosmické hrozby a při podpoře využívání kosmických služeb pro účely bezpečnosti a obrany; zdůrazňuje zejména, že vznikající odvětví „New Space“ a jeho inovativní potenciál, pokud jde o technologie dvojího užití, by měly být plně využity také v oblasti obrany a civilního vývoje;</w:t>
      </w:r>
    </w:p>
    <w:p w14:paraId="5EC83598" w14:textId="77777777" w:rsidR="00BB656E" w:rsidRPr="00F4550C" w:rsidRDefault="00BB656E" w:rsidP="00BB656E">
      <w:pPr>
        <w:pStyle w:val="NormalHanging12a"/>
      </w:pPr>
      <w:r w:rsidRPr="00F4550C">
        <w:t>46.</w:t>
      </w:r>
      <w:r w:rsidRPr="00F4550C">
        <w:tab/>
        <w:t xml:space="preserve">poukazuje na to, že partnerství v oblasti bezpečnosti a obrany obsahují účinnou doložku o přezkumu, která umožňuje úpravy v závislosti na jejich uplatňování a v reakci </w:t>
      </w:r>
      <w:r w:rsidRPr="00F4550C">
        <w:lastRenderedPageBreak/>
        <w:t>na vývoj situace v oblasti bezpečnosti; zdůrazňuje, že pokud budou tato partnerství dobře uplatňována, přinesou konkrétní výsledky a přispějí k evropskému bezpečnostnímu řádu;</w:t>
      </w:r>
    </w:p>
    <w:p w14:paraId="41BCEECC" w14:textId="77777777" w:rsidR="00BB656E" w:rsidRPr="00F4550C" w:rsidRDefault="00BB656E" w:rsidP="00BB656E">
      <w:pPr>
        <w:pStyle w:val="NormalHanging12a"/>
        <w:rPr>
          <w:b/>
          <w:bCs/>
          <w:i/>
          <w:iCs/>
        </w:rPr>
      </w:pPr>
      <w:r w:rsidRPr="00F4550C">
        <w:rPr>
          <w:b/>
          <w:i/>
        </w:rPr>
        <w:t>Rozvoj úlohy Parlamentu v rámci podpory spolupráce v oblasti obrany</w:t>
      </w:r>
    </w:p>
    <w:p w14:paraId="0821D524" w14:textId="77777777" w:rsidR="00BB656E" w:rsidRPr="00F4550C" w:rsidRDefault="00BB656E" w:rsidP="00BB656E">
      <w:pPr>
        <w:pStyle w:val="NormalHanging12a"/>
      </w:pPr>
      <w:r w:rsidRPr="00F4550C">
        <w:t>47.</w:t>
      </w:r>
      <w:r w:rsidRPr="00F4550C">
        <w:tab/>
        <w:t>připomíná, že Parlament opakovaně poukazuje na význam partnerství v oblasti bezpečnosti a obrany; domnívá se, že parlamentní diplomacie tato partnerství doplňuje a podporuje; poukazuje na klíčovou úlohu Výboru pro bezpečnost a obranu a delegace pro vztahy s Parlamentním shromážděním NATO; žádá ESVČ, aby Parlamentu pravidelně předkládala zprávy o uplatňování partnerství v oblasti bezpečnosti a obrany a o aktuálním stavu probíhajících nebo plánovaných jednání;</w:t>
      </w:r>
    </w:p>
    <w:p w14:paraId="14FA6F11" w14:textId="77777777" w:rsidR="00BB656E" w:rsidRPr="00F4550C" w:rsidRDefault="00BB656E" w:rsidP="00BB656E">
      <w:pPr>
        <w:pStyle w:val="NormalHanging12a"/>
      </w:pPr>
      <w:r w:rsidRPr="00F4550C">
        <w:t>48.</w:t>
      </w:r>
      <w:r w:rsidRPr="00F4550C">
        <w:tab/>
        <w:t>zavazuje se, že bude pokračovat v pravidelných společných schůzích s Výborem pro národní bezpečnost, obranu a zpravodajství Nejvyšší rady Ukrajiny s cílem podpořit dialog na parlamentní úrovni;</w:t>
      </w:r>
    </w:p>
    <w:p w14:paraId="6683A05D" w14:textId="77777777" w:rsidR="00BB656E" w:rsidRPr="00F4550C" w:rsidRDefault="00BB656E" w:rsidP="00BB656E">
      <w:pPr>
        <w:pStyle w:val="NormalHanging12a"/>
      </w:pPr>
      <w:r w:rsidRPr="00F4550C">
        <w:t>49.</w:t>
      </w:r>
      <w:r w:rsidRPr="00F4550C">
        <w:tab/>
        <w:t>vítá uspořádání prvního meziparlamentního setkání výborů členských států EU pro obranu v Evropském parlamentu a další prohloubení partnerství se zaměstnanci vnitrostátních parlamentů, mimo jiné prostřednictvím Evropské bezpečnostní a obranné školy;</w:t>
      </w:r>
    </w:p>
    <w:p w14:paraId="62ABEAAC" w14:textId="77777777" w:rsidR="00BB656E" w:rsidRPr="00F4550C" w:rsidRDefault="00BB656E" w:rsidP="00BB656E">
      <w:pPr>
        <w:pStyle w:val="NormalHanging12a"/>
      </w:pPr>
      <w:r w:rsidRPr="00F4550C">
        <w:t>50.</w:t>
      </w:r>
      <w:r w:rsidRPr="00F4550C">
        <w:tab/>
        <w:t>vítá, že byl v prostorách Parlamentu uspořádán 107. Rose-Rothův seminář parlamentního shromáždění NATO na téma „Spolupráce mezi EU a NATO: zásadní partnerství a demokratická odolnost“; zdůrazňuje, že to podtrhuje novou aktivní roli Parlamentu, kterou plni s cílem dosáhnout širšího partnerského statusu v Parlamentním shromáždění NATO;</w:t>
      </w:r>
    </w:p>
    <w:p w14:paraId="7856AEFC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51.</w:t>
      </w:r>
      <w:r w:rsidRPr="00F4550C">
        <w:tab/>
        <w:t>poukazuje na úspěch vůbec prvního pilotního projektu Evropského parlamentu a Parlamentního shromáždění NATO zaměřeného na budování parlamentních kapacit v oblasti bezpečnosti a obrany pro zaměstnance Nejvyšší rady Ukrajiny; naléhavě vyzývá k rozšíření tohoto pilotního projektu na Nejvyšší radu Ukrajiny, parlamenty zemí, které usilují o vstup do EU, a na všechna partnerství v oblasti bezpečnosti a obrany;</w:t>
      </w:r>
    </w:p>
    <w:p w14:paraId="3083E5F8" w14:textId="77777777" w:rsidR="00BB656E" w:rsidRPr="00F4550C" w:rsidRDefault="00BB656E" w:rsidP="00BB656E">
      <w:pPr>
        <w:pStyle w:val="NormalHanging12a"/>
        <w:rPr>
          <w:bCs/>
          <w:iCs/>
        </w:rPr>
      </w:pPr>
      <w:r w:rsidRPr="00F4550C">
        <w:t>52.</w:t>
      </w:r>
      <w:r w:rsidRPr="00F4550C">
        <w:tab/>
        <w:t>domnívá se, že Schumanovo fórum o bezpečnosti a obraně, které organizuje ESVČ a spolupořádá Parlament, je příležitostí k poskytování pravidelné platformy na vysoké úrovni pro dialog s partnery; vyzývá Parlament, aby se aktivně podílel na utváření svého programu a následných opatření a zajistil, aby se výsledky promítly do legislativní činnosti v oblasti bezpečnostní a obranné politiky EU;</w:t>
      </w:r>
    </w:p>
    <w:p w14:paraId="4F1A2EA3" w14:textId="77777777" w:rsidR="00BB656E" w:rsidRPr="00F4550C" w:rsidRDefault="00BB656E" w:rsidP="00BB656E">
      <w:pPr>
        <w:pStyle w:val="NormalHanging12a"/>
      </w:pPr>
      <w:r w:rsidRPr="00F4550C">
        <w:t>53.</w:t>
      </w:r>
      <w:r w:rsidRPr="00F4550C">
        <w:tab/>
        <w:t>vybízí k budování užších vazeb se společností v partnerských zemích a k intenzivnější strategické komunikaci EU; vyzývá k zahájení kampaní, do nichž by byl zapojen Parlament, další orgány, instituce a jiné subjekty EU, členské státy a partnerské země, ale také nevládní organizace, akademická obec a sdělovací prostředky a které by propagovaly stávající partnerství v oblasti bezpečnosti a obrany a podporovaly vznik nových partnerství, což by upevnilo obraz a postavení EU mezi zeměmi zapojenými do partnerství v oblasti bezpečnosti a obrany; zdůrazňuje, že je třeba bojovat proti dezinformacím a zahraničním manipulativním narativům prostřednictvím koordinovaných komunikačních strategií a iniciativ v oblasti veřejné diplomacie, do nichž by byly zapojeny delegace EU a členské státy;</w:t>
      </w:r>
    </w:p>
    <w:p w14:paraId="3A7C115C" w14:textId="77777777" w:rsidR="00BB656E" w:rsidRPr="00F4550C" w:rsidRDefault="00BB656E" w:rsidP="00BB656E">
      <w:pPr>
        <w:pStyle w:val="NormalCenter12a"/>
      </w:pPr>
      <w:r w:rsidRPr="00F4550C">
        <w:lastRenderedPageBreak/>
        <w:t>°</w:t>
      </w:r>
    </w:p>
    <w:p w14:paraId="44B2D0B6" w14:textId="77777777" w:rsidR="00BB656E" w:rsidRPr="00F4550C" w:rsidRDefault="00BB656E" w:rsidP="00BB656E">
      <w:pPr>
        <w:pStyle w:val="NormalCenter12a"/>
      </w:pPr>
      <w:r w:rsidRPr="00F4550C">
        <w:t>°</w:t>
      </w:r>
      <w:r w:rsidRPr="00F4550C">
        <w:tab/>
        <w:t>°</w:t>
      </w:r>
    </w:p>
    <w:p w14:paraId="1AFDAB3D" w14:textId="226BC283" w:rsidR="00F4550C" w:rsidRPr="00F4550C" w:rsidRDefault="00BB656E" w:rsidP="00F4550C">
      <w:pPr>
        <w:pStyle w:val="NormalHanging12a"/>
      </w:pPr>
      <w:r w:rsidRPr="00F4550C">
        <w:t>54.</w:t>
      </w:r>
      <w:r w:rsidRPr="00F4550C">
        <w:tab/>
        <w:t>pověřuje svou předsedkyni, aby předala toto usnesení Radě a Komisi.</w:t>
      </w:r>
    </w:p>
    <w:p w14:paraId="1AA1B62E" w14:textId="65F84514" w:rsidR="00E365E1" w:rsidRPr="00F4550C" w:rsidRDefault="00E365E1" w:rsidP="000452A6"/>
    <w:sectPr w:rsidR="00E365E1" w:rsidRPr="00F4550C" w:rsidSect="00F455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DF9DA" w14:textId="77777777" w:rsidR="000452A6" w:rsidRPr="00F4550C" w:rsidRDefault="000452A6">
      <w:r w:rsidRPr="00F4550C">
        <w:separator/>
      </w:r>
    </w:p>
  </w:endnote>
  <w:endnote w:type="continuationSeparator" w:id="0">
    <w:p w14:paraId="5387E508" w14:textId="77777777" w:rsidR="000452A6" w:rsidRPr="00F4550C" w:rsidRDefault="000452A6">
      <w:r w:rsidRPr="00F455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010FB" w14:textId="77777777" w:rsidR="00064002" w:rsidRPr="00F455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527B2" w14:textId="77777777" w:rsidR="00064002" w:rsidRPr="00F455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516EB" w14:textId="77777777" w:rsidR="00064002" w:rsidRPr="00F455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6487D" w14:textId="77777777" w:rsidR="000452A6" w:rsidRPr="00F4550C" w:rsidRDefault="000452A6">
      <w:r w:rsidRPr="00F4550C">
        <w:separator/>
      </w:r>
    </w:p>
  </w:footnote>
  <w:footnote w:type="continuationSeparator" w:id="0">
    <w:p w14:paraId="4234C61D" w14:textId="77777777" w:rsidR="000452A6" w:rsidRPr="00F4550C" w:rsidRDefault="000452A6">
      <w:r w:rsidRPr="00F4550C">
        <w:continuationSeparator/>
      </w:r>
    </w:p>
  </w:footnote>
  <w:footnote w:id="1">
    <w:p w14:paraId="62D6D33F" w14:textId="6249BFE6" w:rsidR="00777AE5" w:rsidRPr="00777AE5" w:rsidRDefault="00777AE5">
      <w:pPr>
        <w:pStyle w:val="FootnoteText"/>
        <w:rPr>
          <w:lang w:val="cs-CZ"/>
        </w:rPr>
      </w:pPr>
      <w:r>
        <w:rPr>
          <w:rStyle w:val="FootnoteReference"/>
        </w:rPr>
        <w:footnoteRef/>
      </w:r>
      <w:r w:rsidRPr="00777AE5">
        <w:rPr>
          <w:lang w:val="fi-FI"/>
        </w:rPr>
        <w:t xml:space="preserve"> </w:t>
      </w:r>
      <w:r>
        <w:rPr>
          <w:lang w:val="cs-CZ"/>
        </w:rPr>
        <w:tab/>
      </w:r>
      <w:r w:rsidRPr="00777AE5">
        <w:rPr>
          <w:sz w:val="24"/>
          <w:szCs w:val="24"/>
          <w:lang w:val="cs-CZ"/>
        </w:rPr>
        <w:t xml:space="preserve">Úř. věst. L 331, 14.12.2017, s. 57, ELI: </w:t>
      </w:r>
      <w:hyperlink r:id="rId1" w:history="1">
        <w:r w:rsidRPr="00777AE5">
          <w:rPr>
            <w:rStyle w:val="Hyperlink"/>
            <w:sz w:val="24"/>
            <w:szCs w:val="24"/>
            <w:lang w:val="cs-CZ"/>
          </w:rPr>
          <w:t>http://data.europa.eu/eli/dec/2017/2315/oj</w:t>
        </w:r>
      </w:hyperlink>
      <w:r w:rsidRPr="00777AE5">
        <w:rPr>
          <w:lang w:val="cs-CZ"/>
        </w:rPr>
        <w:t>.</w:t>
      </w:r>
    </w:p>
  </w:footnote>
  <w:footnote w:id="2">
    <w:p w14:paraId="117E8E17" w14:textId="58EDD2BA" w:rsidR="00777AE5" w:rsidRPr="00777AE5" w:rsidRDefault="00777AE5">
      <w:pPr>
        <w:pStyle w:val="FootnoteText"/>
        <w:rPr>
          <w:lang w:val="cs-CZ"/>
        </w:rPr>
      </w:pPr>
      <w:r>
        <w:rPr>
          <w:rStyle w:val="FootnoteReference"/>
        </w:rPr>
        <w:footnoteRef/>
      </w:r>
      <w:r w:rsidRPr="00777AE5">
        <w:rPr>
          <w:lang w:val="fi-FI"/>
        </w:rPr>
        <w:t xml:space="preserve"> </w:t>
      </w:r>
      <w:r>
        <w:rPr>
          <w:lang w:val="cs-CZ"/>
        </w:rPr>
        <w:tab/>
      </w:r>
      <w:r w:rsidRPr="00F4550C">
        <w:rPr>
          <w:sz w:val="24"/>
          <w:lang w:val="cs-CZ"/>
        </w:rPr>
        <w:t xml:space="preserve">Úř. věst. L, 2024/890, 19.3.2024, ELI: </w:t>
      </w:r>
      <w:hyperlink r:id="rId2" w:tgtFrame="http://data.europa.eu/eli/dec/2024/890/oj" w:history="1">
        <w:r w:rsidRPr="00F4550C">
          <w:rPr>
            <w:rStyle w:val="Hyperlink"/>
            <w:sz w:val="24"/>
            <w:lang w:val="cs-CZ"/>
          </w:rPr>
          <w:t>http://data.europa.eu/eli/dec/2024/890/oj</w:t>
        </w:r>
      </w:hyperlink>
      <w:r w:rsidR="00552C99">
        <w:rPr>
          <w:rStyle w:val="Hyperlink"/>
          <w:sz w:val="24"/>
          <w:lang w:val="cs-CZ"/>
        </w:rPr>
        <w:t>.</w:t>
      </w:r>
    </w:p>
  </w:footnote>
  <w:footnote w:id="3">
    <w:p w14:paraId="3BB676B5" w14:textId="0B0FAD76" w:rsidR="00777AE5" w:rsidRPr="00777AE5" w:rsidRDefault="00777AE5" w:rsidP="00777AE5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777AE5">
        <w:rPr>
          <w:lang w:val="fi-FI"/>
        </w:rPr>
        <w:t xml:space="preserve"> </w:t>
      </w:r>
      <w:r>
        <w:rPr>
          <w:lang w:val="cs-CZ"/>
        </w:rPr>
        <w:tab/>
      </w:r>
      <w:r w:rsidRPr="00F4550C">
        <w:rPr>
          <w:sz w:val="24"/>
          <w:lang w:val="cs-CZ"/>
        </w:rPr>
        <w:t xml:space="preserve">Úř. věst. L 170, 12.5.2021, s. 149, ELI: </w:t>
      </w:r>
      <w:hyperlink r:id="rId3" w:tgtFrame="http://data.europa.eu/eli/reg/2021/697/oj" w:history="1">
        <w:r w:rsidRPr="00F4550C">
          <w:rPr>
            <w:rStyle w:val="Hyperlink"/>
            <w:sz w:val="24"/>
            <w:lang w:val="cs-CZ"/>
          </w:rPr>
          <w:t>http://data.europa.eu/eli/reg/2021/697/oj</w:t>
        </w:r>
      </w:hyperlink>
      <w:r w:rsidRPr="00F4550C">
        <w:rPr>
          <w:sz w:val="24"/>
          <w:lang w:val="cs-CZ"/>
        </w:rPr>
        <w:t>.</w:t>
      </w:r>
    </w:p>
  </w:footnote>
  <w:footnote w:id="4">
    <w:p w14:paraId="23CB4FB8" w14:textId="1A92AF70" w:rsidR="00BB656E" w:rsidRPr="00F4550C" w:rsidRDefault="00BB656E" w:rsidP="00F4550C">
      <w:pPr>
        <w:pStyle w:val="FootnoteText"/>
        <w:ind w:left="567" w:hanging="567"/>
        <w:rPr>
          <w:sz w:val="24"/>
          <w:lang w:val="cs-CZ"/>
        </w:rPr>
      </w:pPr>
      <w:r w:rsidRPr="00F4550C">
        <w:rPr>
          <w:rStyle w:val="FootnoteReference"/>
          <w:sz w:val="24"/>
          <w:lang w:val="cs-CZ"/>
        </w:rPr>
        <w:footnoteRef/>
      </w:r>
      <w:r w:rsidR="00F4550C" w:rsidRPr="00F4550C">
        <w:rPr>
          <w:sz w:val="24"/>
          <w:lang w:val="cs-CZ"/>
        </w:rPr>
        <w:t xml:space="preserve"> </w:t>
      </w:r>
      <w:r w:rsidR="00F4550C" w:rsidRPr="00F4550C">
        <w:rPr>
          <w:sz w:val="24"/>
          <w:lang w:val="cs-CZ"/>
        </w:rPr>
        <w:tab/>
      </w:r>
      <w:r w:rsidRPr="00F4550C">
        <w:rPr>
          <w:sz w:val="24"/>
          <w:lang w:val="cs-CZ"/>
        </w:rPr>
        <w:t>Úř. věst. L, 2025/1106, 28.5.2025, ELI: </w:t>
      </w:r>
      <w:hyperlink r:id="rId4" w:tgtFrame="_blank" w:tooltip="Umožňuje přístup k tomuto dokumentu prostřednictvím identifikátoru ELI URI." w:history="1">
        <w:r w:rsidRPr="00F4550C">
          <w:rPr>
            <w:rStyle w:val="Hyperlink"/>
            <w:sz w:val="24"/>
            <w:lang w:val="cs-CZ"/>
          </w:rPr>
          <w:t>http://data.europa.eu/eli/reg/2025/1106/oj</w:t>
        </w:r>
      </w:hyperlink>
      <w:r w:rsidRPr="00F4550C">
        <w:rPr>
          <w:sz w:val="24"/>
          <w:lang w:val="cs-CZ"/>
        </w:rPr>
        <w:t>.</w:t>
      </w:r>
    </w:p>
  </w:footnote>
  <w:footnote w:id="5">
    <w:p w14:paraId="49BDFD71" w14:textId="0F61667E" w:rsidR="00BB656E" w:rsidRPr="00F4550C" w:rsidRDefault="00BB656E" w:rsidP="00F4550C">
      <w:pPr>
        <w:pStyle w:val="FootnoteText"/>
        <w:ind w:left="567" w:hanging="567"/>
        <w:rPr>
          <w:sz w:val="24"/>
          <w:lang w:val="cs-CZ"/>
        </w:rPr>
      </w:pPr>
      <w:r w:rsidRPr="00F4550C">
        <w:rPr>
          <w:rStyle w:val="FootnoteReference"/>
          <w:sz w:val="24"/>
          <w:lang w:val="cs-CZ"/>
        </w:rPr>
        <w:footnoteRef/>
      </w:r>
      <w:r w:rsidR="00F4550C" w:rsidRPr="00F4550C">
        <w:rPr>
          <w:sz w:val="24"/>
          <w:lang w:val="cs-CZ"/>
        </w:rPr>
        <w:t xml:space="preserve"> </w:t>
      </w:r>
      <w:r w:rsidR="00F4550C" w:rsidRPr="00F4550C">
        <w:rPr>
          <w:sz w:val="24"/>
          <w:lang w:val="cs-CZ"/>
        </w:rPr>
        <w:tab/>
      </w:r>
      <w:r w:rsidRPr="00F4550C">
        <w:rPr>
          <w:sz w:val="24"/>
          <w:lang w:val="cs-CZ"/>
        </w:rPr>
        <w:t xml:space="preserve">Úř. věst. C, C/2025/4389, 9.9.2025, ELI: </w:t>
      </w:r>
      <w:hyperlink r:id="rId5" w:tgtFrame="http://data.europa.eu/eli/C/2025/4389/oj" w:history="1">
        <w:r w:rsidRPr="00F4550C">
          <w:rPr>
            <w:rStyle w:val="Hyperlink"/>
            <w:sz w:val="24"/>
            <w:lang w:val="cs-CZ"/>
          </w:rPr>
          <w:t>http://data.europa.eu/eli/C/2025/4389/oj</w:t>
        </w:r>
      </w:hyperlink>
      <w:r w:rsidRPr="00F4550C">
        <w:rPr>
          <w:sz w:val="24"/>
          <w:lang w:val="cs-CZ"/>
        </w:rPr>
        <w:t>.</w:t>
      </w:r>
    </w:p>
  </w:footnote>
  <w:footnote w:id="6">
    <w:p w14:paraId="18B0A95A" w14:textId="3C4C3639" w:rsidR="00BB656E" w:rsidRPr="00F4550C" w:rsidRDefault="00BB656E" w:rsidP="00F4550C">
      <w:pPr>
        <w:pStyle w:val="FootnoteText"/>
        <w:ind w:left="567" w:hanging="567"/>
        <w:rPr>
          <w:sz w:val="24"/>
          <w:lang w:val="cs-CZ"/>
        </w:rPr>
      </w:pPr>
      <w:r w:rsidRPr="00F4550C">
        <w:rPr>
          <w:rStyle w:val="FootnoteReference"/>
          <w:sz w:val="24"/>
          <w:lang w:val="cs-CZ"/>
        </w:rPr>
        <w:footnoteRef/>
      </w:r>
      <w:r w:rsidR="00F4550C" w:rsidRPr="00F4550C">
        <w:rPr>
          <w:sz w:val="24"/>
          <w:lang w:val="cs-CZ"/>
        </w:rPr>
        <w:t xml:space="preserve"> </w:t>
      </w:r>
      <w:r w:rsidR="00F4550C" w:rsidRPr="00F4550C">
        <w:rPr>
          <w:sz w:val="24"/>
          <w:lang w:val="cs-CZ"/>
        </w:rPr>
        <w:tab/>
      </w:r>
      <w:r w:rsidRPr="00F4550C">
        <w:rPr>
          <w:sz w:val="24"/>
          <w:lang w:val="cs-CZ"/>
        </w:rPr>
        <w:t xml:space="preserve">Úř. věst. C, C/2025/3151, 20.6.2025, ELI: </w:t>
      </w:r>
      <w:hyperlink r:id="rId6" w:tgtFrame="http://data.europa.eu/eli/C/2025/3151/oj" w:history="1">
        <w:r w:rsidRPr="00F4550C">
          <w:rPr>
            <w:rStyle w:val="Hyperlink"/>
            <w:sz w:val="24"/>
            <w:lang w:val="cs-CZ"/>
          </w:rPr>
          <w:t>http://data.europa.eu/eli/C/2025/3151/oj</w:t>
        </w:r>
      </w:hyperlink>
      <w:r w:rsidRPr="00F4550C">
        <w:rPr>
          <w:sz w:val="24"/>
          <w:lang w:val="cs-CZ"/>
        </w:rPr>
        <w:t>.</w:t>
      </w:r>
    </w:p>
  </w:footnote>
  <w:footnote w:id="7">
    <w:p w14:paraId="4C5D983E" w14:textId="040EEB10" w:rsidR="00BB656E" w:rsidRPr="00F4550C" w:rsidRDefault="00BB656E" w:rsidP="00F4550C">
      <w:pPr>
        <w:pStyle w:val="FootnoteText"/>
        <w:ind w:left="567" w:hanging="567"/>
        <w:rPr>
          <w:sz w:val="24"/>
          <w:lang w:val="cs-CZ"/>
        </w:rPr>
      </w:pPr>
      <w:r w:rsidRPr="00F4550C">
        <w:rPr>
          <w:rStyle w:val="FootnoteReference"/>
          <w:sz w:val="24"/>
          <w:lang w:val="cs-CZ"/>
        </w:rPr>
        <w:footnoteRef/>
      </w:r>
      <w:r w:rsidR="00F4550C" w:rsidRPr="00F4550C">
        <w:rPr>
          <w:sz w:val="24"/>
          <w:lang w:val="cs-CZ"/>
        </w:rPr>
        <w:t xml:space="preserve"> </w:t>
      </w:r>
      <w:r w:rsidR="00F4550C" w:rsidRPr="00F4550C">
        <w:rPr>
          <w:sz w:val="24"/>
          <w:lang w:val="cs-CZ"/>
        </w:rPr>
        <w:tab/>
      </w:r>
      <w:r w:rsidRPr="00F4550C">
        <w:rPr>
          <w:sz w:val="24"/>
          <w:lang w:val="cs-CZ"/>
        </w:rPr>
        <w:t>Úř. věst. C 99, 1.3.2022, s. 105.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906EB" w14:textId="77777777" w:rsidR="00064002" w:rsidRPr="00F455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90657" w14:textId="77777777" w:rsidR="00064002" w:rsidRPr="00F455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F194C" w14:textId="77777777" w:rsidR="00064002" w:rsidRPr="00F455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hybridMultilevel"/>
    <w:tmpl w:val="00000001"/>
    <w:lvl w:ilvl="0" w:tplc="6BA060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E7BCB4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6D47E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2A2EE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A4ACEE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8A0CA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41E0DC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772DB8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C0034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2"/>
    <w:multiLevelType w:val="hybridMultilevel"/>
    <w:tmpl w:val="00000001"/>
    <w:lvl w:ilvl="0" w:tplc="71EE4538">
      <w:start w:val="1"/>
      <w:numFmt w:val="bullet"/>
      <w:pStyle w:val="Normal12Bullet2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5B689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E5495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2265A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8BA05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8EC87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11625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4623C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C6276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0894586">
    <w:abstractNumId w:val="9"/>
  </w:num>
  <w:num w:numId="2" w16cid:durableId="151916505">
    <w:abstractNumId w:val="9"/>
  </w:num>
  <w:num w:numId="3" w16cid:durableId="227883024">
    <w:abstractNumId w:val="7"/>
  </w:num>
  <w:num w:numId="4" w16cid:durableId="2123380953">
    <w:abstractNumId w:val="7"/>
  </w:num>
  <w:num w:numId="5" w16cid:durableId="786583632">
    <w:abstractNumId w:val="6"/>
  </w:num>
  <w:num w:numId="6" w16cid:durableId="1120487726">
    <w:abstractNumId w:val="6"/>
  </w:num>
  <w:num w:numId="7" w16cid:durableId="2106076848">
    <w:abstractNumId w:val="5"/>
  </w:num>
  <w:num w:numId="8" w16cid:durableId="2058312452">
    <w:abstractNumId w:val="5"/>
  </w:num>
  <w:num w:numId="9" w16cid:durableId="2084913182">
    <w:abstractNumId w:val="4"/>
  </w:num>
  <w:num w:numId="10" w16cid:durableId="2075395607">
    <w:abstractNumId w:val="4"/>
  </w:num>
  <w:num w:numId="11" w16cid:durableId="707991320">
    <w:abstractNumId w:val="8"/>
  </w:num>
  <w:num w:numId="12" w16cid:durableId="1704133422">
    <w:abstractNumId w:val="8"/>
  </w:num>
  <w:num w:numId="13" w16cid:durableId="1202353511">
    <w:abstractNumId w:val="3"/>
  </w:num>
  <w:num w:numId="14" w16cid:durableId="1994984578">
    <w:abstractNumId w:val="3"/>
  </w:num>
  <w:num w:numId="15" w16cid:durableId="862934729">
    <w:abstractNumId w:val="2"/>
  </w:num>
  <w:num w:numId="16" w16cid:durableId="966082358">
    <w:abstractNumId w:val="2"/>
  </w:num>
  <w:num w:numId="17" w16cid:durableId="1705322108">
    <w:abstractNumId w:val="1"/>
  </w:num>
  <w:num w:numId="18" w16cid:durableId="453522386">
    <w:abstractNumId w:val="1"/>
  </w:num>
  <w:num w:numId="19" w16cid:durableId="1231620048">
    <w:abstractNumId w:val="0"/>
  </w:num>
  <w:num w:numId="20" w16cid:durableId="2142647982">
    <w:abstractNumId w:val="0"/>
  </w:num>
  <w:num w:numId="21" w16cid:durableId="1921018561">
    <w:abstractNumId w:val="9"/>
  </w:num>
  <w:num w:numId="22" w16cid:durableId="947860001">
    <w:abstractNumId w:val="7"/>
  </w:num>
  <w:num w:numId="23" w16cid:durableId="1661735849">
    <w:abstractNumId w:val="6"/>
  </w:num>
  <w:num w:numId="24" w16cid:durableId="1032152530">
    <w:abstractNumId w:val="5"/>
  </w:num>
  <w:num w:numId="25" w16cid:durableId="1696543129">
    <w:abstractNumId w:val="4"/>
  </w:num>
  <w:num w:numId="26" w16cid:durableId="1807435274">
    <w:abstractNumId w:val="8"/>
  </w:num>
  <w:num w:numId="27" w16cid:durableId="1019353893">
    <w:abstractNumId w:val="3"/>
  </w:num>
  <w:num w:numId="28" w16cid:durableId="1623070245">
    <w:abstractNumId w:val="2"/>
  </w:num>
  <w:num w:numId="29" w16cid:durableId="1657486979">
    <w:abstractNumId w:val="1"/>
  </w:num>
  <w:num w:numId="30" w16cid:durableId="1166629216">
    <w:abstractNumId w:val="0"/>
  </w:num>
  <w:num w:numId="31" w16cid:durableId="1839467905">
    <w:abstractNumId w:val="9"/>
  </w:num>
  <w:num w:numId="32" w16cid:durableId="460154706">
    <w:abstractNumId w:val="7"/>
  </w:num>
  <w:num w:numId="33" w16cid:durableId="102455137">
    <w:abstractNumId w:val="6"/>
  </w:num>
  <w:num w:numId="34" w16cid:durableId="863399365">
    <w:abstractNumId w:val="5"/>
  </w:num>
  <w:num w:numId="35" w16cid:durableId="1807120001">
    <w:abstractNumId w:val="4"/>
  </w:num>
  <w:num w:numId="36" w16cid:durableId="887061417">
    <w:abstractNumId w:val="8"/>
  </w:num>
  <w:num w:numId="37" w16cid:durableId="1607080878">
    <w:abstractNumId w:val="3"/>
  </w:num>
  <w:num w:numId="38" w16cid:durableId="435294034">
    <w:abstractNumId w:val="2"/>
  </w:num>
  <w:num w:numId="39" w16cid:durableId="1989703659">
    <w:abstractNumId w:val="1"/>
  </w:num>
  <w:num w:numId="40" w16cid:durableId="279800098">
    <w:abstractNumId w:val="0"/>
  </w:num>
  <w:num w:numId="41" w16cid:durableId="1476414670">
    <w:abstractNumId w:val="12"/>
  </w:num>
  <w:num w:numId="42" w16cid:durableId="854273196">
    <w:abstractNumId w:val="12"/>
  </w:num>
  <w:num w:numId="43" w16cid:durableId="1063597962">
    <w:abstractNumId w:val="12"/>
  </w:num>
  <w:num w:numId="44" w16cid:durableId="417989915">
    <w:abstractNumId w:val="13"/>
  </w:num>
  <w:num w:numId="45" w16cid:durableId="82773788">
    <w:abstractNumId w:val="10"/>
  </w:num>
  <w:num w:numId="46" w16cid:durableId="9047968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5/2026"/>
    <w:docVar w:name="dvlangue" w:val="CS"/>
    <w:docVar w:name="dvnumam" w:val="0"/>
    <w:docVar w:name="dvpe" w:val="778.180"/>
    <w:docVar w:name="dvrapporteur" w:val="Zpravodaj: "/>
    <w:docVar w:name="dvtitre" w:val="Usnesení Evropského parlamentu ze dne.... 2026 o strategických partnerstvích EU v oblasti obrany a bezpečnosti(2025/2119(INI))"/>
  </w:docVars>
  <w:rsids>
    <w:rsidRoot w:val="000452A6"/>
    <w:rsid w:val="00002272"/>
    <w:rsid w:val="00010AE3"/>
    <w:rsid w:val="000452A6"/>
    <w:rsid w:val="00064002"/>
    <w:rsid w:val="000677B9"/>
    <w:rsid w:val="000831BA"/>
    <w:rsid w:val="000A42CC"/>
    <w:rsid w:val="000C145D"/>
    <w:rsid w:val="000E7DD9"/>
    <w:rsid w:val="0010095E"/>
    <w:rsid w:val="00125B37"/>
    <w:rsid w:val="00187494"/>
    <w:rsid w:val="001F32AE"/>
    <w:rsid w:val="002767FF"/>
    <w:rsid w:val="002B18FE"/>
    <w:rsid w:val="002B5493"/>
    <w:rsid w:val="002B69D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C99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AE5"/>
    <w:rsid w:val="00786EC0"/>
    <w:rsid w:val="007D1690"/>
    <w:rsid w:val="007E22AD"/>
    <w:rsid w:val="00817416"/>
    <w:rsid w:val="00826BE2"/>
    <w:rsid w:val="00842779"/>
    <w:rsid w:val="00861EA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93A"/>
    <w:rsid w:val="00A778C7"/>
    <w:rsid w:val="00AB441E"/>
    <w:rsid w:val="00AB6293"/>
    <w:rsid w:val="00AE0928"/>
    <w:rsid w:val="00AF3B82"/>
    <w:rsid w:val="00B12E95"/>
    <w:rsid w:val="00B22876"/>
    <w:rsid w:val="00B558F0"/>
    <w:rsid w:val="00BB656E"/>
    <w:rsid w:val="00BD48FE"/>
    <w:rsid w:val="00BD7BD8"/>
    <w:rsid w:val="00BE6ADC"/>
    <w:rsid w:val="00C05BFE"/>
    <w:rsid w:val="00C23CD4"/>
    <w:rsid w:val="00C41A8E"/>
    <w:rsid w:val="00C61C0C"/>
    <w:rsid w:val="00C85589"/>
    <w:rsid w:val="00C941CB"/>
    <w:rsid w:val="00CC2357"/>
    <w:rsid w:val="00CF071A"/>
    <w:rsid w:val="00D058B8"/>
    <w:rsid w:val="00D266D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50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C97AEB"/>
  <w15:chartTrackingRefBased/>
  <w15:docId w15:val="{58963304-1A9A-44FE-897F-09C1712F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B656E"/>
    <w:rPr>
      <w:b/>
      <w:kern w:val="28"/>
      <w:sz w:val="28"/>
      <w:lang w:val="fr-FR" w:eastAsia="fr-FR"/>
    </w:rPr>
  </w:style>
  <w:style w:type="paragraph" w:styleId="TOCHeading">
    <w:name w:val="TOC Heading"/>
    <w:basedOn w:val="Normal"/>
    <w:next w:val="Normal"/>
    <w:uiPriority w:val="39"/>
    <w:unhideWhenUsed/>
    <w:qFormat/>
    <w:rsid w:val="00BB656E"/>
    <w:pPr>
      <w:widowControl/>
      <w:spacing w:after="240"/>
    </w:pPr>
    <w:rPr>
      <w:lang w:val="en-GB"/>
    </w:rPr>
  </w:style>
  <w:style w:type="paragraph" w:customStyle="1" w:styleId="TOCPage">
    <w:name w:val="TOC Page"/>
    <w:basedOn w:val="Normal"/>
    <w:rsid w:val="00BB656E"/>
    <w:pPr>
      <w:keepNext/>
      <w:widowControl/>
      <w:spacing w:after="240"/>
      <w:jc w:val="right"/>
    </w:pPr>
    <w:rPr>
      <w:rFonts w:ascii="Arial" w:hAnsi="Arial"/>
      <w:b/>
      <w:szCs w:val="24"/>
      <w:lang w:eastAsia="en-US"/>
    </w:rPr>
  </w:style>
  <w:style w:type="paragraph" w:customStyle="1" w:styleId="PageHeading">
    <w:name w:val="PageHeading"/>
    <w:basedOn w:val="Normal"/>
    <w:rsid w:val="00BB656E"/>
    <w:pPr>
      <w:keepNext/>
      <w:widowControl/>
      <w:spacing w:after="480"/>
      <w:jc w:val="center"/>
    </w:pPr>
    <w:rPr>
      <w:rFonts w:ascii="Arial" w:eastAsia="Arial" w:hAnsi="Arial" w:cs="Arial"/>
      <w:b/>
      <w:szCs w:val="24"/>
      <w:lang w:eastAsia="en-US"/>
    </w:rPr>
  </w:style>
  <w:style w:type="paragraph" w:customStyle="1" w:styleId="EPComma">
    <w:name w:val="EPComma"/>
    <w:basedOn w:val="Normal"/>
    <w:rsid w:val="00BB656E"/>
    <w:pPr>
      <w:widowControl/>
      <w:spacing w:before="480" w:after="240"/>
    </w:pPr>
    <w:rPr>
      <w:szCs w:val="24"/>
      <w:lang w:eastAsia="en-US"/>
    </w:rPr>
  </w:style>
  <w:style w:type="paragraph" w:customStyle="1" w:styleId="NormalBold">
    <w:name w:val="NormalBold"/>
    <w:basedOn w:val="Normal"/>
    <w:rsid w:val="00BB656E"/>
    <w:pPr>
      <w:widowControl/>
    </w:pPr>
    <w:rPr>
      <w:b/>
      <w:szCs w:val="24"/>
      <w:lang w:eastAsia="en-US"/>
    </w:rPr>
  </w:style>
  <w:style w:type="paragraph" w:customStyle="1" w:styleId="EPFooter2">
    <w:name w:val="EPFooter2"/>
    <w:basedOn w:val="Normal"/>
    <w:next w:val="Normal"/>
    <w:rsid w:val="00BB656E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Normal12a">
    <w:name w:val="Normal12a"/>
    <w:basedOn w:val="Normal"/>
    <w:rsid w:val="00BB656E"/>
    <w:pPr>
      <w:widowControl/>
      <w:spacing w:after="240"/>
    </w:pPr>
    <w:rPr>
      <w:szCs w:val="24"/>
      <w:lang w:eastAsia="en-US"/>
    </w:rPr>
  </w:style>
  <w:style w:type="paragraph" w:customStyle="1" w:styleId="CoverNormal24a">
    <w:name w:val="CoverNormal24a"/>
    <w:basedOn w:val="Normal"/>
    <w:rsid w:val="00BB656E"/>
    <w:pPr>
      <w:widowControl/>
      <w:spacing w:after="480"/>
      <w:ind w:left="1416"/>
    </w:pPr>
    <w:rPr>
      <w:szCs w:val="24"/>
      <w:lang w:eastAsia="en-US"/>
    </w:rPr>
  </w:style>
  <w:style w:type="paragraph" w:customStyle="1" w:styleId="CoverNormal">
    <w:name w:val="CoverNormal"/>
    <w:basedOn w:val="Normal"/>
    <w:rsid w:val="00BB656E"/>
    <w:pPr>
      <w:widowControl/>
      <w:ind w:left="1418"/>
    </w:pPr>
    <w:rPr>
      <w:szCs w:val="24"/>
      <w:lang w:eastAsia="en-US"/>
    </w:rPr>
  </w:style>
  <w:style w:type="paragraph" w:customStyle="1" w:styleId="CoverReference">
    <w:name w:val="CoverReference"/>
    <w:basedOn w:val="Normal"/>
    <w:rsid w:val="00BB656E"/>
    <w:pPr>
      <w:widowControl/>
      <w:spacing w:before="1080"/>
      <w:jc w:val="right"/>
    </w:pPr>
    <w:rPr>
      <w:rFonts w:ascii="Arial" w:hAnsi="Arial"/>
      <w:b/>
      <w:szCs w:val="24"/>
      <w:lang w:eastAsia="en-US"/>
    </w:rPr>
  </w:style>
  <w:style w:type="paragraph" w:customStyle="1" w:styleId="CoverDocType24a">
    <w:name w:val="CoverDocType24a"/>
    <w:basedOn w:val="Normal"/>
    <w:rsid w:val="00BB656E"/>
    <w:pPr>
      <w:widowControl/>
      <w:spacing w:after="480"/>
      <w:ind w:left="1416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CoverDate">
    <w:name w:val="CoverDate"/>
    <w:basedOn w:val="Normal"/>
    <w:rsid w:val="00BB656E"/>
    <w:pPr>
      <w:widowControl/>
      <w:spacing w:before="240" w:after="120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BB656E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EPBody">
    <w:name w:val="EPBody"/>
    <w:basedOn w:val="Normal"/>
    <w:rsid w:val="00BB656E"/>
    <w:pPr>
      <w:widowControl/>
      <w:jc w:val="center"/>
    </w:pPr>
    <w:rPr>
      <w:rFonts w:ascii="Arial" w:eastAsia="Arial" w:hAnsi="Arial" w:cs="Arial"/>
      <w:i/>
      <w:sz w:val="22"/>
      <w:szCs w:val="24"/>
      <w:lang w:eastAsia="en-US"/>
    </w:rPr>
  </w:style>
  <w:style w:type="paragraph" w:customStyle="1" w:styleId="EPFooter">
    <w:name w:val="EPFooter"/>
    <w:basedOn w:val="Normal"/>
    <w:rsid w:val="00BB656E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  <w:szCs w:val="24"/>
      <w:lang w:eastAsia="en-US"/>
    </w:rPr>
  </w:style>
  <w:style w:type="paragraph" w:customStyle="1" w:styleId="CoverNormal12a">
    <w:name w:val="CoverNormal12a"/>
    <w:basedOn w:val="Normal"/>
    <w:rsid w:val="00BB656E"/>
    <w:pPr>
      <w:widowControl/>
      <w:spacing w:after="240"/>
      <w:ind w:left="1418"/>
    </w:pPr>
    <w:rPr>
      <w:szCs w:val="24"/>
      <w:lang w:eastAsia="en-US"/>
    </w:rPr>
  </w:style>
  <w:style w:type="paragraph" w:customStyle="1" w:styleId="LegendSign">
    <w:name w:val="LegendSign"/>
    <w:basedOn w:val="Normal"/>
    <w:rsid w:val="00BB656E"/>
    <w:pPr>
      <w:widowControl/>
      <w:tabs>
        <w:tab w:val="right" w:pos="454"/>
        <w:tab w:val="left" w:pos="736"/>
      </w:tabs>
      <w:ind w:left="736" w:hanging="736"/>
    </w:pPr>
    <w:rPr>
      <w:sz w:val="18"/>
      <w:szCs w:val="24"/>
      <w:lang w:eastAsia="en-US"/>
    </w:rPr>
  </w:style>
  <w:style w:type="paragraph" w:customStyle="1" w:styleId="LegendStandard">
    <w:name w:val="LegendStandard"/>
    <w:basedOn w:val="LegendSign"/>
    <w:rsid w:val="00BB656E"/>
    <w:pPr>
      <w:ind w:left="0" w:firstLine="0"/>
    </w:pPr>
  </w:style>
  <w:style w:type="paragraph" w:customStyle="1" w:styleId="LegendTitle">
    <w:name w:val="LegendTitle"/>
    <w:basedOn w:val="Normal"/>
    <w:rsid w:val="00BB656E"/>
    <w:pPr>
      <w:widowControl/>
      <w:spacing w:before="240" w:after="240"/>
    </w:pPr>
    <w:rPr>
      <w:b/>
      <w:i/>
      <w:szCs w:val="24"/>
      <w:lang w:eastAsia="en-US"/>
    </w:rPr>
  </w:style>
  <w:style w:type="character" w:customStyle="1" w:styleId="EPFooter2Motto">
    <w:name w:val="EPFooter2Motto"/>
    <w:rsid w:val="00BB656E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rsid w:val="00BB656E"/>
    <w:pPr>
      <w:widowControl/>
      <w:spacing w:before="240"/>
    </w:pPr>
    <w:rPr>
      <w:szCs w:val="24"/>
      <w:lang w:eastAsia="en-US"/>
    </w:rPr>
  </w:style>
  <w:style w:type="paragraph" w:customStyle="1" w:styleId="PMissingStyle">
    <w:name w:val="P_MissingStyle"/>
    <w:basedOn w:val="Normal"/>
    <w:rsid w:val="00BB656E"/>
    <w:pPr>
      <w:widowControl/>
    </w:pPr>
    <w:rPr>
      <w:color w:val="FFFFFF"/>
      <w:szCs w:val="24"/>
      <w:lang w:eastAsia="en-US"/>
    </w:rPr>
  </w:style>
  <w:style w:type="character" w:customStyle="1" w:styleId="CMissingStyle">
    <w:name w:val="C_MissingStyle"/>
    <w:rsid w:val="00BB656E"/>
    <w:rPr>
      <w:color w:val="FFFFFF"/>
      <w:sz w:val="22"/>
    </w:rPr>
  </w:style>
  <w:style w:type="paragraph" w:customStyle="1" w:styleId="Normal12">
    <w:name w:val="Normal12"/>
    <w:basedOn w:val="Normal"/>
    <w:rsid w:val="00BB656E"/>
    <w:pPr>
      <w:widowControl/>
      <w:spacing w:after="240"/>
    </w:pPr>
    <w:rPr>
      <w:szCs w:val="24"/>
      <w:lang w:eastAsia="en-US"/>
    </w:rPr>
  </w:style>
  <w:style w:type="paragraph" w:customStyle="1" w:styleId="NormalHanging12a4">
    <w:name w:val="NormalHanging12a4"/>
    <w:basedOn w:val="NormalHanging12a3"/>
    <w:rsid w:val="00BB656E"/>
    <w:pPr>
      <w:ind w:left="2268"/>
    </w:pPr>
  </w:style>
  <w:style w:type="paragraph" w:customStyle="1" w:styleId="NormalHanging12a5">
    <w:name w:val="NormalHanging12a5"/>
    <w:basedOn w:val="NormalHanging12a4"/>
    <w:rsid w:val="00BB656E"/>
    <w:pPr>
      <w:ind w:left="2692"/>
    </w:pPr>
  </w:style>
  <w:style w:type="paragraph" w:customStyle="1" w:styleId="NormalHanging12a6">
    <w:name w:val="NormalHanging12a6"/>
    <w:basedOn w:val="NormalHanging12a5"/>
    <w:rsid w:val="00BB656E"/>
    <w:pPr>
      <w:ind w:left="3118"/>
    </w:pPr>
  </w:style>
  <w:style w:type="paragraph" w:customStyle="1" w:styleId="NormalHanging12a7">
    <w:name w:val="NormalHanging12a7"/>
    <w:basedOn w:val="NormalHanging12a6"/>
    <w:rsid w:val="00BB656E"/>
    <w:pPr>
      <w:ind w:left="3544"/>
    </w:pPr>
  </w:style>
  <w:style w:type="paragraph" w:customStyle="1" w:styleId="NormalHanging12a1">
    <w:name w:val="NormalHanging12a1"/>
    <w:basedOn w:val="Normal"/>
    <w:rsid w:val="00BB656E"/>
    <w:pPr>
      <w:widowControl/>
      <w:spacing w:after="240"/>
      <w:ind w:left="992" w:hanging="424"/>
    </w:pPr>
    <w:rPr>
      <w:szCs w:val="24"/>
      <w:lang w:eastAsia="en-US"/>
    </w:rPr>
  </w:style>
  <w:style w:type="paragraph" w:customStyle="1" w:styleId="NormalHanging12a2">
    <w:name w:val="NormalHanging12a2"/>
    <w:basedOn w:val="NormalHanging12a1"/>
    <w:rsid w:val="00BB656E"/>
    <w:pPr>
      <w:ind w:left="1416"/>
    </w:pPr>
  </w:style>
  <w:style w:type="paragraph" w:customStyle="1" w:styleId="NormalHanging12a3">
    <w:name w:val="NormalHanging12a3"/>
    <w:basedOn w:val="NormalHanging12a2"/>
    <w:rsid w:val="00BB656E"/>
    <w:pPr>
      <w:ind w:left="1842"/>
    </w:pPr>
  </w:style>
  <w:style w:type="paragraph" w:customStyle="1" w:styleId="NormalHanging">
    <w:name w:val="NormalHanging"/>
    <w:basedOn w:val="Normal"/>
    <w:rsid w:val="00BB656E"/>
    <w:pPr>
      <w:widowControl/>
      <w:spacing w:after="240"/>
      <w:ind w:left="566" w:hanging="566"/>
    </w:pPr>
    <w:rPr>
      <w:szCs w:val="24"/>
      <w:lang w:eastAsia="en-US"/>
    </w:rPr>
  </w:style>
  <w:style w:type="character" w:customStyle="1" w:styleId="FooterChar">
    <w:name w:val="Footer Char"/>
    <w:rsid w:val="00BB656E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rsid w:val="00BB656E"/>
    <w:pPr>
      <w:widowControl/>
      <w:spacing w:after="240"/>
    </w:pPr>
    <w:rPr>
      <w:b/>
      <w:szCs w:val="24"/>
      <w:lang w:eastAsia="en-US"/>
    </w:rPr>
  </w:style>
  <w:style w:type="paragraph" w:customStyle="1" w:styleId="NormalCenter12a">
    <w:name w:val="NormalCenter12a"/>
    <w:basedOn w:val="Normal"/>
    <w:rsid w:val="00BB656E"/>
    <w:pPr>
      <w:widowControl/>
      <w:spacing w:after="240"/>
      <w:jc w:val="center"/>
    </w:pPr>
    <w:rPr>
      <w:szCs w:val="24"/>
      <w:lang w:eastAsia="en-US"/>
    </w:rPr>
  </w:style>
  <w:style w:type="paragraph" w:customStyle="1" w:styleId="Normal12BoldUnderline">
    <w:name w:val="Normal12BoldUnderline"/>
    <w:basedOn w:val="Normal"/>
    <w:rsid w:val="00BB656E"/>
    <w:pPr>
      <w:widowControl/>
      <w:spacing w:before="480"/>
    </w:pPr>
    <w:rPr>
      <w:b/>
      <w:szCs w:val="24"/>
      <w:u w:val="single"/>
      <w:lang w:eastAsia="en-US"/>
    </w:rPr>
  </w:style>
  <w:style w:type="paragraph" w:customStyle="1" w:styleId="Normal12Bullet2">
    <w:name w:val="Normal12Bullet2"/>
    <w:basedOn w:val="Normal"/>
    <w:rsid w:val="00BB656E"/>
    <w:pPr>
      <w:widowControl/>
      <w:numPr>
        <w:numId w:val="46"/>
      </w:numPr>
    </w:pPr>
    <w:rPr>
      <w:szCs w:val="24"/>
      <w:lang w:eastAsia="en-US"/>
    </w:rPr>
  </w:style>
  <w:style w:type="paragraph" w:customStyle="1" w:styleId="NormalHangingJustified">
    <w:name w:val="NormalHangingJustified"/>
    <w:basedOn w:val="Normal"/>
    <w:rsid w:val="00BB656E"/>
    <w:pPr>
      <w:widowControl/>
      <w:spacing w:after="240"/>
      <w:ind w:left="714" w:hanging="356"/>
      <w:jc w:val="both"/>
    </w:pPr>
    <w:rPr>
      <w:szCs w:val="24"/>
      <w:lang w:eastAsia="en-US"/>
    </w:rPr>
  </w:style>
  <w:style w:type="paragraph" w:customStyle="1" w:styleId="NormalCenter">
    <w:name w:val="NormalCenter"/>
    <w:basedOn w:val="Normal"/>
    <w:rsid w:val="00BB656E"/>
    <w:pPr>
      <w:widowControl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BB656E"/>
    <w:rPr>
      <w:color w:val="0000FF"/>
      <w:u w:val="single"/>
    </w:rPr>
  </w:style>
  <w:style w:type="paragraph" w:styleId="Header">
    <w:name w:val="header"/>
    <w:basedOn w:val="Normal"/>
    <w:link w:val="HeaderChar"/>
    <w:rsid w:val="00BB656E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BB656E"/>
    <w:rPr>
      <w:sz w:val="24"/>
      <w:szCs w:val="24"/>
      <w:lang w:val="cs-CZ"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BB656E"/>
    <w:rPr>
      <w:sz w:val="24"/>
      <w:szCs w:val="24"/>
      <w:lang w:val="cs-CZ" w:eastAsia="en-US"/>
    </w:rPr>
  </w:style>
  <w:style w:type="paragraph" w:customStyle="1" w:styleId="Normal24a">
    <w:name w:val="Normal24a"/>
    <w:basedOn w:val="Normal"/>
    <w:rsid w:val="00BB656E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BB656E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BB656E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BB656E"/>
    <w:rPr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656E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BB656E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BB656E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BB656E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BB656E"/>
    <w:pPr>
      <w:spacing w:before="120" w:after="120"/>
    </w:pPr>
    <w:rPr>
      <w:snapToGrid w:val="0"/>
      <w:sz w:val="16"/>
      <w:lang w:val="en-GB" w:eastAsia="en-US"/>
    </w:rPr>
  </w:style>
  <w:style w:type="paragraph" w:styleId="Footer">
    <w:name w:val="footer"/>
    <w:basedOn w:val="Normal"/>
    <w:link w:val="FooterChar1"/>
    <w:rsid w:val="00BB656E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FooterChar1">
    <w:name w:val="Footer Char1"/>
    <w:basedOn w:val="DefaultParagraphFont"/>
    <w:link w:val="Footer"/>
    <w:rsid w:val="00BB656E"/>
    <w:rPr>
      <w:sz w:val="24"/>
      <w:szCs w:val="24"/>
      <w:lang w:val="cs-CZ" w:eastAsia="en-US"/>
    </w:rPr>
  </w:style>
  <w:style w:type="character" w:customStyle="1" w:styleId="Bold">
    <w:name w:val="Bold"/>
    <w:uiPriority w:val="1"/>
    <w:rsid w:val="00BB656E"/>
    <w:rPr>
      <w:b/>
      <w:bCs w:val="0"/>
    </w:rPr>
  </w:style>
  <w:style w:type="paragraph" w:styleId="Revision">
    <w:name w:val="Revision"/>
    <w:hidden/>
    <w:uiPriority w:val="99"/>
    <w:semiHidden/>
    <w:rsid w:val="00826BE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CS/ALL/?uri=CELEX:52025PC0188%23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697/oj" TargetMode="External"/><Relationship Id="rId2" Type="http://schemas.openxmlformats.org/officeDocument/2006/relationships/hyperlink" Target="http://data.europa.eu/eli/dec/2024/890/oj" TargetMode="External"/><Relationship Id="rId1" Type="http://schemas.openxmlformats.org/officeDocument/2006/relationships/hyperlink" Target="http://data.europa.eu/eli/dec/2017/2315/oj" TargetMode="External"/><Relationship Id="rId6" Type="http://schemas.openxmlformats.org/officeDocument/2006/relationships/hyperlink" Target="http://data.europa.eu/eli/C/2025/3151/oj" TargetMode="External"/><Relationship Id="rId5" Type="http://schemas.openxmlformats.org/officeDocument/2006/relationships/hyperlink" Target="http://data.europa.eu/eli/C/2025/4389/oj" TargetMode="External"/><Relationship Id="rId4" Type="http://schemas.openxmlformats.org/officeDocument/2006/relationships/hyperlink" Target="http://data.europa.eu/eli/reg/2025/11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5250</Words>
  <Characters>32067</Characters>
  <Application>Microsoft Office Word</Application>
  <DocSecurity>0</DocSecurity>
  <Lines>267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2026-03-18T11:47:00Z</dcterms:created>
  <dcterms:modified xsi:type="dcterms:W3CDTF">2026-03-18T11:47:00Z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A10-0005/2026</vt:lpwstr>
  </property>
  <property fmtid="{D5CDD505-2E9C-101B-9397-08002B2CF9AE}" pid="4" name="&lt;Type&gt;">
    <vt:lpwstr>RR</vt:lpwstr>
  </property>
</Properties>
</file>