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0305" w14:paraId="44F58C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EE72FC" w14:textId="77777777" w:rsidR="00751A4A" w:rsidRPr="00EA0305" w:rsidRDefault="00010F70" w:rsidP="0010095E">
            <w:pPr>
              <w:pStyle w:val="EPName"/>
            </w:pPr>
            <w:r w:rsidRPr="00EA0305">
              <w:t>Europski parlament</w:t>
            </w:r>
          </w:p>
          <w:p w14:paraId="0ABE152D" w14:textId="77777777" w:rsidR="00751A4A" w:rsidRPr="00EA030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0305">
              <w:t>2024</w:t>
            </w:r>
            <w:r w:rsidR="00817416" w:rsidRPr="00EA0305">
              <w:t>-202</w:t>
            </w:r>
            <w:r w:rsidRPr="00EA0305">
              <w:t>9</w:t>
            </w:r>
          </w:p>
        </w:tc>
        <w:tc>
          <w:tcPr>
            <w:tcW w:w="2268" w:type="dxa"/>
            <w:shd w:val="clear" w:color="auto" w:fill="auto"/>
          </w:tcPr>
          <w:p w14:paraId="393F1AD7" w14:textId="77777777" w:rsidR="00751A4A" w:rsidRPr="00EA0305" w:rsidRDefault="00187494" w:rsidP="0010095E">
            <w:pPr>
              <w:pStyle w:val="EPLogo"/>
            </w:pPr>
            <w:r w:rsidRPr="00EA0305">
              <w:rPr>
                <w:noProof/>
                <w:lang w:eastAsia="ja-JP"/>
              </w:rPr>
              <w:drawing>
                <wp:inline distT="0" distB="0" distL="0" distR="0" wp14:anchorId="7E72E7F8" wp14:editId="193A1F6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1B5DD8" w14:textId="77777777" w:rsidR="00D058B8" w:rsidRPr="00EA0305" w:rsidRDefault="00D058B8" w:rsidP="004C5D52">
      <w:pPr>
        <w:pStyle w:val="LineTop"/>
      </w:pPr>
    </w:p>
    <w:p w14:paraId="03EBF76C" w14:textId="77777777" w:rsidR="00680577" w:rsidRPr="00EA0305" w:rsidRDefault="00010F70" w:rsidP="00680577">
      <w:pPr>
        <w:pStyle w:val="EPBodyTA1"/>
      </w:pPr>
      <w:r w:rsidRPr="00EA0305">
        <w:t>USVOJENI TEKSTOVI</w:t>
      </w:r>
    </w:p>
    <w:p w14:paraId="0E7F9672" w14:textId="77777777" w:rsidR="00D058B8" w:rsidRPr="00EA0305" w:rsidRDefault="00D058B8" w:rsidP="00D058B8">
      <w:pPr>
        <w:pStyle w:val="LineBottom"/>
      </w:pPr>
    </w:p>
    <w:p w14:paraId="4FBB4D55" w14:textId="09485A3D" w:rsidR="00010F70" w:rsidRPr="00EA0305" w:rsidRDefault="00010F70" w:rsidP="00010F70">
      <w:pPr>
        <w:pStyle w:val="ATHeading1"/>
      </w:pPr>
      <w:bookmarkStart w:id="0" w:name="TANumber"/>
      <w:r w:rsidRPr="00EA0305">
        <w:t>P10_TA(2026)00</w:t>
      </w:r>
      <w:r w:rsidR="007E27A1">
        <w:t>4</w:t>
      </w:r>
      <w:r w:rsidRPr="00EA0305">
        <w:t>0</w:t>
      </w:r>
      <w:bookmarkEnd w:id="0"/>
    </w:p>
    <w:p w14:paraId="5F929F60" w14:textId="1F917346" w:rsidR="00010F70" w:rsidRPr="002F4CF4" w:rsidRDefault="002F4CF4" w:rsidP="00010F70">
      <w:pPr>
        <w:pStyle w:val="ATHeading2"/>
        <w:rPr>
          <w:szCs w:val="28"/>
        </w:rPr>
      </w:pPr>
      <w:bookmarkStart w:id="1" w:name="title"/>
      <w:r w:rsidRPr="002F4CF4">
        <w:rPr>
          <w:szCs w:val="28"/>
          <w:shd w:val="clear" w:color="auto" w:fill="FFFFFF"/>
        </w:rPr>
        <w:t>Strateška partnerstva EU-a u području obrane i sigurnosti</w:t>
      </w:r>
      <w:bookmarkEnd w:id="1"/>
    </w:p>
    <w:p w14:paraId="16F91C7D" w14:textId="77777777" w:rsidR="00010F70" w:rsidRPr="00EA0305" w:rsidRDefault="00010F70" w:rsidP="00010F70">
      <w:pPr>
        <w:rPr>
          <w:i/>
          <w:vanish/>
        </w:rPr>
      </w:pPr>
      <w:r w:rsidRPr="00EA0305">
        <w:rPr>
          <w:i/>
        </w:rPr>
        <w:fldChar w:fldCharType="begin"/>
      </w:r>
      <w:r w:rsidRPr="00EA0305">
        <w:rPr>
          <w:i/>
        </w:rPr>
        <w:instrText xml:space="preserve"> TC"(</w:instrText>
      </w:r>
      <w:bookmarkStart w:id="2" w:name="DocNumber"/>
      <w:r w:rsidRPr="00EA0305">
        <w:rPr>
          <w:i/>
        </w:rPr>
        <w:instrText>A10-0005/2026</w:instrText>
      </w:r>
      <w:bookmarkEnd w:id="2"/>
      <w:r w:rsidRPr="00EA0305">
        <w:rPr>
          <w:i/>
        </w:rPr>
        <w:instrText xml:space="preserve"> - Izvjestitelj: </w:instrText>
      </w:r>
      <w:proofErr w:type="spellStart"/>
      <w:r w:rsidRPr="00EA0305">
        <w:rPr>
          <w:i/>
        </w:rPr>
        <w:instrText>Michał</w:instrText>
      </w:r>
      <w:proofErr w:type="spellEnd"/>
      <w:r w:rsidRPr="00EA0305">
        <w:rPr>
          <w:i/>
        </w:rPr>
        <w:instrText xml:space="preserve"> </w:instrText>
      </w:r>
      <w:proofErr w:type="spellStart"/>
      <w:r w:rsidRPr="00EA0305">
        <w:rPr>
          <w:i/>
        </w:rPr>
        <w:instrText>Szczerba</w:instrText>
      </w:r>
      <w:proofErr w:type="spellEnd"/>
      <w:r w:rsidRPr="00EA0305">
        <w:rPr>
          <w:i/>
        </w:rPr>
        <w:instrText xml:space="preserve">)"\l3 \n&gt; \* MERGEFORMAT </w:instrText>
      </w:r>
      <w:r w:rsidRPr="00EA0305">
        <w:rPr>
          <w:i/>
        </w:rPr>
        <w:fldChar w:fldCharType="end"/>
      </w:r>
    </w:p>
    <w:p w14:paraId="6DC6AF7D" w14:textId="77777777" w:rsidR="00010F70" w:rsidRPr="00EA0305" w:rsidRDefault="00010F70" w:rsidP="00010F70">
      <w:pPr>
        <w:rPr>
          <w:vanish/>
        </w:rPr>
      </w:pPr>
      <w:bookmarkStart w:id="3" w:name="Commission"/>
      <w:r w:rsidRPr="00EA0305">
        <w:rPr>
          <w:vanish/>
        </w:rPr>
        <w:t>Odbor za sigurnost i obranu</w:t>
      </w:r>
      <w:bookmarkEnd w:id="3"/>
    </w:p>
    <w:p w14:paraId="7A474492" w14:textId="77777777" w:rsidR="00010F70" w:rsidRPr="00EA0305" w:rsidRDefault="00010F70" w:rsidP="00010F70">
      <w:pPr>
        <w:rPr>
          <w:vanish/>
        </w:rPr>
      </w:pPr>
      <w:bookmarkStart w:id="4" w:name="PE"/>
      <w:r w:rsidRPr="00EA0305">
        <w:rPr>
          <w:vanish/>
        </w:rPr>
        <w:t>PE778.180</w:t>
      </w:r>
      <w:bookmarkEnd w:id="4"/>
    </w:p>
    <w:p w14:paraId="1B1E801D" w14:textId="387216E2" w:rsidR="00010F70" w:rsidRPr="00EA0305" w:rsidRDefault="00010F70" w:rsidP="00010F70">
      <w:pPr>
        <w:pStyle w:val="ATHeading3"/>
      </w:pPr>
      <w:bookmarkStart w:id="5" w:name="Sujet"/>
      <w:r w:rsidRPr="00EA0305">
        <w:t xml:space="preserve">Rezolucija Europskog parlamenta od </w:t>
      </w:r>
      <w:r w:rsidR="00EA0305">
        <w:t>11</w:t>
      </w:r>
      <w:r w:rsidRPr="00EA0305">
        <w:t xml:space="preserve">. </w:t>
      </w:r>
      <w:r w:rsidR="00EA0305">
        <w:t xml:space="preserve">veljače </w:t>
      </w:r>
      <w:r w:rsidRPr="00EA0305">
        <w:t>2026. o strateškim partnerstvima EU-a u području obrane i sigurnosti</w:t>
      </w:r>
      <w:bookmarkEnd w:id="5"/>
      <w:r w:rsidRPr="00EA0305">
        <w:t xml:space="preserve"> </w:t>
      </w:r>
      <w:bookmarkStart w:id="6" w:name="References"/>
      <w:r w:rsidRPr="00EA0305">
        <w:t>(2025/2119(INI))</w:t>
      </w:r>
      <w:bookmarkEnd w:id="6"/>
    </w:p>
    <w:p w14:paraId="4D77D5EB" w14:textId="77777777" w:rsidR="005E3094" w:rsidRPr="00EA0305" w:rsidRDefault="005E3094" w:rsidP="00040A03">
      <w:pPr>
        <w:pStyle w:val="Normal12"/>
        <w:spacing w:before="240"/>
      </w:pPr>
      <w:r w:rsidRPr="00EA0305">
        <w:rPr>
          <w:i/>
        </w:rPr>
        <w:t>Europski parlament</w:t>
      </w:r>
      <w:r w:rsidRPr="00EA0305">
        <w:t>,</w:t>
      </w:r>
    </w:p>
    <w:p w14:paraId="09567D9A" w14:textId="7777777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Ugovor o funkcioniranju Europske unije i glavu V. Ugovora o Europskoj uniji (UEU), a posebno odredbe o zajedničkoj sigurnosnoj i obrambenoj politici (ZSOP),</w:t>
      </w:r>
    </w:p>
    <w:p w14:paraId="561D3FA1" w14:textId="7777777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„Strateški kompas za sigurnost i obranu – za Europsku uniju koja štiti svoje građane, vrijednosti i interese te doprinosi međunarodnom miru i sigurnosti”, koji je Vijeće usvojilo 21. ožujka 2022.,</w:t>
      </w:r>
    </w:p>
    <w:p w14:paraId="3B1EF6A7" w14:textId="7777777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Izjavu iz Versaillesa donesenu na neformalnom sastanku čelnika država i vlada održanom 10. i 11. ožujka 2022.,</w:t>
      </w:r>
    </w:p>
    <w:p w14:paraId="2DE9457A" w14:textId="309E32B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Odluku Vijeća (ZVSP) 2017/2315 od 11. prosinca 2017. o uspostavi stalne strukturirane suradnje (PESCO) i utvrđivanju popisa država članica sudionica</w:t>
      </w:r>
      <w:r w:rsidR="004831FF">
        <w:rPr>
          <w:rStyle w:val="FootnoteReference"/>
        </w:rPr>
        <w:footnoteReference w:id="1"/>
      </w:r>
      <w:r w:rsidRPr="00EA0305">
        <w:t>,</w:t>
      </w:r>
    </w:p>
    <w:p w14:paraId="691B26DE" w14:textId="2893EEBD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Odluku Vijeća (ZVSP) 2024/890 od 18. ožujka 2024. o izmjeni Odluke (ZVSP) 2021/509 o uspostavi Europskog instrumenta mirovne pomoći</w:t>
      </w:r>
      <w:r w:rsidR="004831FF">
        <w:rPr>
          <w:rStyle w:val="FootnoteReference"/>
        </w:rPr>
        <w:footnoteReference w:id="2"/>
      </w:r>
      <w:r w:rsidRPr="00EA0305">
        <w:t>,</w:t>
      </w:r>
    </w:p>
    <w:p w14:paraId="51AF12C6" w14:textId="77777777" w:rsidR="005E3094" w:rsidRPr="00EA0305" w:rsidRDefault="005E3094" w:rsidP="005E3094">
      <w:pPr>
        <w:pStyle w:val="NormalHanging12a"/>
      </w:pPr>
      <w:r w:rsidRPr="00EA0305">
        <w:t>–</w:t>
      </w:r>
      <w:r w:rsidRPr="00EA0305">
        <w:tab/>
        <w:t>uzimajući u obzir zaključke Europskog vijeća, posebno one od 23. listopada 2025., 26. lipnja 2025., 20. ožujka 2025. i 6. ožujka 2025.,</w:t>
      </w:r>
    </w:p>
    <w:p w14:paraId="447026FF" w14:textId="77777777" w:rsidR="005E3094" w:rsidRPr="00EA0305" w:rsidRDefault="005E3094" w:rsidP="005E3094">
      <w:pPr>
        <w:pStyle w:val="NormalHanging"/>
      </w:pPr>
      <w:r w:rsidRPr="00EA0305">
        <w:rPr>
          <w:i/>
        </w:rPr>
        <w:t>–</w:t>
      </w:r>
      <w:r w:rsidRPr="00EA0305">
        <w:rPr>
          <w:i/>
        </w:rPr>
        <w:tab/>
      </w:r>
      <w:r w:rsidRPr="00EA0305">
        <w:t xml:space="preserve">uzimajući u obzir partnerstva u području sigurnosti i obrane koja su 21. svibnja 2024. potpisali EU i </w:t>
      </w:r>
      <w:proofErr w:type="spellStart"/>
      <w:r w:rsidRPr="00EA0305">
        <w:t>Moldova</w:t>
      </w:r>
      <w:proofErr w:type="spellEnd"/>
      <w:r w:rsidRPr="00EA0305">
        <w:t>, 28. svibnja 2024. EU i Norveška, 1. studenoga 2024. EU i Japan, 4. studenoga 2024. EU i Južna Koreja, 19. studenoga 2024. EU i Sjeverna Makedonija, 18. prosinca 2024. EU i Albanija, 19. svibnja 2025. EU i Ujedinjena Kraljevina te 23. lipnja 2025. EU i Kanada,</w:t>
      </w:r>
    </w:p>
    <w:p w14:paraId="1D94E226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rPr>
          <w:b/>
          <w:i/>
        </w:rPr>
        <w:lastRenderedPageBreak/>
        <w:t>–</w:t>
      </w:r>
      <w:r w:rsidRPr="00EA0305">
        <w:rPr>
          <w:b/>
          <w:i/>
        </w:rPr>
        <w:tab/>
      </w:r>
      <w:r w:rsidRPr="00EA0305">
        <w:t>uzimajući u obzir zajedničke obveze u području sigurnosti koje su EU i Ukrajina potpisali 27. lipnja 2024.;</w:t>
      </w:r>
    </w:p>
    <w:p w14:paraId="73B499A7" w14:textId="49A7A882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Uredbu (EU) 2021/697 Europskog parlamenta i Vijeća od 29. travnja 2021. o uspostavi Europskog fonda za obranu i stavljanju izvan snage Uredbe (EU) 2018/1092</w:t>
      </w:r>
      <w:r w:rsidR="004831FF">
        <w:rPr>
          <w:rStyle w:val="FootnoteReference"/>
        </w:rPr>
        <w:footnoteReference w:id="3"/>
      </w:r>
      <w:r w:rsidRPr="00EA0305">
        <w:t>,</w:t>
      </w:r>
    </w:p>
    <w:p w14:paraId="7277914D" w14:textId="7777777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Bijelu knjigu o europskoj obrambenoj spremnosti 2030., koju je predsjednica Europske komisije predstavila 19. ožujka 2025., i njezin plan financiranja od pet dijelova „</w:t>
      </w:r>
      <w:proofErr w:type="spellStart"/>
      <w:r w:rsidRPr="00EA0305">
        <w:t>ReArm</w:t>
      </w:r>
      <w:proofErr w:type="spellEnd"/>
      <w:r w:rsidRPr="00EA0305">
        <w:t xml:space="preserve"> Europe”,</w:t>
      </w:r>
    </w:p>
    <w:p w14:paraId="700E3E11" w14:textId="20274FC9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 xml:space="preserve">uzimajući u obzir Komisijin Prijedlog uredbe Europskog parlamenta i Vijeća od 22. travnja 2025. o izmjeni uredaba (EU) 2021/694, (EU) 2021/695, (EU) 2021/697, (EU) 2021/1153, (EU) 2023/1525 i </w:t>
      </w:r>
      <w:r w:rsidR="003141E7" w:rsidRPr="00EA0305">
        <w:t xml:space="preserve">(EU) </w:t>
      </w:r>
      <w:r w:rsidRPr="00EA0305">
        <w:t xml:space="preserve">2024/795 u pogledu poticanja ulaganja u obranu u okviru proračuna EU-a radi provedbe plana </w:t>
      </w:r>
      <w:proofErr w:type="spellStart"/>
      <w:r w:rsidRPr="00EA0305">
        <w:t>ReArm</w:t>
      </w:r>
      <w:proofErr w:type="spellEnd"/>
      <w:r w:rsidRPr="00EA0305">
        <w:t xml:space="preserve"> Europe (</w:t>
      </w:r>
      <w:r w:rsidRPr="002F4CF4">
        <w:t>COM(2025)0188</w:t>
      </w:r>
      <w:r w:rsidRPr="00EA0305">
        <w:t>),</w:t>
      </w:r>
    </w:p>
    <w:p w14:paraId="6D6FFF32" w14:textId="77777777" w:rsidR="005E3094" w:rsidRPr="00EA0305" w:rsidRDefault="005E3094" w:rsidP="005E3094">
      <w:pPr>
        <w:pStyle w:val="NormalHanging12a"/>
      </w:pPr>
      <w:r w:rsidRPr="00EA0305">
        <w:t>–</w:t>
      </w:r>
      <w:r w:rsidRPr="00EA0305">
        <w:tab/>
        <w:t>uzimajući u obzir Uredbu Vijeća (EU) 2025/1106 od 27. svibnja 2025. o uspostavi Instrumenta za sigurnosne mjere za Europu (SAFE) putem jačanja europske obrambene industrije</w:t>
      </w:r>
      <w:r w:rsidRPr="00EA0305">
        <w:rPr>
          <w:rStyle w:val="FootnoteReference"/>
        </w:rPr>
        <w:footnoteReference w:id="4"/>
      </w:r>
      <w:r w:rsidRPr="00EA0305">
        <w:t>,</w:t>
      </w:r>
    </w:p>
    <w:p w14:paraId="7C9E0617" w14:textId="7777777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komunikaciju Komisije od 17. lipnja 2025. naslovljenu „Skupni paket za obrambenu pripravnost” (COM(2025)0820), čiji je cilj pojednostavnjenje relevantnih pravnih i administrativnih okvira za jačanje obrambene pripravnosti EU-a,</w:t>
      </w:r>
    </w:p>
    <w:p w14:paraId="555C93F8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rPr>
          <w:b/>
          <w:i/>
        </w:rPr>
        <w:t>–</w:t>
      </w:r>
      <w:r w:rsidRPr="00EA0305">
        <w:rPr>
          <w:b/>
          <w:i/>
        </w:rPr>
        <w:tab/>
      </w:r>
      <w:r w:rsidRPr="00EA0305">
        <w:t>uzimajući u obzir zajedničku komunikaciju Komisije i visoke predstavnice Unije za vanjske poslove i sigurnosnu politiku od 16. listopada 2025. naslovljenu „Očuvanje mira – Plan za obrambenu pripravnost do 2030.” (JOIN(2025)0027),</w:t>
      </w:r>
    </w:p>
    <w:p w14:paraId="5BA5756C" w14:textId="7777777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 xml:space="preserve">uzimajući u obzir izvješće Marija </w:t>
      </w:r>
      <w:proofErr w:type="spellStart"/>
      <w:r w:rsidRPr="00EA0305">
        <w:t>Draghija</w:t>
      </w:r>
      <w:proofErr w:type="spellEnd"/>
      <w:r w:rsidRPr="00EA0305">
        <w:t xml:space="preserve"> od 9. rujna 2024. naslovljeno „Budućnost europske konkurentnosti”,</w:t>
      </w:r>
    </w:p>
    <w:p w14:paraId="75969263" w14:textId="7777777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 xml:space="preserve">uzimajući u obzir izvješće </w:t>
      </w:r>
      <w:proofErr w:type="spellStart"/>
      <w:r w:rsidRPr="00EA0305">
        <w:t>Saulija</w:t>
      </w:r>
      <w:proofErr w:type="spellEnd"/>
      <w:r w:rsidRPr="00EA0305">
        <w:t xml:space="preserve"> </w:t>
      </w:r>
      <w:proofErr w:type="spellStart"/>
      <w:r w:rsidRPr="00EA0305">
        <w:t>Niinistöa</w:t>
      </w:r>
      <w:proofErr w:type="spellEnd"/>
      <w:r w:rsidRPr="00EA0305">
        <w:t xml:space="preserve"> od 30. listopada 2024. naslovljeno „</w:t>
      </w:r>
      <w:proofErr w:type="spellStart"/>
      <w:r w:rsidRPr="00EA0305">
        <w:t>Safer</w:t>
      </w:r>
      <w:proofErr w:type="spellEnd"/>
      <w:r w:rsidRPr="00EA0305">
        <w:t xml:space="preserve"> </w:t>
      </w:r>
      <w:proofErr w:type="spellStart"/>
      <w:r w:rsidRPr="00EA0305">
        <w:t>Together</w:t>
      </w:r>
      <w:proofErr w:type="spellEnd"/>
      <w:r w:rsidRPr="00EA0305">
        <w:t xml:space="preserve">: </w:t>
      </w:r>
      <w:proofErr w:type="spellStart"/>
      <w:r w:rsidRPr="00EA0305">
        <w:t>Strengthening</w:t>
      </w:r>
      <w:proofErr w:type="spellEnd"/>
      <w:r w:rsidRPr="00EA0305">
        <w:t xml:space="preserve"> </w:t>
      </w:r>
      <w:proofErr w:type="spellStart"/>
      <w:r w:rsidRPr="00EA0305">
        <w:t>Europe’s</w:t>
      </w:r>
      <w:proofErr w:type="spellEnd"/>
      <w:r w:rsidRPr="00EA0305">
        <w:t xml:space="preserve"> </w:t>
      </w:r>
      <w:proofErr w:type="spellStart"/>
      <w:r w:rsidRPr="00EA0305">
        <w:t>Civilian</w:t>
      </w:r>
      <w:proofErr w:type="spellEnd"/>
      <w:r w:rsidRPr="00EA0305">
        <w:t xml:space="preserve"> </w:t>
      </w:r>
      <w:proofErr w:type="spellStart"/>
      <w:r w:rsidRPr="00EA0305">
        <w:t>and</w:t>
      </w:r>
      <w:proofErr w:type="spellEnd"/>
      <w:r w:rsidRPr="00EA0305">
        <w:t xml:space="preserve"> </w:t>
      </w:r>
      <w:proofErr w:type="spellStart"/>
      <w:r w:rsidRPr="00EA0305">
        <w:t>Military</w:t>
      </w:r>
      <w:proofErr w:type="spellEnd"/>
      <w:r w:rsidRPr="00EA0305">
        <w:t xml:space="preserve"> </w:t>
      </w:r>
      <w:proofErr w:type="spellStart"/>
      <w:r w:rsidRPr="00EA0305">
        <w:t>Preparedness</w:t>
      </w:r>
      <w:proofErr w:type="spellEnd"/>
      <w:r w:rsidRPr="00EA0305">
        <w:t xml:space="preserve"> </w:t>
      </w:r>
      <w:proofErr w:type="spellStart"/>
      <w:r w:rsidRPr="00EA0305">
        <w:t>and</w:t>
      </w:r>
      <w:proofErr w:type="spellEnd"/>
      <w:r w:rsidRPr="00EA0305">
        <w:t xml:space="preserve"> </w:t>
      </w:r>
      <w:proofErr w:type="spellStart"/>
      <w:r w:rsidRPr="00EA0305">
        <w:t>Readiness</w:t>
      </w:r>
      <w:proofErr w:type="spellEnd"/>
      <w:r w:rsidRPr="00EA0305">
        <w:t>” (Sigurniji zajedno: jačanje europske civilne i vojne spremnosti i pripravnosti),</w:t>
      </w:r>
    </w:p>
    <w:p w14:paraId="2C7ADE38" w14:textId="7777777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tri zajedničke izjave o suradnji EU-a i NATO-a koje su 10. siječnja 2023., 5. prosinca 2018. i 6. prosinca 2016. potpisali predsjednici Europskog vijeća i Komisije te glavni tajnik NATO-a,</w:t>
      </w:r>
    </w:p>
    <w:p w14:paraId="00ABE6BC" w14:textId="7777777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Strateški koncept NATO-a usvojen na sastanku na vrhu u Madridu 29. lipnja 2022.,</w:t>
      </w:r>
    </w:p>
    <w:p w14:paraId="5DBF6C59" w14:textId="7777777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izjavu sa sastanka na vrhu u Haagu od 25. lipnja 2025.,</w:t>
      </w:r>
    </w:p>
    <w:p w14:paraId="13AC7910" w14:textId="7777777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svoju Rezoluciju od 2. travnja 2025. o provedbi zajedničke sigurnosne i obrambene politike – godišnje izvješće za 2024.</w:t>
      </w:r>
      <w:r w:rsidRPr="00EA0305">
        <w:rPr>
          <w:rStyle w:val="FootnoteReference"/>
        </w:rPr>
        <w:footnoteReference w:id="5"/>
      </w:r>
      <w:r w:rsidRPr="00EA0305">
        <w:t>,</w:t>
      </w:r>
    </w:p>
    <w:p w14:paraId="5AAD1AE0" w14:textId="77777777" w:rsidR="005E3094" w:rsidRPr="00EA0305" w:rsidRDefault="005E3094" w:rsidP="005E3094">
      <w:pPr>
        <w:pStyle w:val="NormalHanging"/>
      </w:pPr>
      <w:r w:rsidRPr="00EA0305">
        <w:lastRenderedPageBreak/>
        <w:t>–</w:t>
      </w:r>
      <w:r w:rsidRPr="00EA0305">
        <w:tab/>
        <w:t>uzimajući u obzir svoju Rezoluciju od 12. ožujka 2025. o Bijeloj knjizi o budućnosti europske obrane</w:t>
      </w:r>
      <w:r w:rsidRPr="00EA0305">
        <w:rPr>
          <w:rStyle w:val="FootnoteReference"/>
        </w:rPr>
        <w:footnoteReference w:id="6"/>
      </w:r>
      <w:r w:rsidRPr="00EA0305">
        <w:t>,</w:t>
      </w:r>
    </w:p>
    <w:p w14:paraId="3DECE8D4" w14:textId="7777777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svoju Rezoluciju od 7. srpnja 2021. o suradnji EU-a i NATO-a u kontekstu transatlantskih odnosa</w:t>
      </w:r>
      <w:r w:rsidRPr="00EA0305">
        <w:rPr>
          <w:rStyle w:val="FootnoteReference"/>
        </w:rPr>
        <w:footnoteReference w:id="7"/>
      </w:r>
      <w:r w:rsidRPr="00EA0305">
        <w:t>,</w:t>
      </w:r>
    </w:p>
    <w:p w14:paraId="44ACE49B" w14:textId="7777777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zajedničku komunikaciju Komisije i visokog predstavnika Unije za vanjske poslove i sigurnosnu politiku od 5. ožujka 2024. naslovljenu „Nova strategija za europsku obrambenu industriju: postizanje pripravnosti EU-a uz pomoć fleksibilne i otporne europske obrambene industrije” (JOIN(2024)0010),</w:t>
      </w:r>
    </w:p>
    <w:p w14:paraId="37CAF51C" w14:textId="4FF4E381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 xml:space="preserve">uzimajući u obzir političke smjernice za sljedeću Europsku komisiju 2024. – 2029. naslovljene „Izbor za Europu”, koje je kandidatkinja za predsjednicu Europske komisije Ursula von </w:t>
      </w:r>
      <w:proofErr w:type="spellStart"/>
      <w:r w:rsidRPr="00EA0305">
        <w:t>der</w:t>
      </w:r>
      <w:proofErr w:type="spellEnd"/>
      <w:r w:rsidRPr="00EA0305">
        <w:t xml:space="preserve"> </w:t>
      </w:r>
      <w:proofErr w:type="spellStart"/>
      <w:r w:rsidRPr="00EA0305">
        <w:t>Leyen</w:t>
      </w:r>
      <w:proofErr w:type="spellEnd"/>
      <w:r w:rsidRPr="00EA0305">
        <w:t xml:space="preserve"> objavila 18. srpnja 202</w:t>
      </w:r>
      <w:r w:rsidR="002F4CF4">
        <w:t>4</w:t>
      </w:r>
      <w:r w:rsidRPr="00EA0305">
        <w:t>.,</w:t>
      </w:r>
    </w:p>
    <w:p w14:paraId="002A151B" w14:textId="7777777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Zajedničku izjavu o suradnji UN-a i EU-a u upravljanju kriznim situacijama koju su 24. rujna 2003. potpisali glavni tajnik Ujedinjenih naroda i predsjednik Europskog vijeća,</w:t>
      </w:r>
    </w:p>
    <w:p w14:paraId="69786FCB" w14:textId="77777777" w:rsidR="005E3094" w:rsidRPr="00EA0305" w:rsidRDefault="005E3094" w:rsidP="005E3094">
      <w:pPr>
        <w:pStyle w:val="NormalHanging"/>
      </w:pPr>
      <w:r w:rsidRPr="00EA0305">
        <w:rPr>
          <w:b/>
          <w:i/>
        </w:rPr>
        <w:t>–</w:t>
      </w:r>
      <w:r w:rsidRPr="00EA0305">
        <w:rPr>
          <w:b/>
          <w:i/>
        </w:rPr>
        <w:tab/>
      </w:r>
      <w:r w:rsidRPr="00EA0305">
        <w:t>uzimajući u obzir zajedničku komunikaciju Komisije i visokog predstavnika Unije za vanjske poslove i sigurnosnu politiku od 10. ožujka 2023. naslovljenu „Svemirska strategija Europske unije za sigurnost i obranu” (JOIN(2023)0009),</w:t>
      </w:r>
    </w:p>
    <w:p w14:paraId="4C65A76C" w14:textId="7777777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članak 55. Poslovnika,</w:t>
      </w:r>
    </w:p>
    <w:p w14:paraId="72D4B8F1" w14:textId="77777777" w:rsidR="005E3094" w:rsidRPr="00EA0305" w:rsidRDefault="005E3094" w:rsidP="005E3094">
      <w:pPr>
        <w:pStyle w:val="NormalHanging"/>
      </w:pPr>
      <w:r w:rsidRPr="00EA0305">
        <w:t>–</w:t>
      </w:r>
      <w:r w:rsidRPr="00EA0305">
        <w:tab/>
        <w:t>uzimajući u obzir izvješće Odbora za sigurnost i obranu (A10</w:t>
      </w:r>
      <w:r w:rsidRPr="00EA0305">
        <w:noBreakHyphen/>
        <w:t>0005/2026),</w:t>
      </w:r>
    </w:p>
    <w:p w14:paraId="65C7E62B" w14:textId="77777777" w:rsidR="005E3094" w:rsidRPr="00EA0305" w:rsidRDefault="005E3094" w:rsidP="005E3094">
      <w:pPr>
        <w:pStyle w:val="NormalHanging12a"/>
      </w:pPr>
      <w:r w:rsidRPr="00EA0305">
        <w:t>A.</w:t>
      </w:r>
      <w:r w:rsidRPr="00EA0305">
        <w:tab/>
        <w:t>budući da zbog trenutačnoga geopolitičkog konteksta, posebno zbog povratka rata na europski kontinent uslijed ruske agresije na Ukrajinu i posljedične odluke EU-a da preuzme veću odgovornost za sigurnost i obranu, uključujući vojnu potporu Ukrajini, EU mora uspostaviti snažnija, održiva i prilagođena partnerstva kako bi se poboljšala suradnja s partnerima sličnih stavova na obostranu korist; budući da zbog promjene vojne paradigme, u kombinaciji s porastom hibridnih prijetnji, sve regije EU-a podliježu riziku od agresije ili upletanja</w:t>
      </w:r>
      <w:r w:rsidRPr="007E27A1">
        <w:rPr>
          <w:bCs/>
        </w:rPr>
        <w:t>;</w:t>
      </w:r>
    </w:p>
    <w:p w14:paraId="40D5D9C3" w14:textId="77777777" w:rsidR="005E3094" w:rsidRPr="00EA0305" w:rsidRDefault="005E3094" w:rsidP="005E3094">
      <w:pPr>
        <w:pStyle w:val="NormalHanging12a"/>
        <w:rPr>
          <w:b/>
          <w:i/>
        </w:rPr>
      </w:pPr>
      <w:r w:rsidRPr="00EA0305">
        <w:t>B.</w:t>
      </w:r>
      <w:r w:rsidRPr="00EA0305">
        <w:tab/>
        <w:t>budući da rastuća uloga EU-a u području sigurnosti i obrane mora ostati u skladu s načelima i ciljevima vanjskog djelovanja EU-a na temelju članka 21. UEU-a, uključujući poštovanje Povelje UN-a, međunarodnog prava, sprječavanja sukoba, održivog razvoja, demokracije i ljudskih prava;</w:t>
      </w:r>
    </w:p>
    <w:p w14:paraId="670FD505" w14:textId="77777777" w:rsidR="005E3094" w:rsidRPr="00EA0305" w:rsidRDefault="005E3094" w:rsidP="005E3094">
      <w:pPr>
        <w:pStyle w:val="NormalHanging"/>
      </w:pPr>
      <w:r w:rsidRPr="00EA0305">
        <w:t>C.</w:t>
      </w:r>
      <w:r w:rsidRPr="00EA0305">
        <w:tab/>
        <w:t xml:space="preserve">budući da je EU i dalje u potpunosti predan promicanju međunarodne suradnje i jačanju učinkovitog </w:t>
      </w:r>
      <w:proofErr w:type="spellStart"/>
      <w:r w:rsidRPr="00EA0305">
        <w:t>multilateralizma</w:t>
      </w:r>
      <w:proofErr w:type="spellEnd"/>
      <w:r w:rsidRPr="00EA0305">
        <w:t xml:space="preserve"> na svim razinama;</w:t>
      </w:r>
    </w:p>
    <w:p w14:paraId="656C1015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D.</w:t>
      </w:r>
      <w:r w:rsidRPr="00EA0305">
        <w:tab/>
        <w:t>budući da je niz partnerstava i dijaloga o miru, sigurnosti i obrani na razini EU-a ključan izvor snage i otpornosti;</w:t>
      </w:r>
      <w:r w:rsidRPr="00EA0305">
        <w:rPr>
          <w:b/>
          <w:i/>
        </w:rPr>
        <w:t xml:space="preserve"> </w:t>
      </w:r>
      <w:r w:rsidRPr="00EA0305">
        <w:t>budući da bi se ta partnerstva trebala baviti najhitnijim potrebama i izazovima EU-a u području obrane;</w:t>
      </w:r>
    </w:p>
    <w:p w14:paraId="7DB1EBB6" w14:textId="77777777" w:rsidR="005E3094" w:rsidRPr="00EA0305" w:rsidRDefault="005E3094" w:rsidP="005E3094">
      <w:pPr>
        <w:pStyle w:val="NormalHanging"/>
      </w:pPr>
    </w:p>
    <w:p w14:paraId="2DACAF83" w14:textId="77777777" w:rsidR="005E3094" w:rsidRPr="00EA0305" w:rsidRDefault="005E3094" w:rsidP="005E3094">
      <w:pPr>
        <w:pStyle w:val="NormalHanging12a"/>
      </w:pPr>
      <w:r w:rsidRPr="00EA0305">
        <w:lastRenderedPageBreak/>
        <w:t>E.</w:t>
      </w:r>
      <w:r w:rsidRPr="00EA0305">
        <w:tab/>
        <w:t>budući da se u Strateškom kompasu poziva na proširenje i produbljivanje partnerstava s bilateralnim, regionalnim i multilateralnim partnerima diljem svijeta kako bi se osigurala uzajamna korist i pojačana suradnja, naglašavajući potrebu za interoperabilnošću, inovacijama i usklađenošću između okvira EU-a i NATO-a, kao i za pojačanom suradnjom s Ukrajinom i Sjedinjenim Američkim Državama kao ključnim partnerima za europsku i transatlantsku sigurnost;</w:t>
      </w:r>
    </w:p>
    <w:p w14:paraId="54D5FAF2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F.</w:t>
      </w:r>
      <w:r w:rsidRPr="00EA0305">
        <w:tab/>
        <w:t xml:space="preserve">budući da su porast aktivnosti organizacija za trgovinu ljudima i </w:t>
      </w:r>
      <w:proofErr w:type="spellStart"/>
      <w:r w:rsidRPr="00EA0305">
        <w:t>instrumentalizacija</w:t>
      </w:r>
      <w:proofErr w:type="spellEnd"/>
      <w:r w:rsidRPr="00EA0305">
        <w:t xml:space="preserve"> migracija ključni sigurnosni rizici za EU;</w:t>
      </w:r>
    </w:p>
    <w:p w14:paraId="30090542" w14:textId="77777777" w:rsidR="005E3094" w:rsidRPr="00EA0305" w:rsidRDefault="005E3094" w:rsidP="005E3094">
      <w:pPr>
        <w:pStyle w:val="NormalHanging12a"/>
      </w:pPr>
      <w:r w:rsidRPr="00EA0305">
        <w:t>G.</w:t>
      </w:r>
      <w:r w:rsidRPr="00EA0305">
        <w:tab/>
        <w:t>budući da bi se novim partnerstvima u području sigurnosti i obrane između EU-a i partnerskih zemalja trebalo nastojati osigurati najviše standarde europske sigurnosti na temelju stjecanja i jamčenja pristupa tehnološki najnaprednijim i najdjelotvornijim sustavima samoobrane;</w:t>
      </w:r>
    </w:p>
    <w:p w14:paraId="651B8BAB" w14:textId="77777777" w:rsidR="005E3094" w:rsidRPr="00EA0305" w:rsidRDefault="005E3094" w:rsidP="005E3094">
      <w:pPr>
        <w:pStyle w:val="NormalHanging12a"/>
        <w:rPr>
          <w:b/>
          <w:bCs/>
          <w:i/>
          <w:iCs/>
        </w:rPr>
      </w:pPr>
      <w:r w:rsidRPr="00EA0305">
        <w:rPr>
          <w:b/>
          <w:i/>
        </w:rPr>
        <w:t>Europsko sigurnosno okruženje</w:t>
      </w:r>
    </w:p>
    <w:p w14:paraId="6CC9FF07" w14:textId="77777777" w:rsidR="005E3094" w:rsidRPr="00EA0305" w:rsidRDefault="005E3094" w:rsidP="005E3094">
      <w:pPr>
        <w:pStyle w:val="NormalHanging12a"/>
      </w:pPr>
      <w:r w:rsidRPr="00EA0305">
        <w:t>1.</w:t>
      </w:r>
      <w:r w:rsidRPr="00EA0305">
        <w:tab/>
        <w:t xml:space="preserve">ističe da su partnerstva u području sigurnosti i obrane ključna za djelotvoran odgovor Europe na nove prijetnje, kao i za podržavanje ambicije EU-a u kontekstu jačanja njegove uloge globalnog strateškog aktera; ističe da su takva partnerstva, koja su uzajamno korisna te imaju jasan strateški fokus i ciljeve, ključna za EU kako bi postao </w:t>
      </w:r>
      <w:proofErr w:type="spellStart"/>
      <w:r w:rsidRPr="00EA0305">
        <w:t>suvereniji</w:t>
      </w:r>
      <w:proofErr w:type="spellEnd"/>
      <w:r w:rsidRPr="00EA0305">
        <w:t>, odgovorniji za vlastitu obranu i bolje opremljen za samostalno i koordinirano djelovanje i suočavanje s neposrednim i budućim izazovima i prijetnjama uz pristup od 360°; navodi da su ta partnerstva nužna, a ne fakultativna za EU; naglašava da bi predmetna partnerstva trebala ojačati stratešku autonomiju EU-a i ostati potpuno posvećena multilateralnoj suradnji, održavati komplementarnost s NATO-om te ojačati sposobnost EU-a da zajedno s partnerima sličnih stavova djeluje u cilju postizanja mira, stabilnosti i kolektivne sigurnosti;</w:t>
      </w:r>
    </w:p>
    <w:p w14:paraId="1C499C91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2.</w:t>
      </w:r>
      <w:r w:rsidRPr="00EA0305">
        <w:rPr>
          <w:b/>
          <w:i/>
        </w:rPr>
        <w:tab/>
      </w:r>
      <w:r w:rsidRPr="00EA0305">
        <w:t xml:space="preserve">napominje da je trenutačno sigurnosno stanje EU-a na najkritičnijoj razini od Drugog svjetskog rata te da se Unija suočava s velikim izazovima kao što su jačanje njezinih vojnih sposobnosti i infrastrukture kibernetičke sigurnosti, borba protiv hibridnih prijetnji, suzbijanje terorizma i zaštita kritične infrastrukture; naglašava da </w:t>
      </w:r>
      <w:proofErr w:type="spellStart"/>
      <w:r w:rsidRPr="00EA0305">
        <w:t>neoimperijalne</w:t>
      </w:r>
      <w:proofErr w:type="spellEnd"/>
      <w:r w:rsidRPr="00EA0305">
        <w:t xml:space="preserve"> težnje i revizionistički stav Rusije predstavljaju najznačajniju prijetnju sigurnosti EU-a te ističe hitnost jačanja obrambenih i </w:t>
      </w:r>
      <w:proofErr w:type="spellStart"/>
      <w:r w:rsidRPr="00EA0305">
        <w:t>odvraćajućih</w:t>
      </w:r>
      <w:proofErr w:type="spellEnd"/>
      <w:r w:rsidRPr="00EA0305">
        <w:t xml:space="preserve"> sposobnosti Unije; u tom kontekstu podsjeća na sve veće sigurnosne posljedice klimatskih promjena i uništavanja okoliša za kritičnu infrastrukturu, energetske sustave i pripravnost na krizu;</w:t>
      </w:r>
    </w:p>
    <w:p w14:paraId="4F08253E" w14:textId="77777777" w:rsidR="005E3094" w:rsidRPr="00EA0305" w:rsidRDefault="005E3094" w:rsidP="005E3094">
      <w:pPr>
        <w:pStyle w:val="NormalHanging12a"/>
      </w:pPr>
      <w:r w:rsidRPr="00EA0305">
        <w:t>3.</w:t>
      </w:r>
      <w:r w:rsidRPr="00EA0305">
        <w:tab/>
        <w:t xml:space="preserve">ističe da je ruska ratna agresija na Ukrajinu poslužila kao pouka Europi da više </w:t>
      </w:r>
      <w:proofErr w:type="spellStart"/>
      <w:r w:rsidRPr="00EA0305">
        <w:t>prioritizira</w:t>
      </w:r>
      <w:proofErr w:type="spellEnd"/>
      <w:r w:rsidRPr="00EA0305">
        <w:t xml:space="preserve"> sigurnost i obranu i ulaže u njih; ističe da Rusija nastavlja s agresijom na europskom kontinentu, među ostalim uz potporu svojih pomagača, kao što su režimi u Iranu, Sjevernoj Koreji i </w:t>
      </w:r>
      <w:proofErr w:type="spellStart"/>
      <w:r w:rsidRPr="00EA0305">
        <w:t>Bjelarusu</w:t>
      </w:r>
      <w:proofErr w:type="spellEnd"/>
      <w:r w:rsidRPr="00EA0305">
        <w:t xml:space="preserve">; prima na znanje zlonamjerne aktivnosti naših strateških konkurenata i sustavno hibridno ratovanje koje vode razni državni i nedržavni akteri, što predstavlja prijetnju europskoj sigurnosti i međunarodnom poretku utemeljenom na pravilima; naglašava posebne sigurnosne probleme država članica EU-a na istočnim granicama, koje se suočavaju s izravnim prijetnjama ruske agresije i hibridnog ratovanja; naglašava da je potrebno preispitati nastavak gospodarske suradnje između EU-a i Kine s obzirom na kinesku podršku ruskom ratnom gospodarstvu kako bi se, među ostalim mjerama, ojačala gospodarska otpornost EU-a smanjenjem rizika; ističe da EU mora reagirati na stratešku konkurenciju iz Kine koja je ključni facilitator i </w:t>
      </w:r>
      <w:r w:rsidRPr="00EA0305">
        <w:lastRenderedPageBreak/>
        <w:t>pobornik ruske ratne agresije, kao i na prelijevanje sukoba koji se odvijaju na Bliskom istoku i u Africi, uz istodobno rješavanje zajedničkih globalnih prijetnji i izazova;</w:t>
      </w:r>
    </w:p>
    <w:p w14:paraId="068988B4" w14:textId="77777777" w:rsidR="005E3094" w:rsidRPr="00EA0305" w:rsidRDefault="005E3094" w:rsidP="005E3094">
      <w:pPr>
        <w:pStyle w:val="NormalHanging12a"/>
      </w:pPr>
      <w:r w:rsidRPr="00EA0305">
        <w:t>4.</w:t>
      </w:r>
      <w:r w:rsidRPr="00EA0305">
        <w:tab/>
        <w:t>naglašava da se EU u okviru Strateškog kompasa obvezuje na koherentniju, dosljedniju i sveobuhvatniju suradnju sa svojim partnerima te na izgradnju uzajamno korisnih prilagođenih partnerstava koja se temelje na zajedničkim vrijednostima i interesima; naglašava važnost interoperabilnosti, zajedničke obuke i inovacija u obrambenoj industriji unutar tih partnerstava, posebno putem inicijativa kao što su Program za europsku obrambenu industriju i instrument SAFE;</w:t>
      </w:r>
    </w:p>
    <w:p w14:paraId="654E1850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5.</w:t>
      </w:r>
      <w:r w:rsidRPr="00EA0305">
        <w:tab/>
        <w:t xml:space="preserve">ističe činjenicu da se EU i njegove države članice i dalje snažno zalažu za međunarodni poredak utemeljen na pravilima, koji se zasniva na poštovanju međunarodnog prava, načelima Povelje UN-a te vrijednostima demokracije, ljudskih prava i vladavine prava, kako je utvrđeno u UEU-u; naglašava da ta predanost čini temelj vanjskog djelovanja EU-a i njegovih napora u kontekstu promicanja mira, stabilnosti, </w:t>
      </w:r>
      <w:proofErr w:type="spellStart"/>
      <w:r w:rsidRPr="00EA0305">
        <w:t>multilateralizma</w:t>
      </w:r>
      <w:proofErr w:type="spellEnd"/>
      <w:r w:rsidRPr="00EA0305">
        <w:t xml:space="preserve"> i blagostanja diljem svijeta; naglašava da bi partnerstva u području sigurnosti i obrane trebala uključivati sprječavanje sukoba, klimatsku sigurnost i održivost kao međusektorske prioritete;</w:t>
      </w:r>
    </w:p>
    <w:p w14:paraId="00079460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6.</w:t>
      </w:r>
      <w:r w:rsidRPr="00EA0305">
        <w:tab/>
        <w:t>zalaže se za redovito ažuriranje Strateškog kompasa kako bi strateška vizija i zajednički ciljevi EU-a uvijek bili usklađeni s najnovijim geopolitičkim, društvenim i tehnološkim razvojem; poziva Komisiju i Europsku službu za vanjsko djelovanje (ESVD) da uključe planiranje otpornosti u inicijative u području sigurnosti, uključujući kritičnu infrastrukturu, lance opskrbe i energetsku neovisnost;</w:t>
      </w:r>
    </w:p>
    <w:p w14:paraId="3DD3DC26" w14:textId="77777777" w:rsidR="005E3094" w:rsidRPr="00EA0305" w:rsidRDefault="005E3094" w:rsidP="005E3094">
      <w:pPr>
        <w:pStyle w:val="NormalHanging12a"/>
        <w:rPr>
          <w:b/>
          <w:bCs/>
          <w:i/>
          <w:iCs/>
        </w:rPr>
      </w:pPr>
      <w:r w:rsidRPr="00EA0305">
        <w:rPr>
          <w:b/>
          <w:i/>
        </w:rPr>
        <w:t>Ključna uloga strateškog partnerstva EU-a i NATO-a</w:t>
      </w:r>
    </w:p>
    <w:p w14:paraId="03B17D45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7.</w:t>
      </w:r>
      <w:r w:rsidRPr="00EA0305">
        <w:tab/>
        <w:t>ističe pojačano strateško partnerstvo s NATO-om, koje uključuje strukturirane dijaloge i pojačanu operativnu i sektorsku suradnju, posebno u područjima kao što su vojna mobilnost, pomorska sigurnost te obrambena industrija i razvoj sposobnosti, koji se uglavnom provode putem zajedničkih vježbi i suradnje osoblja, čime se jača europski stup NATO-a; naglašava da ta suradnja mora i dalje imati funkciju međusobnog jačanja te biti utemeljena na povjerenju, transparentnosti i poštovanju autonomije u donošenju odluka obiju organizacija; naglašava da su demokratska odgovornost i parlamentarni nadzor ključni kako bi se osiguralo da takva suradnja jača europsku i transatlantsku sigurnost; naglašava da su 23 od 27 država članica EU-a članice NATO-a i smatra da bi suradnju s europskim članicama NATO-a koje nisu članice EU-a trebalo ponovno potvrditi istraživanjem mogućnosti jačanja tih partnerstava;</w:t>
      </w:r>
    </w:p>
    <w:p w14:paraId="4B1F6A8D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8.</w:t>
      </w:r>
      <w:r w:rsidRPr="00EA0305">
        <w:rPr>
          <w:b/>
          <w:i/>
        </w:rPr>
        <w:tab/>
      </w:r>
      <w:r w:rsidRPr="00EA0305">
        <w:t>ističe da je NATO najuspješniji vojni i politički savez u modernoj povijesti, koji više od sedam desetljeća svojim članicama osigurava kolektivnu obranu, stabilnost i sigurnost; ističe da EU i NATO zajedno predstavljaju više od milijardu građana i obuhvaćaju neka od najvećih svjetskih gospodarstava te čine zajednicu koju ujedinjuju zajedničke demokratske vrijednosti i sigurnosni interesi; naglašava važnost institucionalizacije tog dijaloga putem redovitih savjetovanja između EU-a i NATO-a na ministarskoj razini, zajedničke izrade strateških predviđanja i koordiniranog planiranja odgovora na krize, uz istovremeno osiguravanje da politička koordinacija ide ukorak s operativnom suradnjom;</w:t>
      </w:r>
    </w:p>
    <w:p w14:paraId="0F477CB1" w14:textId="77777777" w:rsidR="005E3094" w:rsidRPr="00EA0305" w:rsidRDefault="005E3094" w:rsidP="005E3094">
      <w:pPr>
        <w:pStyle w:val="NormalHanging12a"/>
      </w:pPr>
      <w:r w:rsidRPr="00EA0305">
        <w:t>9.</w:t>
      </w:r>
      <w:r w:rsidRPr="00EA0305">
        <w:tab/>
        <w:t xml:space="preserve">ističe da je odnos EU-a s NATO-om prioritet i da ga treba nastaviti razvijati, posebno povećanom razmjenom informacija i obavještajnih podataka; naglašava da je suradnja </w:t>
      </w:r>
      <w:r w:rsidRPr="00EA0305">
        <w:lastRenderedPageBreak/>
        <w:t>EU-a i NATO-a ključna za odvraćanje, zaštitu kritične infrastrukture, vojnu mobilnost, energetske mreže, digitalne komunikacije, kibernetički, svemirski i obrambeni ekosustav te društvenu i demokratsku otpornost; poziva na potpunu provedbu zajedničkih izjava EU-a i NATO-a; nadalje, poziva države članice koje su i članice NATO-a da povećaju svoju predanost NATO-u;</w:t>
      </w:r>
    </w:p>
    <w:p w14:paraId="44874122" w14:textId="77777777" w:rsidR="005E3094" w:rsidRPr="00EA0305" w:rsidRDefault="005E3094" w:rsidP="005E3094">
      <w:pPr>
        <w:pStyle w:val="NormalHanging12a"/>
      </w:pPr>
      <w:r w:rsidRPr="00EA0305">
        <w:t>10.</w:t>
      </w:r>
      <w:r w:rsidRPr="00EA0305">
        <w:tab/>
        <w:t xml:space="preserve">naglašava da je NATO i dalje ključan kolektivni transatlantski obrambeni savez, pri čemu EU i NATO imaju komplementarne, usklađene i uzajamno </w:t>
      </w:r>
      <w:proofErr w:type="spellStart"/>
      <w:r w:rsidRPr="00EA0305">
        <w:t>osnažujuće</w:t>
      </w:r>
      <w:proofErr w:type="spellEnd"/>
      <w:r w:rsidRPr="00EA0305">
        <w:t xml:space="preserve"> uloge kako bi se zajamčila sigurnost u Europi i poboljšala međunarodna sigurnost, te potiče blisku suradnju i međusobno korisno partnerstvo sa Sjedinjenim Američkim Državama u tom području; naglašava da će snažniji i sposobniji EU u području sigurnosti i obrane pozitivno doprinijeti globalnoj i transatlantskoj sigurnosti; naglašava potrebu za snažnim obrambenim stupom EU-a u okviru NATO-a koji je sposoban djelovati autonomno, ali i nadopunjavati NATO, čime se jača transatlantsko partnerstvo i pružaju potrebna sigurnosna jamstva EU-u, njegovim državama članicama i međunarodnom poretku utemeljenom na pravilima; istodobno ističe da europska obrana mora biti samostalna i imati dovoljno snažnu sposobnost odvraćanja; upozorava na rizike koje predstavlja preusmjeravanje prioriteta u kontekstu američke vanjske politike, koje bi se moglo pretočiti u smanjenje obveza u području sigurnosti koje SAD ima prema Europi; stoga naglašava da EU treba razviti vlastite kapacitete planiranja i operativne kapacitete;</w:t>
      </w:r>
    </w:p>
    <w:p w14:paraId="13DA7CFC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11.</w:t>
      </w:r>
      <w:r w:rsidRPr="00EA0305">
        <w:tab/>
        <w:t xml:space="preserve">naglašava da jačanje europske sigurnosti ovisi o sposobnosti država članica da se opreme </w:t>
      </w:r>
      <w:proofErr w:type="spellStart"/>
      <w:r w:rsidRPr="00EA0305">
        <w:t>interoperabilnim</w:t>
      </w:r>
      <w:proofErr w:type="spellEnd"/>
      <w:r w:rsidRPr="00EA0305">
        <w:t xml:space="preserve"> vojnim instrumentima, koji su razvijeni zajednički u okviru europske obrambene industrije, kako bi se osigurao brz i djelotvoran odgovor na svaku prijetnju teritorijalnom integritetu i suverenitetu država članica EU-a; u tom kontekstu naglašava da se vojne sposobnosti moraju utvrditi u sinergiji s postupkom obrambenog planiranja NATO-a i u skladu s načelom jedinstvenog skupa snaga; napominje da EU ima ključnu ulogu u regulatornom okviru i ulaganjima usmjerenim na podupiranje industrijske konkurentnosti, tehnološkog razvoja i logistike europske obrane; naglašava da standardizacija ostaje ključni stup suradnje između EU-a i NATO-a kako bi se zajamčila interoperabilnost, komplementarnost napora i učinkovita upotreba sredstava te izbjeglo nepotrebno dupliciranje; poziva Komisiju i države članice da pojednostave i usklade propise koji se odnose na proizvodnju, certificiranje, prijenos, vojnu mobilnost i održavanje obrambenih materijala i sustava kako bi se izgradio konkurentan, otporan i integriran europski industrijski lanac opskrbe sposoban osigurati veću operativnu pripravnost te potpunu i učinkovitu interoperabilnost između EU-a i NATO-a;</w:t>
      </w:r>
    </w:p>
    <w:p w14:paraId="3FF99BE6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12.</w:t>
      </w:r>
      <w:r w:rsidRPr="00EA0305">
        <w:tab/>
        <w:t>ističe ulogu NATO-a kao globalnog aktera i pouzdanog partnera u naporima za neširenje oružja za masovno uništenje, kao što su nuklearno, kemijsko, biološko i radiološko oružje, te u borbi protiv globalnog terorizma;</w:t>
      </w:r>
    </w:p>
    <w:p w14:paraId="65DEA3EA" w14:textId="77777777" w:rsidR="005E3094" w:rsidRPr="00EA0305" w:rsidRDefault="005E3094" w:rsidP="005E3094">
      <w:pPr>
        <w:pStyle w:val="NormalHanging12a"/>
        <w:rPr>
          <w:b/>
          <w:bCs/>
          <w:i/>
          <w:iCs/>
        </w:rPr>
      </w:pPr>
      <w:r w:rsidRPr="00EA0305">
        <w:rPr>
          <w:b/>
          <w:i/>
        </w:rPr>
        <w:t>Nužnost partnerstava EU-a u području sigurnosti i obrane</w:t>
      </w:r>
    </w:p>
    <w:p w14:paraId="29432E49" w14:textId="77777777" w:rsidR="005E3094" w:rsidRPr="00EA0305" w:rsidRDefault="005E3094" w:rsidP="005E3094">
      <w:pPr>
        <w:pStyle w:val="NormalHanging12a"/>
      </w:pPr>
      <w:r w:rsidRPr="00EA0305">
        <w:t>13.</w:t>
      </w:r>
      <w:r w:rsidRPr="00EA0305">
        <w:tab/>
        <w:t>pozdravlja činjenicu da se EU pozicionira kao pouzdan globalni sigurnosni partner jačanjem svojeg ZSOP-a, među ostalim putem uzajamno korisnih partnerstava u području sigurnosti i obrane te dubljih bilateralnih i multilateralnih dijaloga; napominje da su partnerstva u području sigurnosti i obrane dosad uspostavljena s osam zemalja, dok ih je još nekoliko u pripremi, uključujući partnerstvo s Islandom; poziva na to da se u ta partnerstva uključi strukturirana industrijska suradnja usmjerena na povećanje proizvodnih kapaciteta u EU-u za ključna sredstva za obrambenu proizvodnju u kontekstu jačanja europske obrambene tehnološke i industrijske baze (EDTIB);</w:t>
      </w:r>
    </w:p>
    <w:p w14:paraId="11537E0A" w14:textId="77777777" w:rsidR="005E3094" w:rsidRPr="00EA0305" w:rsidRDefault="005E3094" w:rsidP="005E3094">
      <w:pPr>
        <w:pStyle w:val="NormalHanging12a"/>
      </w:pPr>
      <w:r w:rsidRPr="00EA0305">
        <w:lastRenderedPageBreak/>
        <w:t>14.</w:t>
      </w:r>
      <w:r w:rsidRPr="00EA0305">
        <w:tab/>
        <w:t>smatra da okvir partnerstava u području sigurnosti i obrane daje novi poticaj tekućim dijalozima o sigurnosti i obrani, kao i praktičnoj suradnji; naglašava da je važno ostvariti konkretne rezultate i doseći ključne faze u skladu s dogovorenim ciljnim datumima; ističe potrebu za praćenjem rezultata, bilateralnim revizijama i dijalogom o percepciji prijetnji u više domena i zajedničkim interesima, koji su ključni za provedbu partnerstava; naglašava važnost osiguravanja, putem partnerstava u području sigurnosti i obrane, pouzdane opskrbe kritičnim sirovinama koje su nužne za europsku obranu; poziva potpredsjednicu Komisije / visoku predstavnicu Unije za vanjske poslove i sigurnosnu politiku da Parlamentu redovito podnosi procjenu statusa provedbe partnerstava u području sigurnosti i obrane;</w:t>
      </w:r>
    </w:p>
    <w:p w14:paraId="4B16FF1A" w14:textId="77777777" w:rsidR="005E3094" w:rsidRPr="00EA0305" w:rsidRDefault="005E3094" w:rsidP="005E3094">
      <w:pPr>
        <w:pStyle w:val="NormalHanging12a"/>
      </w:pPr>
      <w:r w:rsidRPr="00EA0305">
        <w:t>15.</w:t>
      </w:r>
      <w:r w:rsidRPr="00EA0305">
        <w:tab/>
        <w:t>naglašava da partnerstva u području sigurnosti i obrane obuhvaćaju suradnju s misijama u okviru zajedničke sigurnosne i obrambene politike (ZSOP) s obzirom na to da su namijenjena stvaranju sinergija, poboljšanju interoperabilnosti i koordinacije te jačanju ukupnih sigurnosnih i obrambenih kapaciteta EU-a;</w:t>
      </w:r>
    </w:p>
    <w:p w14:paraId="4C456E7F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16.</w:t>
      </w:r>
      <w:r w:rsidRPr="00EA0305">
        <w:tab/>
        <w:t xml:space="preserve">ističe stratešku važnost i potrebu za </w:t>
      </w:r>
      <w:proofErr w:type="spellStart"/>
      <w:r w:rsidRPr="00EA0305">
        <w:t>prioritizacijom</w:t>
      </w:r>
      <w:proofErr w:type="spellEnd"/>
      <w:r w:rsidRPr="00EA0305">
        <w:t xml:space="preserve"> partnerstava u području sigurnosti i obrane potpisanih s Norveškom, Ujedinjenom Kraljevinom i Kanadom, koje su članice NATO-a i ključni obrambeni partneri EU-a; potiče produbljivanje tih partnerstava, među ostalim u području obrambene industrije, kibernetičkih i hibridnih prijetnji te pomorske sigurnosti i u izgradnji zajedničkih vojnih kapaciteta i poticanju bliže suradnje; naglašava da bi u okviru industrijske suradnje prednost trebalo dati projektima koji doprinose strateškoj autonomiji i otpornosti, osiguravajući pritom uravnoteženu geografsku raspodjelu ulaganja među državama članicama, s posebnim fokusom na istočnim granicama; potiče EU da sklopi slične sporazume i s drugim partnerima sličnih stavova, uključujući one koji nisu članovi NATO-a;</w:t>
      </w:r>
    </w:p>
    <w:p w14:paraId="1EACE71D" w14:textId="77777777" w:rsidR="005E3094" w:rsidRPr="00EA0305" w:rsidRDefault="005E3094" w:rsidP="005E3094">
      <w:pPr>
        <w:pStyle w:val="NormalHanging12a"/>
      </w:pPr>
      <w:r w:rsidRPr="00EA0305">
        <w:t>17.</w:t>
      </w:r>
      <w:r w:rsidRPr="00EA0305">
        <w:tab/>
        <w:t>ističe da je odnos EU-a i SAD-a i dalje okosnica europske sigurnosti i obrane; naglašava da je važno razmotriti uspostavu formaliziranog partnerstva u području sigurnosti i obrane sa Sjedinjenim Američkim Državama, koje bi bilo u skladu s interesima i vrijednostima EU-a te kojim bi se promicao međunarodni poredak utemeljen na pravilima; ističe potrebu za stalnim dijalogom i suradnjom u pogledu percepcija prijetnji; ponavlja da je naše partnerstvo sa Sjedinjenim Američkim Državama od strateške važnosti i poziva na produbljivanje te suradnje na uzajamno koristan način te na razmatranje mogućnosti za optimalnu suradnju među obrambenim industrijama;</w:t>
      </w:r>
    </w:p>
    <w:p w14:paraId="6A2B095E" w14:textId="77777777" w:rsidR="005E3094" w:rsidRPr="00EA0305" w:rsidRDefault="005E3094" w:rsidP="005E3094">
      <w:pPr>
        <w:pStyle w:val="NormalHanging12a"/>
      </w:pPr>
      <w:r w:rsidRPr="00EA0305">
        <w:t>18.</w:t>
      </w:r>
      <w:r w:rsidRPr="00EA0305">
        <w:tab/>
        <w:t>naglašava da, ako Ukrajina nije sigurna, ni Europa ne može biti sigurna; naglašava da je važno razmotriti uspostavu formaliziranog partnerstva u području sigurnosti i obrane s Ukrajinom; potvrđuje da je Ukrajina jedan od prioritetnih strateških partnera EU-a dok se priprema za pristupanje Uniji; ponavlja da će EU pružati kontinuiranu i održivu potporu koristeći se svim nužnim sredstvima kako bi se što prije osigurala pobjeda Ukrajine; ustraje u tome da EU mora doprinijeti čvrstim i pravno utemeljenim sigurnosnim jamstvima za Ukrajinu kako bi se spriječila daljnja ruska agresija; naglašava da je bliža suradnja između sektora obrambene industrije Ukrajine i EU-a prioritet, uključujući usklađivanje s europskim standardima i transparentnost; naglašava važnost partnerstava EU-a i zajedničke obveze Europske unije i Ukrajine, koje se sastoje od devet točaka, u koordinaciji pomoći Ukrajini; ponavlja svoj poziv na hitnu upotrebu zamrznute ruske imovine za potporu Ukrajini, u skladu s međunarodnim pravom; naglašava važnost sustavnog oslanjanja na spoznaje stečene na temelju operativnog iskustva Ukrajine, posebno u području bespilotnih letjelica / sustava bespilotnih zrakoplova i elektroničkog ratovanja;</w:t>
      </w:r>
    </w:p>
    <w:p w14:paraId="10134015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lastRenderedPageBreak/>
        <w:t>19.</w:t>
      </w:r>
      <w:r w:rsidRPr="00EA0305">
        <w:tab/>
        <w:t>poziva države članice da aktivno surađuju s Ukrajinom i s njom uspostave sinergije, posebno u području protuzračne i proturaketne obrane te ratovanja koje uključuje bespilotne letjelice i sustave za borbu protiv njih, prepoznajući revolucionarnu operativnu stručnost i napredne sposobnosti te zemlje, te da tako ojačaju obrambene sposobnosti EU-a i Ukrajine;</w:t>
      </w:r>
    </w:p>
    <w:p w14:paraId="4D8E0C71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20.</w:t>
      </w:r>
      <w:r w:rsidRPr="00EA0305">
        <w:tab/>
        <w:t xml:space="preserve">pohvaljuje sklapanje partnerstva u području sigurnosti i obrane između EU-a i </w:t>
      </w:r>
      <w:proofErr w:type="spellStart"/>
      <w:r w:rsidRPr="00EA0305">
        <w:t>Moldove</w:t>
      </w:r>
      <w:proofErr w:type="spellEnd"/>
      <w:r w:rsidRPr="00EA0305">
        <w:t xml:space="preserve"> 21. svibnja 2024. s naglaskom na suzbijanju hibridnih prijetnji;</w:t>
      </w:r>
    </w:p>
    <w:p w14:paraId="5D802856" w14:textId="5F27586D" w:rsidR="005E3094" w:rsidRPr="00EA0305" w:rsidRDefault="005E3094" w:rsidP="005E3094">
      <w:pPr>
        <w:pStyle w:val="NormalHanging12a"/>
        <w:rPr>
          <w:bCs/>
          <w:iCs/>
        </w:rPr>
      </w:pPr>
      <w:r w:rsidRPr="00EA0305">
        <w:t>21.</w:t>
      </w:r>
      <w:r w:rsidRPr="00EA0305">
        <w:tab/>
        <w:t xml:space="preserve">naglašava stratešku važnost partnerstava EU-a sa zemljama u </w:t>
      </w:r>
      <w:proofErr w:type="spellStart"/>
      <w:r w:rsidRPr="00EA0305">
        <w:t>indopacifičkoj</w:t>
      </w:r>
      <w:proofErr w:type="spellEnd"/>
      <w:r w:rsidRPr="00EA0305">
        <w:t xml:space="preserve"> regiji, kao što su Japan i Republika Koreja</w:t>
      </w:r>
      <w:r w:rsidR="007F3C71">
        <w:t xml:space="preserve"> te Indija</w:t>
      </w:r>
      <w:r w:rsidRPr="00EA0305">
        <w:t xml:space="preserve">, koje su već potpisale partnerstva u području sigurnosti i obrane, te potiče brzo zaključenje pregovora s Australijom i istraživanje daljnjih partnerstava s drugim zemljama u regiji, posebno Novim Zelandom; naglašava da su euroatlantski i </w:t>
      </w:r>
      <w:proofErr w:type="spellStart"/>
      <w:r w:rsidRPr="00EA0305">
        <w:t>indopacifički</w:t>
      </w:r>
      <w:proofErr w:type="spellEnd"/>
      <w:r w:rsidRPr="00EA0305">
        <w:t xml:space="preserve"> sigurnosni izazovi usko povezani; ističe potrebu za produbljivanjem suradnje u području sigurnosti i obrane s Tajvanom;</w:t>
      </w:r>
    </w:p>
    <w:p w14:paraId="18984A8E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22.</w:t>
      </w:r>
      <w:r w:rsidRPr="00EA0305">
        <w:tab/>
        <w:t>naglašava da je potrebno razmotriti pojačanu suradnju na različitim razinama i u raznim formatima u području energetske sigurnosti, povezanosti i zaštite kritične infrastrukture sa zemljama Kavkaza i središnje Azije; primjećuje stratešku važnost tih regija za diversifikaciju opskrbe energijom, razvoj sigurnih prometnih koridora i jačanje cjelokupne otpornosti Europe;</w:t>
      </w:r>
    </w:p>
    <w:p w14:paraId="2570DEDD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23.</w:t>
      </w:r>
      <w:r w:rsidRPr="00EA0305">
        <w:tab/>
        <w:t>ističe stratešku važnost regije Crnog mora za europsku sigurnost; poziva na pojačanu suradnju u području sigurnosti i obrane s partnerima sličnih stavova iz regije Crnog mora i na razvoj sveobuhvatne strategije EU-a za sigurnost na Crnome moru; podržava povećana ulaganja EU-a u pomorske kapacitete na Crnome moru, obranu obale i informiranost o pomorskom području;</w:t>
      </w:r>
    </w:p>
    <w:p w14:paraId="76227D61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24.</w:t>
      </w:r>
      <w:r w:rsidRPr="00EA0305">
        <w:tab/>
        <w:t>poziva države članice i ESVD da razmotre uspostavu dodatnih partnerstava u području sigurnosti i obrane, na temelju jasnih i uzajamno korisnih obveza, s drugim partnerima sličnih stavova koji dijele naše vrijednosti i predani su održavanju međunarodnog poretka utemeljenog na pravilima;</w:t>
      </w:r>
    </w:p>
    <w:p w14:paraId="2430DBD0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25.</w:t>
      </w:r>
      <w:r w:rsidRPr="00EA0305">
        <w:tab/>
        <w:t>naglašava važnost uspostavljanja strukturiranih partnerstava u području sigurnosti i obrane sa zemljama zapadnog Balkana, posebno Bosnom i Hercegovinom, u cilju poboljšanja regionalne stabilnosti, suzbijanja hibridnih prijetnji i jačanja sigurnosne strukture Europe u neposrednom susjedstvu EU-a; naglašava da bi se takva partnerstva trebala temeljiti na postojećem angažmanu ZSOP-a u regiji, uključujući operaciju EUFOR ALTHEA, političke i sigurnosne dijaloge te zajedničko sudjelovanje u misijama EU-a, uz istovremeno osiguravanje strateški usmjerenijeg i dugoročnijeg okvira za suradnju u područjima kao što su kibernetička otpornost, suzbijanje dezinformacija i izgradnja obrambenih kapaciteta;</w:t>
      </w:r>
    </w:p>
    <w:p w14:paraId="016D91DC" w14:textId="77777777" w:rsidR="005E3094" w:rsidRPr="00EA0305" w:rsidRDefault="005E3094" w:rsidP="005E3094">
      <w:pPr>
        <w:pStyle w:val="NormalHanging12a"/>
        <w:rPr>
          <w:b/>
          <w:i/>
        </w:rPr>
      </w:pPr>
      <w:r w:rsidRPr="00EA0305">
        <w:rPr>
          <w:b/>
          <w:i/>
        </w:rPr>
        <w:t>Razvoj partnerstva s UN-om i drugih multilateralnih partnerstava</w:t>
      </w:r>
    </w:p>
    <w:p w14:paraId="6381497C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26.</w:t>
      </w:r>
      <w:r w:rsidRPr="00EA0305">
        <w:tab/>
        <w:t xml:space="preserve">ističe važnost strateškog partnerstva EU-a i UN-a u pogledu mirovnih operacija i upravljanja krizama; pozdravlja nove prioritete strateškog partnerstva EU-a i UN-a za razdoblje 2025. – 2028. i naglašava potrebu za većom usklađenošću i djelotvornošću misija i operacija EU-a i UN-a, među ostalim na temelju postupaka zajedničkog planiranja i stečenih iskustava; poziva na punu provedbu i sustavnu integraciju Programa o ženama, miru i sigurnosti, u skladu s rezolucijom Vijeća sigurnosti UN-a </w:t>
      </w:r>
      <w:r w:rsidRPr="00EA0305">
        <w:lastRenderedPageBreak/>
        <w:t>br. 1325, posebno u pogledu zaštite civila, punog, ravnopravnog i smislenog sudjelovanja žena u mirovnim procesima te sprječavanja seksualnog nasilja povezanog sa sukobima; poziva na reformu funkcioniranja UN-a kako bi se osiguralo da misije i operacije budu učinkovite i postignu željeni učinak;</w:t>
      </w:r>
    </w:p>
    <w:p w14:paraId="71ED0C76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27.</w:t>
      </w:r>
      <w:r w:rsidRPr="00EA0305">
        <w:tab/>
        <w:t>napominje da EU i Afrička unija održavaju strateško partnerstvo, posebno u području mira i sigurnosti; naglašava potrebu za produbljivanjem strateških partnerstava s drugim regionalnim organizacijama, uključujući Organizaciju za europsku sigurnost i suradnju, Udruženje država jugoistočne Azije, Ligu arapskih država, Vijeće za suradnju u Zaljevu i Organizaciju američkih država, u područjima od zajedničkog interesa putem zajedničkih inicijativa, dijaloga i povećanog diplomatskog djelovanja; ističe važnost suradnje s partnerima iz Latinske Amerike kad je riječ o rješavanju problema međunarodnog organiziranog kriminala, transnacionalne trgovine ljudima, hibridnih prijetnji i pomorske sigurnosti, kao i o promicanju demokratske otpornosti i regionalne stabilnosti;</w:t>
      </w:r>
    </w:p>
    <w:p w14:paraId="2E03FE2F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28.</w:t>
      </w:r>
      <w:r w:rsidRPr="00EA0305">
        <w:tab/>
        <w:t xml:space="preserve">poziva na jačanje operativne dimenzije suradnje EU-a u području sigurnosti i obrane s partnerima sličnih stavova i drugim partnerima u južnom susjedstvu, posebno na Mediteranu, s naglaskom na pomorskoj sigurnosti, suzbijanju terorizma, upravljanju granicama i zaštiti kritične infrastrukture, te nadovezujući se na obveze utvrđene Paktom za Mediteran radi produbljivanja sigurnosne suradnje s mediteranskim partnerima; naglašava da nestabilnost u regiji izravno utječe na unutarnju sigurnost EU-a te stoga iziskuje strateški usmjereniji i </w:t>
      </w:r>
      <w:proofErr w:type="spellStart"/>
      <w:r w:rsidRPr="00EA0305">
        <w:t>koordiniraniji</w:t>
      </w:r>
      <w:proofErr w:type="spellEnd"/>
      <w:r w:rsidRPr="00EA0305">
        <w:t xml:space="preserve"> odgovor;</w:t>
      </w:r>
    </w:p>
    <w:p w14:paraId="6A3B1987" w14:textId="77777777" w:rsidR="005E3094" w:rsidRPr="00EA0305" w:rsidRDefault="005E3094" w:rsidP="005E3094">
      <w:pPr>
        <w:pStyle w:val="NormalHanging12a"/>
        <w:rPr>
          <w:b/>
          <w:bCs/>
          <w:i/>
          <w:iCs/>
        </w:rPr>
      </w:pPr>
      <w:r w:rsidRPr="00EA0305">
        <w:rPr>
          <w:b/>
          <w:i/>
        </w:rPr>
        <w:t>Jačanje opsežnih i prilagođenih načina suradnje</w:t>
      </w:r>
    </w:p>
    <w:p w14:paraId="784F42AE" w14:textId="77777777" w:rsidR="005E3094" w:rsidRPr="00EA0305" w:rsidRDefault="005E3094" w:rsidP="005E3094">
      <w:pPr>
        <w:pStyle w:val="NormalHanging12a"/>
      </w:pPr>
      <w:r w:rsidRPr="00EA0305">
        <w:t>29.</w:t>
      </w:r>
      <w:r w:rsidRPr="00EA0305">
        <w:tab/>
        <w:t>naglašava da integrirani pristup EU-a ZSOP-u uključuje pravne okvire za sudjelovanje trećih zemalja i regionalnih organizacija u misijama i operacijama ZSOP-a; naglašava da se ti partneri moraju pridržavati naših vrijednosti i dijeliti naše interese; potiče Komisiju i ESVD da dodatno pojednostave administrativne postupke kako bi se osiguralo brže i fleksibilnije sudjelovanje partnera sličnih stavova, posebno u misijama osposobljavanja, misijama za izgradnju kapaciteta i misijama za odgovor na krizu;</w:t>
      </w:r>
    </w:p>
    <w:p w14:paraId="13BE09F8" w14:textId="77777777" w:rsidR="005E3094" w:rsidRPr="00EA0305" w:rsidRDefault="005E3094" w:rsidP="005E3094">
      <w:pPr>
        <w:pStyle w:val="NormalHanging12a"/>
      </w:pPr>
      <w:r w:rsidRPr="00EA0305">
        <w:t>30.</w:t>
      </w:r>
      <w:r w:rsidRPr="00EA0305">
        <w:tab/>
        <w:t>ističe stratešku ulogu Europskog instrumenta mirovne pomoći kao ključnog instrumenta za jačanje vojnih i obrambenih kapaciteta, podupiranje vojnih aspekata mirovnih operacija i osiguravanje opreme oružanim snagama partnera EU-a; poziva na potpunu transparentnost i demokratski nadzor nad tim instrumentom;</w:t>
      </w:r>
    </w:p>
    <w:p w14:paraId="7C913333" w14:textId="77777777" w:rsidR="005E3094" w:rsidRPr="00EA0305" w:rsidRDefault="005E3094" w:rsidP="005E3094">
      <w:pPr>
        <w:pStyle w:val="NormalHanging12a"/>
      </w:pPr>
      <w:r w:rsidRPr="00EA0305">
        <w:t>31.</w:t>
      </w:r>
      <w:r w:rsidRPr="00EA0305">
        <w:tab/>
        <w:t>žali zbog toga što mađarska vlada trenutačno ometa upotrebu tog instrumenta za pomoć Ukrajini, među ostalim pravnim postupcima pred Općim sudom, kao i kontinuiranom blokadom potpore iz Europskog instrumenta mirovne pomoći za Armeniju; potiče države članice da aktivno vrše pritisak na mađarsku vladu kako bi okončale njezinu neodgovornu blokadu Europskog instrumenta mirovne pomoći; poziva potpredsjednicu Komisije / visoku predstavnicu Unije da pronađe alternativna rješenja za prevladavanje te situacije;</w:t>
      </w:r>
    </w:p>
    <w:p w14:paraId="69663000" w14:textId="77777777" w:rsidR="005E3094" w:rsidRPr="00EA0305" w:rsidRDefault="005E3094" w:rsidP="005E3094">
      <w:pPr>
        <w:pStyle w:val="NormalHanging12a"/>
      </w:pPr>
      <w:r w:rsidRPr="00EA0305">
        <w:t>32.</w:t>
      </w:r>
      <w:r w:rsidRPr="00EA0305">
        <w:tab/>
        <w:t>pozdravlja jačanje mreže vojnih savjetnika ESVD-a u delegacijama EU-a, čime se jačaju odnosi s vojnim i civilnim institucijama partnera; poziva na uspostavu redovitih koordinacijskih sastanaka među tim savjetnicima radi razmjene najboljih praksi, poboljšanja informiranosti o stanju i poticanja usklađenosti u vanjskom djelovanju EU-a;</w:t>
      </w:r>
    </w:p>
    <w:p w14:paraId="104C4F3D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lastRenderedPageBreak/>
        <w:t>33.</w:t>
      </w:r>
      <w:r w:rsidRPr="00EA0305">
        <w:tab/>
        <w:t>ustraje u tome da su za obrambenu pripravnost EU-a do 2030. potrebna partnerstva i suradnja EU-a s partnerima sličnih stavova; naglašava da je za postizanje objavljenih ciljeva EU-a potrebno osigurati lance opskrbe, uključujući sirovine i ključne komponente, ojačati i osnažiti EDTIB te smanjiti strateške ovisnosti EU-a, bez stvaranja novih; ističe, na primjer, ovisnost EU-a o Kini u pogledu kritičnih sirovina, što predstavlja ozbiljnu geopolitičku i gospodarsku ranjivost; poziva na demokratski nadzor i transparentnost u partnerstvima u području obrambene industrije, među ostalim kako bi se osigurala usklađenost s radnim i okolišnim standardima; prima na znanje da ostvarenje istinskog jedinstvenog tržišta za obranu ima odlučujuću važnost i da će se njime ojačati vojne sposobnosti EU te njegova strateška autonomija;</w:t>
      </w:r>
    </w:p>
    <w:p w14:paraId="5A888577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34.</w:t>
      </w:r>
      <w:r w:rsidRPr="00EA0305">
        <w:tab/>
        <w:t>pozdravlja činjenicu da bi se povlašteni pristup instrumentu SAFE, uz posebne bilateralne sporazume, mogao odobriti onim zemljama s kojima postoji partnerstvo u području sigurnosti i obrane; napominje da su zaključeni pregovori o sporazumu s Kanadom koji je u skladu s instrumentom SAFE; žali zbog toga što sporazum s Ujedinjenom Kraljevinom još nije finaliziran; naglašava da bi uključivanje tih dviju zemalja u obrambene inicijative EU-a bilo uzajamno korisno te da bi pomoglo pri iskorištavanju dodane vrijednosti svake industrije; naglašava važnost sudjelovanja Ukrajine u instrumentu SAFE;</w:t>
      </w:r>
    </w:p>
    <w:p w14:paraId="427509CF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35.</w:t>
      </w:r>
      <w:r w:rsidRPr="00EA0305">
        <w:tab/>
        <w:t xml:space="preserve">napominje da Europska obrambena agencija također surađuje s trećim zemljama, organizacijama i subjektima u okviru prilagođenih administrativnih aranžmana; ističe da je potrebno pobrinuti se za to da ti aranžmani doprinose konsolidaciji EDTIB-a i zaštiti </w:t>
      </w:r>
      <w:proofErr w:type="spellStart"/>
      <w:r w:rsidRPr="00EA0305">
        <w:t>disruptivnih</w:t>
      </w:r>
      <w:proofErr w:type="spellEnd"/>
      <w:r w:rsidRPr="00EA0305">
        <w:t xml:space="preserve"> tehnologija; poziva na ponovnu procjenu navedenih administrativnih aranžmana i njihove djelotvornosti;</w:t>
      </w:r>
    </w:p>
    <w:p w14:paraId="1F063367" w14:textId="77777777" w:rsidR="005E3094" w:rsidRPr="00EA0305" w:rsidRDefault="005E3094" w:rsidP="007E27A1">
      <w:pPr>
        <w:pStyle w:val="NormalHanging12a"/>
        <w:ind w:left="567" w:hanging="567"/>
        <w:rPr>
          <w:bCs/>
          <w:iCs/>
        </w:rPr>
      </w:pPr>
      <w:r w:rsidRPr="00EA0305">
        <w:t>36.</w:t>
      </w:r>
      <w:r w:rsidRPr="00EA0305">
        <w:tab/>
        <w:t>poziva ESVD da osigura ljudske i financijske resurse koji su potrebni za provedbu postojećih partnerstava u području sigurnosti i obrane kako bi postigli konkretne rezultate;</w:t>
      </w:r>
    </w:p>
    <w:p w14:paraId="4BEEAACB" w14:textId="77777777" w:rsidR="005E3094" w:rsidRPr="007E27A1" w:rsidRDefault="005E3094" w:rsidP="007E27A1">
      <w:pPr>
        <w:spacing w:after="240"/>
        <w:rPr>
          <w:b/>
          <w:bCs/>
          <w:i/>
          <w:iCs/>
        </w:rPr>
      </w:pPr>
      <w:r w:rsidRPr="007E27A1">
        <w:rPr>
          <w:b/>
          <w:bCs/>
          <w:i/>
          <w:iCs/>
        </w:rPr>
        <w:t xml:space="preserve">Jačanje ključnih područja suradnje unutar partnerstava u području sigurnosti i obrane </w:t>
      </w:r>
    </w:p>
    <w:p w14:paraId="1E1B0650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37.</w:t>
      </w:r>
      <w:r w:rsidRPr="00EA0305">
        <w:tab/>
        <w:t>ističe ulogu partnerstava u području sigurnosti i obrane u integriranom upravljanju granicama s brojnim partnerima, što je posebno važno s obzirom na nedavne provokacije i povrede zračnog prostora NATO-a, koje su proveli ruski i bjeloruski režim, a koji su posebno utjecali na države na istočnoj granici, kao i vanjske aspekte nezakonitih migracija; podsjeća da vanjski aspekti nezakonitih migracija utječu i na države članice na južnim granicama; poziva EU da pruži povećanu financijsku i operativnu potporu kapacitetima za upravljanje granicama iz najizloženijih država;</w:t>
      </w:r>
    </w:p>
    <w:p w14:paraId="0DCDF95E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38.</w:t>
      </w:r>
      <w:r w:rsidRPr="00EA0305">
        <w:tab/>
        <w:t>potiče Europsko vijeće da razmotri sudjelovanje zemalja s kojima su potpisana partnerstva u području sigurnosti i obrane, posebno Norveške, Ujedinjene Kraljevine i Kanade, u vodećim projektima EU-a kao što su promatračka misija na istočnim granicama (</w:t>
      </w:r>
      <w:proofErr w:type="spellStart"/>
      <w:r w:rsidRPr="00EA0305">
        <w:t>Eastern</w:t>
      </w:r>
      <w:proofErr w:type="spellEnd"/>
      <w:r w:rsidRPr="00EA0305">
        <w:t xml:space="preserve"> </w:t>
      </w:r>
      <w:proofErr w:type="spellStart"/>
      <w:r w:rsidRPr="00EA0305">
        <w:t>Flank</w:t>
      </w:r>
      <w:proofErr w:type="spellEnd"/>
      <w:r w:rsidRPr="00EA0305">
        <w:t xml:space="preserve"> </w:t>
      </w:r>
      <w:proofErr w:type="spellStart"/>
      <w:r w:rsidRPr="00EA0305">
        <w:t>Watch</w:t>
      </w:r>
      <w:proofErr w:type="spellEnd"/>
      <w:r w:rsidRPr="00EA0305">
        <w:t>), Europska inicijativa za obranu od bespilotnih zrakoplova, europski nebeski štit i europski svemirski štit;</w:t>
      </w:r>
    </w:p>
    <w:p w14:paraId="31E43782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39.</w:t>
      </w:r>
      <w:r w:rsidRPr="00EA0305">
        <w:tab/>
        <w:t>naglašava da bi prioriteti financiranja EU-a trebali odražavati potrebu za uravnoteženom geografskom raspodjelom industrijskih kapaciteta, pri čemu se posebna pozornost treba pridavati jačanju obrambene proizvodnje na istočnim granicama EU-a kako bi se riješila blizina visokorizičnim područjima;</w:t>
      </w:r>
    </w:p>
    <w:p w14:paraId="1B323E16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lastRenderedPageBreak/>
        <w:t>40.</w:t>
      </w:r>
      <w:r w:rsidRPr="00EA0305">
        <w:tab/>
        <w:t>poziva na više zajedničkih vježbi povezanih s pomorskom sigurnošću u suradnji s relevantnim savezničkim partnerima kako bi se promicala interoperabilnost i operativna pripravnost na strateški važnim plovnim putovima i točkama zagušenja diljem svijeta, posebno u područjima u kojima su ključni interesi EU-a ugroženi; ustraje u važnosti nadziranja i zaštite ključne pomorske infrastrukture, uključujući podmorske kabele i cjevovode radi sprječavanja sve češćih hibridnih napada;</w:t>
      </w:r>
    </w:p>
    <w:p w14:paraId="71848CE2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41.</w:t>
      </w:r>
      <w:r w:rsidRPr="00EA0305">
        <w:tab/>
        <w:t>naglašava važnost partnerstava u području sigurnosti i obrane za misije i operacije ZSOP-a jer su ona i dalje temelj vanjskog angažmana EU-a u području sigurnosti te su ključni stup rada EU-a na sprečavanju sukoba, upravljanju krizama i stabilizaciji nakon sukoba;</w:t>
      </w:r>
    </w:p>
    <w:p w14:paraId="051DB177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42.</w:t>
      </w:r>
      <w:r w:rsidRPr="00EA0305">
        <w:tab/>
        <w:t xml:space="preserve">naglašava da su kibernetički napadi, dezinformacije te inozemno upletanje i manipuliranje informacijama, aktivnosti transnacionalnih zločinačkih organizacija uključenih u krijumčarenje droge i trgovinu ljudima, kao i </w:t>
      </w:r>
      <w:proofErr w:type="spellStart"/>
      <w:r w:rsidRPr="00EA0305">
        <w:t>instrumentalizacija</w:t>
      </w:r>
      <w:proofErr w:type="spellEnd"/>
      <w:r w:rsidRPr="00EA0305">
        <w:t xml:space="preserve"> migracija od strane neprijateljskih trećih zemalja sve veća sigurnosna prijetnja EU-u; poziva na nastavak suradnje s partnerima EU-a u cilju osnaživanja otpornosti, zaštite kritične infrastrukture Unije i razmjene najboljih praksi u kontekstu suzbijanja inozemnog upletanja i manipuliranja informacijama; naglašava važnost partnerstava u području sigurnosti i obrane za izgradnju društvene i demokratske otpornosti; potiče stvaranje zajedničkih vježbi u kontekstu odgovora na kibernetičke prijetnje i razvoj sigurnih kanala za razmjenu informacija između EU-a i njegovih partnera u cilju suzbijanja hibridnih prijetnji;</w:t>
      </w:r>
    </w:p>
    <w:p w14:paraId="5F2DE357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43.</w:t>
      </w:r>
      <w:r w:rsidRPr="00EA0305">
        <w:tab/>
        <w:t>napominje da pristup EU-a obrani kritične podvodne infrastrukture također odražava sve veću osviještenost o netradicionalnim sigurnosnim izazovima;</w:t>
      </w:r>
    </w:p>
    <w:p w14:paraId="7E777AE3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44.</w:t>
      </w:r>
      <w:r w:rsidRPr="00EA0305">
        <w:tab/>
        <w:t>ističe važnost borbe protiv terorizma i sprečavanja nasilnog ekstremizma te rješavanja državnih i nedržavnih prijetnji s pomoću integriranih sigurnosnih okvira; naglašava da je opširna međuvladina suradnja i razmjena informacija, unutar EU-a i s trećim zemljama, potrebna za djelotvorno suzbijanje i sprečavanje terorizma i nasilnog ekstremizma;</w:t>
      </w:r>
    </w:p>
    <w:p w14:paraId="48B24116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45.</w:t>
      </w:r>
      <w:r w:rsidRPr="00EA0305">
        <w:tab/>
        <w:t>naglašava da su partnerstva ključna za promicanje miroljubivog i odgovornog ponašanja u svemiru, odgovaranje na svemirske prijetnje i podupiranje upotrebe svemirskih usluga za potrebe sigurnosti i obrane; naglašava da bi i „novi svemirski sektor” te njegov inovativni potencijal u pogledu tehnologija dvojne namjene trebalo u potpunosti iskoristiti za potrebe razvoja obrambenih i civilnih primjena;</w:t>
      </w:r>
    </w:p>
    <w:p w14:paraId="7977D51C" w14:textId="77777777" w:rsidR="005E3094" w:rsidRPr="00EA0305" w:rsidRDefault="005E3094" w:rsidP="005E3094">
      <w:pPr>
        <w:pStyle w:val="NormalHanging12a"/>
      </w:pPr>
      <w:r w:rsidRPr="00EA0305">
        <w:t>46.</w:t>
      </w:r>
      <w:r w:rsidRPr="00EA0305">
        <w:tab/>
        <w:t>ustraje u tome da partnerstva u području sigurnosti i obrane trebaju sadržavati klauzulu o djelotvornom preispitivanju kojom se omogućuju prilagodbe povezane s provedbom i odgovor na razvoj događaja u području sigurnosti; ističe da će ta partnerstva, ako se dobro provedu, donijeti konkretne rezultate i doprinijeti europskom sigurnosnom poretku;</w:t>
      </w:r>
    </w:p>
    <w:p w14:paraId="05379780" w14:textId="77777777" w:rsidR="005E3094" w:rsidRPr="00EA0305" w:rsidRDefault="005E3094" w:rsidP="005E3094">
      <w:pPr>
        <w:pStyle w:val="NormalHanging12a"/>
        <w:rPr>
          <w:b/>
          <w:bCs/>
          <w:i/>
          <w:iCs/>
        </w:rPr>
      </w:pPr>
      <w:r w:rsidRPr="00EA0305">
        <w:rPr>
          <w:b/>
          <w:i/>
        </w:rPr>
        <w:t>Razvoj uloge Parlamenta u poticanju suradnje u području obrane</w:t>
      </w:r>
    </w:p>
    <w:p w14:paraId="40BBB496" w14:textId="77777777" w:rsidR="005E3094" w:rsidRPr="00EA0305" w:rsidRDefault="005E3094" w:rsidP="005E3094">
      <w:pPr>
        <w:pStyle w:val="NormalHanging12a"/>
      </w:pPr>
      <w:r w:rsidRPr="00EA0305">
        <w:t>47.</w:t>
      </w:r>
      <w:r w:rsidRPr="00EA0305">
        <w:tab/>
        <w:t xml:space="preserve">podsjeća da je Parlament u više navrata istaknuo važnost partnerstava u području sigurnosti i obrane; smatra da parlamentarna diplomacija nadopunjuje i podupire ta partnerstva; ističe ključne uloge Odbora za sigurnost i obranu te Izaslanstva za odnose s Parlamentarnom skupštinom NATO-a; traži od ESVD-a da redovito izvješćuje </w:t>
      </w:r>
      <w:r w:rsidRPr="00EA0305">
        <w:lastRenderedPageBreak/>
        <w:t>Parlament o provedbi partnerstava u području sigurnosti i obrane i stanju pregovora koji su u tijeku ili planiranih pregovora;</w:t>
      </w:r>
    </w:p>
    <w:p w14:paraId="7C0BA2F9" w14:textId="77777777" w:rsidR="005E3094" w:rsidRPr="00EA0305" w:rsidRDefault="005E3094" w:rsidP="005E3094">
      <w:pPr>
        <w:pStyle w:val="NormalHanging12a"/>
      </w:pPr>
      <w:r w:rsidRPr="00EA0305">
        <w:t>48.</w:t>
      </w:r>
      <w:r w:rsidRPr="00EA0305">
        <w:tab/>
        <w:t>obvezuje se da će nastojati redovito organizirati zajedničke sjednice odbora s Odborom za nacionalnu sigurnost, obranu i obavještajne aktivnosti ukrajinske Vrhovne rade u cilju poticanja dijaloga na parlamentarnoj razini;</w:t>
      </w:r>
    </w:p>
    <w:p w14:paraId="65782B68" w14:textId="77777777" w:rsidR="005E3094" w:rsidRPr="00EA0305" w:rsidRDefault="005E3094" w:rsidP="005E3094">
      <w:pPr>
        <w:pStyle w:val="NormalHanging12a"/>
      </w:pPr>
      <w:r w:rsidRPr="00EA0305">
        <w:t>49.</w:t>
      </w:r>
      <w:r w:rsidRPr="00EA0305">
        <w:tab/>
        <w:t>pozdravlja organizaciju prve međuparlamentarne sjednice odborâ za obranu država članica EU-a u Europskom parlamentu i daljnje produbljivanje partnerstva s osobljem nacionalnih parlamenata, među ostalim putem Europske akademije za sigurnost i obranu;</w:t>
      </w:r>
    </w:p>
    <w:p w14:paraId="4E2625D9" w14:textId="77777777" w:rsidR="005E3094" w:rsidRPr="00EA0305" w:rsidRDefault="005E3094" w:rsidP="005E3094">
      <w:pPr>
        <w:pStyle w:val="NormalHanging12a"/>
      </w:pPr>
      <w:r w:rsidRPr="00EA0305">
        <w:t>50.</w:t>
      </w:r>
      <w:r w:rsidRPr="00EA0305">
        <w:tab/>
        <w:t>pozdravlja organizaciju 107. Rose – Roth seminara Parlamentarne skupštine NATO-a naslovljenog „Suradnja EU-a i NATO-a: temeljno partnerstvo i demokratska otpornost” u prostorijama Parlamenta; naglašava da je time istaknuta nova i aktivna uloga Parlamenta u pogledu njegovog poboljšanog partnerskog statusa u Parlamentarnoj skupštini NATO-a;</w:t>
      </w:r>
    </w:p>
    <w:p w14:paraId="2886D358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51.</w:t>
      </w:r>
      <w:r w:rsidRPr="00EA0305">
        <w:tab/>
        <w:t>naglašava uspjeh prvog pilot-projekta Parlamenta i Parlamentarne skupštine NATO-a za izgradnju parlamentarnih kapaciteta u sektoru sigurnosti i obrane za osoblje ukrajinske Vrhovne rade; poziva da se taj pilot-projekt proširi na ukrajinsku Vrhovnu radu, parlamente područja proširenja i sva partnerstva u području sigurnosti i obrane;</w:t>
      </w:r>
    </w:p>
    <w:p w14:paraId="5766A4D1" w14:textId="77777777" w:rsidR="005E3094" w:rsidRPr="00EA0305" w:rsidRDefault="005E3094" w:rsidP="005E3094">
      <w:pPr>
        <w:pStyle w:val="NormalHanging12a"/>
        <w:rPr>
          <w:bCs/>
          <w:iCs/>
        </w:rPr>
      </w:pPr>
      <w:r w:rsidRPr="00EA0305">
        <w:t>52.</w:t>
      </w:r>
      <w:r w:rsidRPr="00EA0305">
        <w:tab/>
        <w:t xml:space="preserve">smatra da je </w:t>
      </w:r>
      <w:proofErr w:type="spellStart"/>
      <w:r w:rsidRPr="00EA0305">
        <w:t>Schumanov</w:t>
      </w:r>
      <w:proofErr w:type="spellEnd"/>
      <w:r w:rsidRPr="00EA0305">
        <w:t xml:space="preserve"> forum za sigurnost i obranu, čiji je organizator ESVD, a </w:t>
      </w:r>
      <w:proofErr w:type="spellStart"/>
      <w:r w:rsidRPr="00EA0305">
        <w:t>sudomaćin</w:t>
      </w:r>
      <w:proofErr w:type="spellEnd"/>
      <w:r w:rsidRPr="00EA0305">
        <w:t xml:space="preserve"> Parlament, prilika za osiguravanje redovite platforme na visokoj razini za dijalog s partnerima; poziva da se na razini institucije preuzme aktivna uloga u oblikovanju dnevnog reda tog foruma i daljnjih mjera, osiguravajući pritom da se rezultati koriste kao input za zakonodavni rad u pogledu sigurnosne i obrambene politike EU-a;</w:t>
      </w:r>
    </w:p>
    <w:p w14:paraId="17CDDB91" w14:textId="77777777" w:rsidR="005E3094" w:rsidRPr="00EA0305" w:rsidRDefault="005E3094" w:rsidP="005E3094">
      <w:pPr>
        <w:pStyle w:val="NormalHanging12a"/>
      </w:pPr>
      <w:r w:rsidRPr="00EA0305">
        <w:t>53.</w:t>
      </w:r>
      <w:r w:rsidRPr="00EA0305">
        <w:tab/>
        <w:t>potiče izgradnju bliskijih veza s društvima u partnerskim zemljama i jačanje strateške komunikacije EU-a; poziva na pokretanje kampanja u kojima će sudjelovati Parlament, druge institucije, tijela i agencije EU-a, države članice i partnerske zemlje, kao i nevladine organizacije, akademska zajednica i mediji, u cilju promicanja postojećih partnerstava u području sigurnosti i obrane te poticanja razvoja novih partnerstava, čime će se učvrstiti ugled EU-a i njegov položaj među zemljama s kojima su sklopljena partnerstva u području sigurnosti i obrane; ističe da je potrebno suzbijati dezinformacije i inozemne manipulativne narative s pomoću koordiniranih strategija komunikacije i javnih diplomatskih inicijativa koje uključuju delegacije EU-a i države članice;</w:t>
      </w:r>
    </w:p>
    <w:p w14:paraId="4F6D03E5" w14:textId="77777777" w:rsidR="005E3094" w:rsidRPr="00EA0305" w:rsidRDefault="005E3094" w:rsidP="005E3094">
      <w:pPr>
        <w:pStyle w:val="NormalCenter12a"/>
      </w:pPr>
      <w:r w:rsidRPr="00EA0305">
        <w:t>°</w:t>
      </w:r>
    </w:p>
    <w:p w14:paraId="243B4734" w14:textId="77777777" w:rsidR="005E3094" w:rsidRPr="00EA0305" w:rsidRDefault="005E3094" w:rsidP="005E3094">
      <w:pPr>
        <w:pStyle w:val="NormalCenter12a"/>
      </w:pPr>
      <w:r w:rsidRPr="00EA0305">
        <w:t>°</w:t>
      </w:r>
      <w:r w:rsidRPr="00EA0305">
        <w:tab/>
        <w:t>°</w:t>
      </w:r>
    </w:p>
    <w:p w14:paraId="2D0DD79D" w14:textId="7426749C" w:rsidR="005E3094" w:rsidRPr="00EA0305" w:rsidRDefault="005E3094" w:rsidP="005E3094">
      <w:pPr>
        <w:pStyle w:val="NormalHanging"/>
      </w:pPr>
      <w:r w:rsidRPr="00EA0305">
        <w:t>54.</w:t>
      </w:r>
      <w:r w:rsidRPr="00EA0305">
        <w:tab/>
        <w:t>nalaže svojoj predsjednici da ovu Rezoluciju proslijedi Vijeću i Komisiji.</w:t>
      </w:r>
    </w:p>
    <w:sectPr w:rsidR="005E3094" w:rsidRPr="00EA0305" w:rsidSect="00F830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6B754" w14:textId="77777777" w:rsidR="00010F70" w:rsidRPr="00F83061" w:rsidRDefault="00010F70">
      <w:r w:rsidRPr="00F83061">
        <w:separator/>
      </w:r>
    </w:p>
  </w:endnote>
  <w:endnote w:type="continuationSeparator" w:id="0">
    <w:p w14:paraId="5812D1D9" w14:textId="77777777" w:rsidR="00010F70" w:rsidRPr="00F83061" w:rsidRDefault="00010F70">
      <w:r w:rsidRPr="00F830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2CFD0" w14:textId="77777777" w:rsidR="00064002" w:rsidRPr="00F830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D885E" w14:textId="77777777" w:rsidR="00064002" w:rsidRPr="00F830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9ADC" w14:textId="77777777" w:rsidR="00064002" w:rsidRPr="00F830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3F888" w14:textId="77777777" w:rsidR="00010F70" w:rsidRPr="00F83061" w:rsidRDefault="00010F70">
      <w:r w:rsidRPr="00F83061">
        <w:separator/>
      </w:r>
    </w:p>
  </w:footnote>
  <w:footnote w:type="continuationSeparator" w:id="0">
    <w:p w14:paraId="0C3B78F8" w14:textId="77777777" w:rsidR="00010F70" w:rsidRPr="00F83061" w:rsidRDefault="00010F70">
      <w:r w:rsidRPr="00F83061">
        <w:continuationSeparator/>
      </w:r>
    </w:p>
  </w:footnote>
  <w:footnote w:id="1">
    <w:p w14:paraId="400C7245" w14:textId="7B42DF3C" w:rsidR="004831FF" w:rsidRPr="004831FF" w:rsidRDefault="004831FF" w:rsidP="004831FF">
      <w:pPr>
        <w:pStyle w:val="FootnoteText"/>
        <w:ind w:left="567" w:hanging="567"/>
        <w:rPr>
          <w:sz w:val="24"/>
          <w:szCs w:val="24"/>
          <w:lang w:val="hr-HR"/>
        </w:rPr>
      </w:pPr>
      <w:r w:rsidRPr="004831FF">
        <w:rPr>
          <w:rStyle w:val="FootnoteReference"/>
          <w:sz w:val="24"/>
          <w:szCs w:val="24"/>
        </w:rPr>
        <w:footnoteRef/>
      </w:r>
      <w:r w:rsidRPr="004831FF">
        <w:rPr>
          <w:sz w:val="24"/>
          <w:szCs w:val="24"/>
          <w:lang w:val="fi-FI"/>
        </w:rPr>
        <w:t xml:space="preserve"> </w:t>
      </w:r>
      <w:r w:rsidRPr="004831FF">
        <w:rPr>
          <w:sz w:val="24"/>
          <w:szCs w:val="24"/>
          <w:lang w:val="hr-HR"/>
        </w:rPr>
        <w:tab/>
        <w:t xml:space="preserve">SL L 331, 14.12.2017., str. 57., ELI: </w:t>
      </w:r>
      <w:hyperlink r:id="rId1" w:tgtFrame="http://data.europa.eu/eli/dec/2017/2315/oj" w:history="1">
        <w:r w:rsidRPr="004831FF">
          <w:rPr>
            <w:rStyle w:val="Hyperlink"/>
            <w:sz w:val="24"/>
            <w:szCs w:val="24"/>
            <w:lang w:val="hr-HR"/>
          </w:rPr>
          <w:t>http://data.europa.eu/eli/dec/2017/2315/oj</w:t>
        </w:r>
      </w:hyperlink>
      <w:r w:rsidRPr="004831FF">
        <w:rPr>
          <w:sz w:val="24"/>
          <w:szCs w:val="24"/>
          <w:lang w:val="hr-HR"/>
        </w:rPr>
        <w:t>.</w:t>
      </w:r>
    </w:p>
  </w:footnote>
  <w:footnote w:id="2">
    <w:p w14:paraId="4E3AA113" w14:textId="27A47D30" w:rsidR="004831FF" w:rsidRPr="004831FF" w:rsidRDefault="004831FF" w:rsidP="004831FF">
      <w:pPr>
        <w:pStyle w:val="FootnoteText"/>
        <w:ind w:left="567" w:hanging="567"/>
        <w:rPr>
          <w:sz w:val="24"/>
          <w:szCs w:val="24"/>
          <w:lang w:val="hr-HR"/>
        </w:rPr>
      </w:pPr>
      <w:r w:rsidRPr="004831FF">
        <w:rPr>
          <w:rStyle w:val="FootnoteReference"/>
          <w:sz w:val="24"/>
          <w:szCs w:val="24"/>
        </w:rPr>
        <w:footnoteRef/>
      </w:r>
      <w:r w:rsidRPr="004831FF">
        <w:rPr>
          <w:sz w:val="24"/>
          <w:szCs w:val="24"/>
          <w:lang w:val="fi-FI"/>
        </w:rPr>
        <w:t xml:space="preserve"> </w:t>
      </w:r>
      <w:r w:rsidRPr="004831FF">
        <w:rPr>
          <w:sz w:val="24"/>
          <w:szCs w:val="24"/>
          <w:lang w:val="hr-HR"/>
        </w:rPr>
        <w:tab/>
        <w:t xml:space="preserve">SL L, 2024/890, 19.3.2024., ELI: </w:t>
      </w:r>
      <w:r>
        <w:fldChar w:fldCharType="begin"/>
      </w:r>
      <w:r w:rsidRPr="003141E7">
        <w:rPr>
          <w:lang w:val="fi-FI"/>
        </w:rPr>
        <w:instrText>HYPERLINK "http://data.europa.eu/eli/dec/2024/890/oj" \t "http://data.europa.eu/eli/dec/2024/890/oj"</w:instrText>
      </w:r>
      <w:r>
        <w:fldChar w:fldCharType="separate"/>
      </w:r>
      <w:r w:rsidRPr="004831FF">
        <w:rPr>
          <w:rStyle w:val="Hyperlink"/>
          <w:sz w:val="24"/>
          <w:szCs w:val="24"/>
          <w:lang w:val="hr-HR"/>
        </w:rPr>
        <w:t>http://data.europa.eu/eli/dec/2024/890/oj</w:t>
      </w:r>
      <w:r>
        <w:fldChar w:fldCharType="end"/>
      </w:r>
      <w:r w:rsidRPr="004831FF">
        <w:rPr>
          <w:sz w:val="24"/>
          <w:szCs w:val="24"/>
          <w:lang w:val="hr-HR"/>
        </w:rPr>
        <w:t>.</w:t>
      </w:r>
    </w:p>
  </w:footnote>
  <w:footnote w:id="3">
    <w:p w14:paraId="3FF853ED" w14:textId="61837D8F" w:rsidR="004831FF" w:rsidRPr="004831FF" w:rsidRDefault="004831FF" w:rsidP="004831FF">
      <w:pPr>
        <w:pStyle w:val="FootnoteText"/>
        <w:ind w:left="567" w:hanging="567"/>
        <w:rPr>
          <w:sz w:val="24"/>
          <w:szCs w:val="24"/>
          <w:lang w:val="hr-HR"/>
        </w:rPr>
      </w:pPr>
      <w:r w:rsidRPr="004831FF">
        <w:rPr>
          <w:rStyle w:val="FootnoteReference"/>
          <w:sz w:val="24"/>
          <w:szCs w:val="24"/>
        </w:rPr>
        <w:footnoteRef/>
      </w:r>
      <w:r w:rsidRPr="004831FF">
        <w:rPr>
          <w:sz w:val="24"/>
          <w:szCs w:val="24"/>
          <w:lang w:val="fi-FI"/>
        </w:rPr>
        <w:t xml:space="preserve"> </w:t>
      </w:r>
      <w:r w:rsidRPr="004831FF">
        <w:rPr>
          <w:sz w:val="24"/>
          <w:szCs w:val="24"/>
          <w:lang w:val="hr-HR"/>
        </w:rPr>
        <w:tab/>
        <w:t xml:space="preserve">SL L 170, 12.5.2021., str. 149., ELI: </w:t>
      </w:r>
      <w:r>
        <w:fldChar w:fldCharType="begin"/>
      </w:r>
      <w:r w:rsidRPr="003141E7">
        <w:rPr>
          <w:lang w:val="fi-FI"/>
        </w:rPr>
        <w:instrText>HYPERLINK "http://data.europa.eu/eli/reg/2021/697/oj" \t "http://data.europa.eu/eli/reg/2021/697/oj"</w:instrText>
      </w:r>
      <w:r>
        <w:fldChar w:fldCharType="separate"/>
      </w:r>
      <w:r w:rsidRPr="004831FF">
        <w:rPr>
          <w:rStyle w:val="Hyperlink"/>
          <w:sz w:val="24"/>
          <w:szCs w:val="24"/>
          <w:lang w:val="hr-HR"/>
        </w:rPr>
        <w:t>http://data.europa.eu/eli/reg/2021/697/oj</w:t>
      </w:r>
      <w:r>
        <w:fldChar w:fldCharType="end"/>
      </w:r>
      <w:r w:rsidRPr="004831FF">
        <w:rPr>
          <w:sz w:val="24"/>
          <w:szCs w:val="24"/>
          <w:lang w:val="hr-HR"/>
        </w:rPr>
        <w:t>.</w:t>
      </w:r>
    </w:p>
  </w:footnote>
  <w:footnote w:id="4">
    <w:p w14:paraId="2366ABC2" w14:textId="7CF87023" w:rsidR="005E3094" w:rsidRPr="00F83061" w:rsidRDefault="005E3094" w:rsidP="00F83061">
      <w:pPr>
        <w:pStyle w:val="FootnoteText"/>
        <w:ind w:left="567" w:hanging="567"/>
        <w:rPr>
          <w:sz w:val="24"/>
          <w:lang w:val="hr-HR"/>
        </w:rPr>
      </w:pPr>
      <w:r w:rsidRPr="00F83061">
        <w:rPr>
          <w:rStyle w:val="FootnoteReference"/>
          <w:sz w:val="24"/>
          <w:lang w:val="hr-HR"/>
        </w:rPr>
        <w:footnoteRef/>
      </w:r>
      <w:r w:rsidR="00F83061" w:rsidRPr="00F83061">
        <w:rPr>
          <w:sz w:val="24"/>
          <w:lang w:val="hr-HR"/>
        </w:rPr>
        <w:t xml:space="preserve"> </w:t>
      </w:r>
      <w:r w:rsidR="00F83061" w:rsidRPr="00F83061">
        <w:rPr>
          <w:sz w:val="24"/>
          <w:lang w:val="hr-HR"/>
        </w:rPr>
        <w:tab/>
      </w:r>
      <w:r w:rsidRPr="00F83061">
        <w:rPr>
          <w:sz w:val="24"/>
          <w:lang w:val="hr-HR"/>
        </w:rPr>
        <w:t>SL L, 2025/1106, 28.5.2025., ELI: </w:t>
      </w:r>
      <w:r>
        <w:fldChar w:fldCharType="begin"/>
      </w:r>
      <w:r w:rsidRPr="003141E7">
        <w:rPr>
          <w:lang w:val="fi-FI"/>
        </w:rPr>
        <w:instrText>HYPERLINK "http://data.europa.eu/eli/reg/2025/1106/oj" \t "_blank" \o "Poveznica ELI URI za pristup dokumentu."</w:instrText>
      </w:r>
      <w:r>
        <w:fldChar w:fldCharType="separate"/>
      </w:r>
      <w:r w:rsidRPr="00F83061">
        <w:rPr>
          <w:rStyle w:val="Hyperlink"/>
          <w:sz w:val="24"/>
          <w:lang w:val="hr-HR"/>
        </w:rPr>
        <w:t>http://data.europa.eu/eli/reg/2025/1106/oj</w:t>
      </w:r>
      <w:r>
        <w:fldChar w:fldCharType="end"/>
      </w:r>
      <w:r w:rsidRPr="00F83061">
        <w:rPr>
          <w:sz w:val="24"/>
          <w:lang w:val="hr-HR"/>
        </w:rPr>
        <w:t>.</w:t>
      </w:r>
    </w:p>
  </w:footnote>
  <w:footnote w:id="5">
    <w:p w14:paraId="34D7FB82" w14:textId="3F7CA26D" w:rsidR="005E3094" w:rsidRPr="00F83061" w:rsidRDefault="005E3094" w:rsidP="00F83061">
      <w:pPr>
        <w:pStyle w:val="FootnoteText"/>
        <w:ind w:left="567" w:hanging="567"/>
        <w:rPr>
          <w:sz w:val="24"/>
          <w:lang w:val="hr-HR"/>
        </w:rPr>
      </w:pPr>
      <w:r w:rsidRPr="00F83061">
        <w:rPr>
          <w:rStyle w:val="FootnoteReference"/>
          <w:sz w:val="24"/>
          <w:lang w:val="hr-HR"/>
        </w:rPr>
        <w:footnoteRef/>
      </w:r>
      <w:r w:rsidR="00F83061" w:rsidRPr="00F83061">
        <w:rPr>
          <w:sz w:val="24"/>
          <w:lang w:val="hr-HR"/>
        </w:rPr>
        <w:t xml:space="preserve"> </w:t>
      </w:r>
      <w:r w:rsidR="00F83061" w:rsidRPr="00F83061">
        <w:rPr>
          <w:sz w:val="24"/>
          <w:lang w:val="hr-HR"/>
        </w:rPr>
        <w:tab/>
      </w:r>
      <w:r w:rsidRPr="00F83061">
        <w:rPr>
          <w:sz w:val="24"/>
          <w:lang w:val="hr-HR"/>
        </w:rPr>
        <w:t xml:space="preserve">SL C, C/2025/4389, 9.9.2025., ELI: </w:t>
      </w:r>
      <w:r>
        <w:fldChar w:fldCharType="begin"/>
      </w:r>
      <w:r w:rsidRPr="003141E7">
        <w:rPr>
          <w:lang w:val="fi-FI"/>
        </w:rPr>
        <w:instrText>HYPERLINK "http://data.europa.eu/eli/C/2025/4389/oj" \t "http://data.europa.eu/eli/C/2025/4389/oj"</w:instrText>
      </w:r>
      <w:r>
        <w:fldChar w:fldCharType="separate"/>
      </w:r>
      <w:r w:rsidRPr="00F83061">
        <w:rPr>
          <w:rStyle w:val="Hyperlink"/>
          <w:sz w:val="24"/>
          <w:lang w:val="hr-HR"/>
        </w:rPr>
        <w:t>http://data.europa.eu/eli/C/2025/4389/oj</w:t>
      </w:r>
      <w:r>
        <w:fldChar w:fldCharType="end"/>
      </w:r>
      <w:r w:rsidRPr="00F83061">
        <w:rPr>
          <w:sz w:val="24"/>
          <w:lang w:val="hr-HR"/>
        </w:rPr>
        <w:t>.</w:t>
      </w:r>
    </w:p>
  </w:footnote>
  <w:footnote w:id="6">
    <w:p w14:paraId="5CD86F62" w14:textId="045D7CE8" w:rsidR="005E3094" w:rsidRPr="00F83061" w:rsidRDefault="005E3094" w:rsidP="00F83061">
      <w:pPr>
        <w:pStyle w:val="FootnoteText"/>
        <w:ind w:left="567" w:hanging="567"/>
        <w:rPr>
          <w:sz w:val="24"/>
          <w:lang w:val="hr-HR"/>
        </w:rPr>
      </w:pPr>
      <w:r w:rsidRPr="00F83061">
        <w:rPr>
          <w:rStyle w:val="FootnoteReference"/>
          <w:sz w:val="24"/>
          <w:lang w:val="hr-HR"/>
        </w:rPr>
        <w:footnoteRef/>
      </w:r>
      <w:r w:rsidR="00F83061" w:rsidRPr="00F83061">
        <w:rPr>
          <w:sz w:val="24"/>
          <w:lang w:val="hr-HR"/>
        </w:rPr>
        <w:t xml:space="preserve"> </w:t>
      </w:r>
      <w:r w:rsidR="00F83061" w:rsidRPr="00F83061">
        <w:rPr>
          <w:sz w:val="24"/>
          <w:lang w:val="hr-HR"/>
        </w:rPr>
        <w:tab/>
      </w:r>
      <w:r w:rsidRPr="00F83061">
        <w:rPr>
          <w:sz w:val="24"/>
          <w:lang w:val="hr-HR"/>
        </w:rPr>
        <w:t xml:space="preserve">SL C, C/2025/3151, 20.6.2025., ELI: </w:t>
      </w:r>
      <w:r>
        <w:fldChar w:fldCharType="begin"/>
      </w:r>
      <w:r w:rsidRPr="003141E7">
        <w:rPr>
          <w:lang w:val="fi-FI"/>
        </w:rPr>
        <w:instrText>HYPERLINK "http://data.europa.eu/eli/C/2025/3151/oj" \t "http://data.europa.eu/eli/C/2025/3151/oj"</w:instrText>
      </w:r>
      <w:r>
        <w:fldChar w:fldCharType="separate"/>
      </w:r>
      <w:r w:rsidRPr="00F83061">
        <w:rPr>
          <w:rStyle w:val="Hyperlink"/>
          <w:sz w:val="24"/>
          <w:lang w:val="hr-HR"/>
        </w:rPr>
        <w:t>http://data.europa.eu/eli/C/2025/3151/oj</w:t>
      </w:r>
      <w:r>
        <w:fldChar w:fldCharType="end"/>
      </w:r>
      <w:r w:rsidRPr="00F83061">
        <w:rPr>
          <w:sz w:val="24"/>
          <w:lang w:val="hr-HR"/>
        </w:rPr>
        <w:t>.</w:t>
      </w:r>
    </w:p>
  </w:footnote>
  <w:footnote w:id="7">
    <w:p w14:paraId="7635F58A" w14:textId="7CB6DEA3" w:rsidR="005E3094" w:rsidRPr="00F83061" w:rsidRDefault="005E3094" w:rsidP="00F83061">
      <w:pPr>
        <w:pStyle w:val="FootnoteText"/>
        <w:ind w:left="567" w:hanging="567"/>
        <w:rPr>
          <w:sz w:val="24"/>
          <w:lang w:val="hr-HR"/>
        </w:rPr>
      </w:pPr>
      <w:r w:rsidRPr="00F83061">
        <w:rPr>
          <w:rStyle w:val="FootnoteReference"/>
          <w:sz w:val="24"/>
          <w:lang w:val="hr-HR"/>
        </w:rPr>
        <w:footnoteRef/>
      </w:r>
      <w:r w:rsidR="00F83061" w:rsidRPr="00F83061">
        <w:rPr>
          <w:sz w:val="24"/>
          <w:lang w:val="hr-HR"/>
        </w:rPr>
        <w:t xml:space="preserve"> </w:t>
      </w:r>
      <w:r w:rsidR="00F83061" w:rsidRPr="00F83061">
        <w:rPr>
          <w:sz w:val="24"/>
          <w:lang w:val="hr-HR"/>
        </w:rPr>
        <w:tab/>
      </w:r>
      <w:r w:rsidRPr="00F83061">
        <w:rPr>
          <w:sz w:val="24"/>
          <w:lang w:val="hr-HR"/>
        </w:rPr>
        <w:t>SL C 99, 1.3.2022., str. 105.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F1DAE" w14:textId="77777777" w:rsidR="00064002" w:rsidRPr="00F830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7CDE8" w14:textId="77777777" w:rsidR="00064002" w:rsidRPr="00F830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EC150" w14:textId="77777777" w:rsidR="00064002" w:rsidRPr="00F830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6300000">
    <w:abstractNumId w:val="9"/>
  </w:num>
  <w:num w:numId="2" w16cid:durableId="169756718">
    <w:abstractNumId w:val="9"/>
  </w:num>
  <w:num w:numId="3" w16cid:durableId="1730810884">
    <w:abstractNumId w:val="7"/>
  </w:num>
  <w:num w:numId="4" w16cid:durableId="1436903453">
    <w:abstractNumId w:val="7"/>
  </w:num>
  <w:num w:numId="5" w16cid:durableId="68505365">
    <w:abstractNumId w:val="6"/>
  </w:num>
  <w:num w:numId="6" w16cid:durableId="635524637">
    <w:abstractNumId w:val="6"/>
  </w:num>
  <w:num w:numId="7" w16cid:durableId="60367850">
    <w:abstractNumId w:val="5"/>
  </w:num>
  <w:num w:numId="8" w16cid:durableId="155919608">
    <w:abstractNumId w:val="5"/>
  </w:num>
  <w:num w:numId="9" w16cid:durableId="1509518344">
    <w:abstractNumId w:val="4"/>
  </w:num>
  <w:num w:numId="10" w16cid:durableId="523634316">
    <w:abstractNumId w:val="4"/>
  </w:num>
  <w:num w:numId="11" w16cid:durableId="2117478696">
    <w:abstractNumId w:val="8"/>
  </w:num>
  <w:num w:numId="12" w16cid:durableId="122506489">
    <w:abstractNumId w:val="8"/>
  </w:num>
  <w:num w:numId="13" w16cid:durableId="198974752">
    <w:abstractNumId w:val="3"/>
  </w:num>
  <w:num w:numId="14" w16cid:durableId="1245721921">
    <w:abstractNumId w:val="3"/>
  </w:num>
  <w:num w:numId="15" w16cid:durableId="116919185">
    <w:abstractNumId w:val="2"/>
  </w:num>
  <w:num w:numId="16" w16cid:durableId="648100559">
    <w:abstractNumId w:val="2"/>
  </w:num>
  <w:num w:numId="17" w16cid:durableId="834995803">
    <w:abstractNumId w:val="1"/>
  </w:num>
  <w:num w:numId="18" w16cid:durableId="1166089845">
    <w:abstractNumId w:val="1"/>
  </w:num>
  <w:num w:numId="19" w16cid:durableId="1307079982">
    <w:abstractNumId w:val="0"/>
  </w:num>
  <w:num w:numId="20" w16cid:durableId="173081780">
    <w:abstractNumId w:val="0"/>
  </w:num>
  <w:num w:numId="21" w16cid:durableId="94520963">
    <w:abstractNumId w:val="9"/>
  </w:num>
  <w:num w:numId="22" w16cid:durableId="1127358840">
    <w:abstractNumId w:val="7"/>
  </w:num>
  <w:num w:numId="23" w16cid:durableId="721831065">
    <w:abstractNumId w:val="6"/>
  </w:num>
  <w:num w:numId="24" w16cid:durableId="489373606">
    <w:abstractNumId w:val="5"/>
  </w:num>
  <w:num w:numId="25" w16cid:durableId="272325271">
    <w:abstractNumId w:val="4"/>
  </w:num>
  <w:num w:numId="26" w16cid:durableId="1837064593">
    <w:abstractNumId w:val="8"/>
  </w:num>
  <w:num w:numId="27" w16cid:durableId="1507670996">
    <w:abstractNumId w:val="3"/>
  </w:num>
  <w:num w:numId="28" w16cid:durableId="926112136">
    <w:abstractNumId w:val="2"/>
  </w:num>
  <w:num w:numId="29" w16cid:durableId="24646898">
    <w:abstractNumId w:val="1"/>
  </w:num>
  <w:num w:numId="30" w16cid:durableId="1464621547">
    <w:abstractNumId w:val="0"/>
  </w:num>
  <w:num w:numId="31" w16cid:durableId="1273901710">
    <w:abstractNumId w:val="9"/>
  </w:num>
  <w:num w:numId="32" w16cid:durableId="1013455787">
    <w:abstractNumId w:val="7"/>
  </w:num>
  <w:num w:numId="33" w16cid:durableId="1639995002">
    <w:abstractNumId w:val="6"/>
  </w:num>
  <w:num w:numId="34" w16cid:durableId="2014528133">
    <w:abstractNumId w:val="5"/>
  </w:num>
  <w:num w:numId="35" w16cid:durableId="1389692533">
    <w:abstractNumId w:val="4"/>
  </w:num>
  <w:num w:numId="36" w16cid:durableId="151727463">
    <w:abstractNumId w:val="8"/>
  </w:num>
  <w:num w:numId="37" w16cid:durableId="660275365">
    <w:abstractNumId w:val="3"/>
  </w:num>
  <w:num w:numId="38" w16cid:durableId="1400522824">
    <w:abstractNumId w:val="2"/>
  </w:num>
  <w:num w:numId="39" w16cid:durableId="1217816877">
    <w:abstractNumId w:val="1"/>
  </w:num>
  <w:num w:numId="40" w16cid:durableId="1883782745">
    <w:abstractNumId w:val="0"/>
  </w:num>
  <w:num w:numId="41" w16cid:durableId="726799760">
    <w:abstractNumId w:val="10"/>
  </w:num>
  <w:num w:numId="42" w16cid:durableId="1546019060">
    <w:abstractNumId w:val="10"/>
  </w:num>
  <w:num w:numId="43" w16cid:durableId="494154653">
    <w:abstractNumId w:val="10"/>
  </w:num>
  <w:num w:numId="44" w16cid:durableId="656859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5/2026"/>
    <w:docVar w:name="dvlangue" w:val="HR"/>
    <w:docVar w:name="dvnumam" w:val="0"/>
    <w:docVar w:name="dvpe" w:val="778.180"/>
    <w:docVar w:name="dvrapporteur" w:val="Izvjestitelj: "/>
    <w:docVar w:name="dvtitre" w:val="Rezolucija Europskog parlamenta od .... 2026. o strateškim partnerstvima EU-a u području obrane i sigurnosti(2025/2119(INI))"/>
  </w:docVars>
  <w:rsids>
    <w:rsidRoot w:val="00010F70"/>
    <w:rsid w:val="00002272"/>
    <w:rsid w:val="00010F70"/>
    <w:rsid w:val="00040A03"/>
    <w:rsid w:val="00064002"/>
    <w:rsid w:val="000677B9"/>
    <w:rsid w:val="000831BA"/>
    <w:rsid w:val="000A42CC"/>
    <w:rsid w:val="000E7DD9"/>
    <w:rsid w:val="0010095E"/>
    <w:rsid w:val="00125B37"/>
    <w:rsid w:val="00187494"/>
    <w:rsid w:val="00197CFA"/>
    <w:rsid w:val="001A3CE2"/>
    <w:rsid w:val="001F32AE"/>
    <w:rsid w:val="00266E30"/>
    <w:rsid w:val="002767FF"/>
    <w:rsid w:val="002B18FE"/>
    <w:rsid w:val="002B5493"/>
    <w:rsid w:val="002F4CF4"/>
    <w:rsid w:val="003141E7"/>
    <w:rsid w:val="00343214"/>
    <w:rsid w:val="00361C00"/>
    <w:rsid w:val="00395FA1"/>
    <w:rsid w:val="003E15D4"/>
    <w:rsid w:val="00411CCE"/>
    <w:rsid w:val="0041666E"/>
    <w:rsid w:val="00421060"/>
    <w:rsid w:val="0046508F"/>
    <w:rsid w:val="00471C19"/>
    <w:rsid w:val="004831F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3094"/>
    <w:rsid w:val="005F1B17"/>
    <w:rsid w:val="006037C0"/>
    <w:rsid w:val="006631B6"/>
    <w:rsid w:val="00680577"/>
    <w:rsid w:val="00694BFA"/>
    <w:rsid w:val="006D00E1"/>
    <w:rsid w:val="006E590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7A1"/>
    <w:rsid w:val="007F3C71"/>
    <w:rsid w:val="00817416"/>
    <w:rsid w:val="00842779"/>
    <w:rsid w:val="00865F67"/>
    <w:rsid w:val="00881A7B"/>
    <w:rsid w:val="008840E5"/>
    <w:rsid w:val="00887B3E"/>
    <w:rsid w:val="008C2AC6"/>
    <w:rsid w:val="00900DC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487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030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061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90E0F7"/>
  <w15:chartTrackingRefBased/>
  <w15:docId w15:val="{7D0DFCCA-4E44-47AB-9FE2-DB2FA699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E3094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5E3094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EPFooter">
    <w:name w:val="EPFooter"/>
    <w:basedOn w:val="Normal"/>
    <w:rsid w:val="005E3094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  <w:szCs w:val="24"/>
      <w:lang w:eastAsia="en-US"/>
    </w:rPr>
  </w:style>
  <w:style w:type="paragraph" w:customStyle="1" w:styleId="Normal12">
    <w:name w:val="Normal12"/>
    <w:basedOn w:val="Normal"/>
    <w:rsid w:val="005E3094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5E3094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5E3094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5E3094"/>
    <w:rPr>
      <w:color w:val="0000FF"/>
      <w:u w:val="single"/>
    </w:rPr>
  </w:style>
  <w:style w:type="paragraph" w:styleId="Header">
    <w:name w:val="header"/>
    <w:basedOn w:val="Normal"/>
    <w:link w:val="HeaderChar"/>
    <w:rsid w:val="005E3094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5E3094"/>
    <w:rPr>
      <w:sz w:val="24"/>
      <w:szCs w:val="24"/>
      <w:lang w:val="hr-HR"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5E3094"/>
    <w:rPr>
      <w:sz w:val="24"/>
      <w:szCs w:val="24"/>
      <w:lang w:val="hr-HR" w:eastAsia="en-US"/>
    </w:rPr>
  </w:style>
  <w:style w:type="paragraph" w:styleId="Footer">
    <w:name w:val="footer"/>
    <w:basedOn w:val="Normal"/>
    <w:link w:val="FooterChar"/>
    <w:rsid w:val="00EA03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A0305"/>
    <w:rPr>
      <w:sz w:val="24"/>
      <w:lang w:val="hr-HR"/>
    </w:rPr>
  </w:style>
  <w:style w:type="paragraph" w:styleId="Revision">
    <w:name w:val="Revision"/>
    <w:hidden/>
    <w:uiPriority w:val="99"/>
    <w:semiHidden/>
    <w:rsid w:val="002F4CF4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17/23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5064</Words>
  <Characters>31919</Characters>
  <Application>Microsoft Office Word</Application>
  <DocSecurity>0</DocSecurity>
  <Lines>265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SOLTYSOVA Zuzana</cp:lastModifiedBy>
  <cp:revision>3</cp:revision>
  <cp:lastPrinted>2004-11-19T15:42:00Z</cp:lastPrinted>
  <dcterms:created xsi:type="dcterms:W3CDTF">2026-03-16T15:56:00Z</dcterms:created>
  <dcterms:modified xsi:type="dcterms:W3CDTF">2026-04-30T15:13:00Z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A10-0005/2026</vt:lpwstr>
  </property>
  <property fmtid="{D5CDD505-2E9C-101B-9397-08002B2CF9AE}" pid="4" name="&lt;Type&gt;">
    <vt:lpwstr>RR</vt:lpwstr>
  </property>
</Properties>
</file>