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66F9" w14:paraId="67B8B6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36E392" w14:textId="77777777" w:rsidR="00751A4A" w:rsidRPr="002C66F9" w:rsidRDefault="00981E25" w:rsidP="0010095E">
            <w:pPr>
              <w:pStyle w:val="EPName"/>
            </w:pPr>
            <w:r w:rsidRPr="002C66F9">
              <w:t>Parlament Europejski</w:t>
            </w:r>
          </w:p>
          <w:p w14:paraId="3AC52644" w14:textId="77777777" w:rsidR="00751A4A" w:rsidRPr="002C66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66F9">
              <w:t>2024</w:t>
            </w:r>
            <w:r w:rsidR="00817416" w:rsidRPr="002C66F9">
              <w:t>-202</w:t>
            </w:r>
            <w:r w:rsidRPr="002C66F9">
              <w:t>9</w:t>
            </w:r>
          </w:p>
        </w:tc>
        <w:tc>
          <w:tcPr>
            <w:tcW w:w="2268" w:type="dxa"/>
            <w:shd w:val="clear" w:color="auto" w:fill="auto"/>
          </w:tcPr>
          <w:p w14:paraId="3859CA75" w14:textId="77777777" w:rsidR="00751A4A" w:rsidRPr="002C66F9" w:rsidRDefault="00187494" w:rsidP="0010095E">
            <w:pPr>
              <w:pStyle w:val="EPLogo"/>
            </w:pPr>
            <w:r w:rsidRPr="002C66F9">
              <w:rPr>
                <w:noProof/>
                <w:lang w:eastAsia="ja-JP"/>
              </w:rPr>
              <w:drawing>
                <wp:inline distT="0" distB="0" distL="0" distR="0" wp14:anchorId="03A99505" wp14:editId="1BC6A3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D6D91" w14:textId="77777777" w:rsidR="00D058B8" w:rsidRPr="002C66F9" w:rsidRDefault="00D058B8" w:rsidP="004C5D52">
      <w:pPr>
        <w:pStyle w:val="LineTop"/>
      </w:pPr>
    </w:p>
    <w:p w14:paraId="33A12832" w14:textId="77777777" w:rsidR="00680577" w:rsidRPr="002C66F9" w:rsidRDefault="00981E25" w:rsidP="00680577">
      <w:pPr>
        <w:pStyle w:val="EPBodyTA1"/>
      </w:pPr>
      <w:r w:rsidRPr="002C66F9">
        <w:t>TEKSTY PRZYJĘTE</w:t>
      </w:r>
    </w:p>
    <w:p w14:paraId="488FDBCF" w14:textId="77777777" w:rsidR="00D058B8" w:rsidRPr="002C66F9" w:rsidRDefault="00D058B8" w:rsidP="00D058B8">
      <w:pPr>
        <w:pStyle w:val="LineBottom"/>
      </w:pPr>
    </w:p>
    <w:p w14:paraId="51F05F47" w14:textId="3E28C27D" w:rsidR="00981E25" w:rsidRPr="002C66F9" w:rsidRDefault="00981E25" w:rsidP="00981E25">
      <w:pPr>
        <w:pStyle w:val="ATHeading1"/>
      </w:pPr>
      <w:bookmarkStart w:id="0" w:name="TANumber"/>
      <w:r w:rsidRPr="002C66F9">
        <w:t>P10_TA(2026)00</w:t>
      </w:r>
      <w:bookmarkEnd w:id="0"/>
      <w:r w:rsidR="00C5643E">
        <w:t>40</w:t>
      </w:r>
    </w:p>
    <w:p w14:paraId="0D8400C9" w14:textId="77777777" w:rsidR="00981E25" w:rsidRPr="002C66F9" w:rsidRDefault="00981E25" w:rsidP="00981E25">
      <w:pPr>
        <w:pStyle w:val="ATHeading2"/>
      </w:pPr>
      <w:bookmarkStart w:id="1" w:name="title"/>
      <w:r w:rsidRPr="002C66F9">
        <w:t>Unijne strategiczne partnerstwa na rzecz obrony i bezpieczeństwa</w:t>
      </w:r>
      <w:bookmarkEnd w:id="1"/>
    </w:p>
    <w:p w14:paraId="1C1ED844" w14:textId="77777777" w:rsidR="00981E25" w:rsidRPr="002C66F9" w:rsidRDefault="00981E25" w:rsidP="00981E25">
      <w:pPr>
        <w:rPr>
          <w:i/>
          <w:vanish/>
        </w:rPr>
      </w:pPr>
      <w:r w:rsidRPr="002C66F9">
        <w:rPr>
          <w:i/>
        </w:rPr>
        <w:fldChar w:fldCharType="begin"/>
      </w:r>
      <w:r w:rsidRPr="002C66F9">
        <w:rPr>
          <w:i/>
        </w:rPr>
        <w:instrText xml:space="preserve"> TC"(</w:instrText>
      </w:r>
      <w:bookmarkStart w:id="2" w:name="DocNumber"/>
      <w:r w:rsidRPr="002C66F9">
        <w:rPr>
          <w:i/>
        </w:rPr>
        <w:instrText>A10-0005/2026</w:instrText>
      </w:r>
      <w:bookmarkEnd w:id="2"/>
      <w:r w:rsidRPr="002C66F9">
        <w:rPr>
          <w:i/>
        </w:rPr>
        <w:instrText xml:space="preserve"> - Sprawozdawca: Michał Szczerba)"\l3 \n&gt; \* MERGEFORMAT </w:instrText>
      </w:r>
      <w:r w:rsidRPr="002C66F9">
        <w:rPr>
          <w:i/>
        </w:rPr>
        <w:fldChar w:fldCharType="end"/>
      </w:r>
    </w:p>
    <w:p w14:paraId="665B79D9" w14:textId="77777777" w:rsidR="00981E25" w:rsidRPr="002C66F9" w:rsidRDefault="00981E25" w:rsidP="00981E25">
      <w:pPr>
        <w:rPr>
          <w:vanish/>
        </w:rPr>
      </w:pPr>
      <w:bookmarkStart w:id="3" w:name="Commission"/>
      <w:r w:rsidRPr="002C66F9">
        <w:rPr>
          <w:vanish/>
        </w:rPr>
        <w:t>Komisja Bezpieczeństwa i Obrony</w:t>
      </w:r>
      <w:bookmarkEnd w:id="3"/>
    </w:p>
    <w:p w14:paraId="5E5E6F2B" w14:textId="77777777" w:rsidR="00981E25" w:rsidRPr="002C66F9" w:rsidRDefault="00981E25" w:rsidP="00981E25">
      <w:pPr>
        <w:rPr>
          <w:vanish/>
        </w:rPr>
      </w:pPr>
      <w:bookmarkStart w:id="4" w:name="PE"/>
      <w:r w:rsidRPr="002C66F9">
        <w:rPr>
          <w:vanish/>
        </w:rPr>
        <w:t>PE778.180</w:t>
      </w:r>
      <w:bookmarkEnd w:id="4"/>
    </w:p>
    <w:p w14:paraId="67DBAFB1" w14:textId="1CE1CD71" w:rsidR="00981E25" w:rsidRPr="002C66F9" w:rsidRDefault="00981E25" w:rsidP="00981E25">
      <w:pPr>
        <w:pStyle w:val="ATHeading3"/>
      </w:pPr>
      <w:bookmarkStart w:id="5" w:name="Sujet"/>
      <w:r w:rsidRPr="002C66F9">
        <w:t xml:space="preserve">Rezolucja Parlamentu Europejskiego z dnia </w:t>
      </w:r>
      <w:r w:rsidR="00C5643E">
        <w:t>11 lutego</w:t>
      </w:r>
      <w:r w:rsidRPr="002C66F9">
        <w:t xml:space="preserve"> 2026 r. w sprawie unijnych strategicznych partnerstw na rzecz obrony i bezpieczeństwa</w:t>
      </w:r>
      <w:bookmarkEnd w:id="5"/>
      <w:r w:rsidRPr="002C66F9">
        <w:t xml:space="preserve"> </w:t>
      </w:r>
      <w:bookmarkStart w:id="6" w:name="References"/>
      <w:r w:rsidRPr="002C66F9">
        <w:t>(2025/2119(INI))</w:t>
      </w:r>
      <w:bookmarkEnd w:id="6"/>
    </w:p>
    <w:p w14:paraId="648063A2" w14:textId="77777777" w:rsidR="00E15A15" w:rsidRPr="002C66F9" w:rsidRDefault="00E15A15" w:rsidP="00E15A15">
      <w:pPr>
        <w:pStyle w:val="Normal12"/>
      </w:pPr>
      <w:r w:rsidRPr="002C66F9">
        <w:rPr>
          <w:i/>
        </w:rPr>
        <w:t>Parlament Europejski</w:t>
      </w:r>
      <w:r w:rsidRPr="002C66F9">
        <w:t>,</w:t>
      </w:r>
    </w:p>
    <w:p w14:paraId="2C7B2F38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Traktat o funkcjonowaniu Unii Europejskiej oraz tytuł V Traktatu o Unii Europejskiej (TUE), w szczególności postanowienia dotyczące wspólnej polityki bezpieczeństwa i obrony (</w:t>
      </w:r>
      <w:proofErr w:type="spellStart"/>
      <w:r w:rsidRPr="002C66F9">
        <w:t>WPBiO</w:t>
      </w:r>
      <w:proofErr w:type="spellEnd"/>
      <w:r w:rsidRPr="002C66F9">
        <w:t>),</w:t>
      </w:r>
    </w:p>
    <w:p w14:paraId="0CCF4A5E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„Strategiczny kompas na rzecz bezpieczeństwa i obrony – dla Unii Europejskiej, która chroni swoich obywateli, swoje wartości i interesy oraz przyczynia się do międzynarodowego pokoju i bezpieczeństwa”, przyjęty przez Radę 21 marca 2022 r.,</w:t>
      </w:r>
    </w:p>
    <w:p w14:paraId="0764B585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deklarację wersalską przyjętą na nieformalnym posiedzeniu szefów państw i rządów 10 i 11 marca 2022 r.,</w:t>
      </w:r>
    </w:p>
    <w:p w14:paraId="3D9459BA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decyzję Rady (</w:t>
      </w:r>
      <w:proofErr w:type="spellStart"/>
      <w:r w:rsidRPr="002C66F9">
        <w:t>WPZiB</w:t>
      </w:r>
      <w:proofErr w:type="spellEnd"/>
      <w:r w:rsidRPr="002C66F9">
        <w:t>) 2017/2315 z 11 grudnia 2017 r. w sprawie ustanowienia stałej współpracy strukturalnej (PESCO) oraz ustalenia listy uczestniczących w niej państw członkowskich</w:t>
      </w:r>
      <w:r w:rsidRPr="002C66F9">
        <w:rPr>
          <w:rStyle w:val="FootnoteReference"/>
        </w:rPr>
        <w:footnoteReference w:customMarkFollows="1" w:id="1"/>
        <w:t>1</w:t>
      </w:r>
      <w:r w:rsidRPr="002C66F9">
        <w:t>,</w:t>
      </w:r>
    </w:p>
    <w:p w14:paraId="7F430710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decyzję Rady (</w:t>
      </w:r>
      <w:proofErr w:type="spellStart"/>
      <w:r w:rsidRPr="002C66F9">
        <w:t>WPZiB</w:t>
      </w:r>
      <w:proofErr w:type="spellEnd"/>
      <w:r w:rsidRPr="002C66F9">
        <w:t>) 2024/890 z 18 marca 2024 r. zmieniającą decyzję Rady (</w:t>
      </w:r>
      <w:proofErr w:type="spellStart"/>
      <w:r w:rsidRPr="002C66F9">
        <w:t>WPZiB</w:t>
      </w:r>
      <w:proofErr w:type="spellEnd"/>
      <w:r w:rsidRPr="002C66F9">
        <w:t>) 2021/509 w sprawie ustanowienia Europejskiego Instrumentu na rzecz Pokoju</w:t>
      </w:r>
      <w:r w:rsidRPr="002C66F9">
        <w:rPr>
          <w:rStyle w:val="FootnoteReference"/>
        </w:rPr>
        <w:footnoteReference w:customMarkFollows="1" w:id="2"/>
        <w:t>2</w:t>
      </w:r>
      <w:r w:rsidRPr="002C66F9">
        <w:t>,</w:t>
      </w:r>
    </w:p>
    <w:p w14:paraId="4972F07D" w14:textId="77777777" w:rsidR="00E15A15" w:rsidRPr="002C66F9" w:rsidRDefault="00E15A15" w:rsidP="00E15A15">
      <w:pPr>
        <w:pStyle w:val="NormalHanging12a"/>
      </w:pPr>
      <w:r w:rsidRPr="002C66F9">
        <w:t>–</w:t>
      </w:r>
      <w:r w:rsidRPr="002C66F9">
        <w:tab/>
        <w:t>uwzględniając konkluzje Rady Europejskiej, w szczególności konkluzje z 6 i 20 marca, 26 czerwca i 23 października 2025 r.,</w:t>
      </w:r>
    </w:p>
    <w:p w14:paraId="5980D907" w14:textId="77777777" w:rsidR="00E15A15" w:rsidRPr="002C66F9" w:rsidRDefault="00E15A15" w:rsidP="00E15A15">
      <w:pPr>
        <w:pStyle w:val="NormalHanging"/>
      </w:pPr>
      <w:r w:rsidRPr="002C66F9">
        <w:rPr>
          <w:i/>
        </w:rPr>
        <w:t>–</w:t>
      </w:r>
      <w:r w:rsidRPr="002C66F9">
        <w:rPr>
          <w:i/>
        </w:rPr>
        <w:tab/>
      </w:r>
      <w:r w:rsidRPr="002C66F9">
        <w:t xml:space="preserve">uwzględniając partnerstwa na rzecz bezpieczeństwa i obrony podpisane 21 maja 2024 r. przez UE i Mołdawię, 28 maja 2024 r. przez UE i Norwegię, 1 listopada 2024 r. przez UE i Japonię, 4 listopada 2024 r. przez UE i Koreę Południową, 19 listopada 2024 r. </w:t>
      </w:r>
      <w:r w:rsidRPr="002C66F9">
        <w:lastRenderedPageBreak/>
        <w:t>przez UE i Macedonię Północną, 18 grudnia 2024 r. przez UE i Albanię, 19 maja 2025 r. przez UE i Zjednoczone Królestwo oraz 23 czerwca 2025 r. przez UE i Kanadę,</w:t>
      </w:r>
    </w:p>
    <w:p w14:paraId="3F12D7C8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rPr>
          <w:b/>
          <w:i/>
        </w:rPr>
        <w:t>–</w:t>
      </w:r>
      <w:r w:rsidRPr="002C66F9">
        <w:rPr>
          <w:b/>
          <w:i/>
        </w:rPr>
        <w:tab/>
      </w:r>
      <w:r w:rsidRPr="002C66F9">
        <w:t>uwzględniając wspólne zobowiązania na rzecz bezpieczeństwa między UE a Ukrainą podpisane 27 czerwca 2024 r.,</w:t>
      </w:r>
    </w:p>
    <w:p w14:paraId="50ECDF42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rozporządzenie Parlamentu Europejskiego i Rady (UE) 2021/697 z 29 kwietnia 2021 r. ustanawiające Europejski Fundusz Obronny i uchylające rozporządzenie (UE) 2018/1092</w:t>
      </w:r>
      <w:r w:rsidRPr="002C66F9">
        <w:rPr>
          <w:rStyle w:val="FootnoteReference"/>
        </w:rPr>
        <w:footnoteReference w:customMarkFollows="1" w:id="3"/>
        <w:t>3</w:t>
      </w:r>
      <w:r w:rsidRPr="002C66F9">
        <w:t>,</w:t>
      </w:r>
    </w:p>
    <w:p w14:paraId="2A3DCB62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białą księgę w sprawie obronności europejskiej „Gotowość 2030”, przedstawioną przez Komisję Europejską 19 marca 2025 r., oraz przewidziany w niej pięciotorowy plan finansowania „</w:t>
      </w:r>
      <w:proofErr w:type="spellStart"/>
      <w:r w:rsidRPr="002C66F9">
        <w:t>ReArm</w:t>
      </w:r>
      <w:proofErr w:type="spellEnd"/>
      <w:r w:rsidRPr="002C66F9">
        <w:t xml:space="preserve"> Europe”,</w:t>
      </w:r>
    </w:p>
    <w:p w14:paraId="1FB0315D" w14:textId="026CF064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 xml:space="preserve">uwzględniając wniosek Komisji z 22 kwietnia 2025 r. dotyczący rozporządzenia Parlamentu Europejskiego i Rady zmieniającego rozporządzenia: </w:t>
      </w:r>
      <w:r w:rsidR="00F0410E">
        <w:t xml:space="preserve">(UE) </w:t>
      </w:r>
      <w:r w:rsidRPr="002C66F9">
        <w:t xml:space="preserve">2021/694, (UE) 2021/695, (UE) 2021/697, (UE) 2021/1153, (UE) 2023/1525 i </w:t>
      </w:r>
      <w:r w:rsidR="009B36C8">
        <w:t xml:space="preserve">(UE) </w:t>
      </w:r>
      <w:r w:rsidRPr="002C66F9">
        <w:t xml:space="preserve">2024/795 w odniesieniu do tworzenia zachęt do inwestycji związanych z obronnością w budżecie UE w celu wdrożenia planu </w:t>
      </w:r>
      <w:proofErr w:type="spellStart"/>
      <w:r w:rsidRPr="002C66F9">
        <w:t>ReArm</w:t>
      </w:r>
      <w:proofErr w:type="spellEnd"/>
      <w:r w:rsidRPr="002C66F9">
        <w:t xml:space="preserve"> Europe (</w:t>
      </w:r>
      <w:hyperlink r:id="rId9" w:tgtFrame="https://eur-lex.europa.eu/legal-content/EN/ALL/?uri=CELEX:52025PC0188" w:history="1">
        <w:r w:rsidRPr="002C66F9">
          <w:rPr>
            <w:rStyle w:val="Hyperlink"/>
          </w:rPr>
          <w:t>COM(2025)0188</w:t>
        </w:r>
      </w:hyperlink>
      <w:r w:rsidRPr="002C66F9">
        <w:t>),</w:t>
      </w:r>
    </w:p>
    <w:p w14:paraId="4562908E" w14:textId="77777777" w:rsidR="00E15A15" w:rsidRPr="002C66F9" w:rsidRDefault="00E15A15" w:rsidP="00E15A15">
      <w:pPr>
        <w:pStyle w:val="NormalHanging12a"/>
      </w:pPr>
      <w:r w:rsidRPr="002C66F9">
        <w:t>–</w:t>
      </w:r>
      <w:r w:rsidRPr="002C66F9">
        <w:tab/>
        <w:t>uwzględniając rozporządzenie Rady (UE) 2025/1106 z dnia 27 maja 2025 r. ustanawiające Instrument na rzecz Zwiększenia Bezpieczeństwa Europy (SAFE) poprzez Wzmocnienie Europejskiego Przemysłu Obronnego</w:t>
      </w:r>
      <w:r w:rsidRPr="002C66F9">
        <w:rPr>
          <w:rStyle w:val="FootnoteReference"/>
        </w:rPr>
        <w:footnoteReference w:id="4"/>
      </w:r>
      <w:r w:rsidRPr="002C66F9">
        <w:t>,</w:t>
      </w:r>
    </w:p>
    <w:p w14:paraId="71507445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komunikat Komisji z 17 czerwca 2025 r. w sprawie pakietu zbiorczego dotyczącego gotowości obronnej (COM(2025)0820), którego celem jest uproszczenie odpowiednich ram prawnych i administracyjnych w celu zwiększenia gotowości Unii w dziedzinie obronności,</w:t>
      </w:r>
    </w:p>
    <w:p w14:paraId="36896F5B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rPr>
          <w:b/>
          <w:i/>
        </w:rPr>
        <w:t>–</w:t>
      </w:r>
      <w:r w:rsidRPr="002C66F9">
        <w:rPr>
          <w:b/>
          <w:i/>
        </w:rPr>
        <w:tab/>
      </w:r>
      <w:r w:rsidRPr="002C66F9">
        <w:t>uwzględniając wspólny komunikat Komisji i wysokiej przedstawiciel Unii do spraw zagranicznych i polityki bezpieczeństwa z 16 października 2025 r. pt. „Utrzymanie pokoju – plan działania na rzecz gotowości obronnej do 2030 r.” (JOIN(2025)0027),</w:t>
      </w:r>
    </w:p>
    <w:p w14:paraId="5181CC4D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 xml:space="preserve">uwzględniając sprawozdanie Mario </w:t>
      </w:r>
      <w:proofErr w:type="spellStart"/>
      <w:r w:rsidRPr="002C66F9">
        <w:t>Draghiego</w:t>
      </w:r>
      <w:proofErr w:type="spellEnd"/>
      <w:r w:rsidRPr="002C66F9">
        <w:t xml:space="preserve"> z 9 września 2024 r. w sprawie przyszłości europejskiej konkurencyjności,</w:t>
      </w:r>
    </w:p>
    <w:p w14:paraId="7B87826E" w14:textId="6C17BA5F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 xml:space="preserve">uwzględniając sprawozdanie </w:t>
      </w:r>
      <w:proofErr w:type="spellStart"/>
      <w:r w:rsidRPr="002C66F9">
        <w:t>Saulego</w:t>
      </w:r>
      <w:proofErr w:type="spellEnd"/>
      <w:r w:rsidRPr="002C66F9">
        <w:t xml:space="preserve"> </w:t>
      </w:r>
      <w:proofErr w:type="spellStart"/>
      <w:r w:rsidRPr="002C66F9">
        <w:t>Niinistö</w:t>
      </w:r>
      <w:proofErr w:type="spellEnd"/>
      <w:r w:rsidRPr="002C66F9">
        <w:t xml:space="preserve"> z 30 października 2024 r. pt. „Razem bezpieczniej – wzmocnienie gotowości cywilnej i wojskowej oraz przygotowania w Europie”,</w:t>
      </w:r>
    </w:p>
    <w:p w14:paraId="18A3BBB6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trzy wspólne oświadczenia w sprawie współpracy UE–NATO, podpisane przez przewodniczących Rady Europejskiej i Komisji oraz sekretarza generalnego NATO 10 stycznia 2023 r., 5 grudnia 2018 r. i 6 grudnia 2016 r.,</w:t>
      </w:r>
    </w:p>
    <w:p w14:paraId="5C64F16F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koncepcję strategiczną przyjętą na szczycie NATO w Madrycie 29 czerwca 2022 r.,</w:t>
      </w:r>
    </w:p>
    <w:p w14:paraId="278F11A2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deklarację ze szczytu w Hadze z 25 czerwca 2025 r.,</w:t>
      </w:r>
    </w:p>
    <w:p w14:paraId="36A43351" w14:textId="77777777" w:rsidR="00E15A15" w:rsidRPr="002C66F9" w:rsidRDefault="00E15A15" w:rsidP="00E15A15">
      <w:pPr>
        <w:pStyle w:val="NormalHanging"/>
      </w:pPr>
      <w:r w:rsidRPr="002C66F9">
        <w:lastRenderedPageBreak/>
        <w:t>–</w:t>
      </w:r>
      <w:r w:rsidRPr="002C66F9">
        <w:tab/>
        <w:t>uwzględniając swoją rezolucję z 2 kwietnia 2025 r. w sprawie realizacji wspólnej polityki bezpieczeństwa i obrony – sprawozdanie roczne za 2024 r.</w:t>
      </w:r>
      <w:r w:rsidRPr="002C66F9">
        <w:rPr>
          <w:rStyle w:val="FootnoteReference"/>
        </w:rPr>
        <w:footnoteReference w:id="5"/>
      </w:r>
      <w:r w:rsidRPr="002C66F9">
        <w:t>,</w:t>
      </w:r>
    </w:p>
    <w:p w14:paraId="54517E7F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swoją rezolucję z 12 marca 2025 r. w sprawie białej księgi na temat przyszłości obronności europejskiej</w:t>
      </w:r>
      <w:r w:rsidRPr="002C66F9">
        <w:rPr>
          <w:rStyle w:val="FootnoteReference"/>
        </w:rPr>
        <w:footnoteReference w:id="6"/>
      </w:r>
      <w:r w:rsidRPr="002C66F9">
        <w:t>,</w:t>
      </w:r>
    </w:p>
    <w:p w14:paraId="556EA055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swoją rezolucję z 7 lipca 2021 r. na temat współpracy między UE a NATO w kontekście stosunków transatlantyckich</w:t>
      </w:r>
      <w:r w:rsidRPr="002C66F9">
        <w:rPr>
          <w:rStyle w:val="FootnoteReference"/>
        </w:rPr>
        <w:footnoteReference w:id="7"/>
      </w:r>
      <w:r w:rsidRPr="002C66F9">
        <w:t>,</w:t>
      </w:r>
    </w:p>
    <w:p w14:paraId="1009C0B0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wspólny komunikat Komisji i wysokiego przedstawiciela Unii do spraw zagranicznych i polityki bezpieczeństwa z 5 marca 2024 r. pt. „Nowa Strategia na rzecz europejskiego przemysłu obronnego – osiągnięcie gotowości UE dzięki zdolnemu do reagowania i odpornemu europejskiemu przemysłowi obronnemu” (JOIN(2024)0010),</w:t>
      </w:r>
    </w:p>
    <w:p w14:paraId="6131D150" w14:textId="26A342EB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wytyczne polityczne na następną kadencję Komisji Europejskiej w latach 2024–2029 pt. „Wybór Europy”, przedstawione 18 lipca 202</w:t>
      </w:r>
      <w:r w:rsidR="00F0410E">
        <w:t>4</w:t>
      </w:r>
      <w:r w:rsidRPr="002C66F9">
        <w:t xml:space="preserve"> r. przez kandydatkę na urząd przewodniczącego Komisji Europejskiej Ursulę von der </w:t>
      </w:r>
      <w:proofErr w:type="spellStart"/>
      <w:r w:rsidRPr="002C66F9">
        <w:t>Leyen</w:t>
      </w:r>
      <w:proofErr w:type="spellEnd"/>
      <w:r w:rsidRPr="002C66F9">
        <w:t>,</w:t>
      </w:r>
    </w:p>
    <w:p w14:paraId="4F37DECD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wspólną deklarację w sprawie współpracy między ONZ a UE w zakresie zarządzania kryzysowego, podpisaną przez sekretarza generalnego Organizacji Narodów Zjednoczonych i przewodniczącego Rady Europejskiej w dniu 24 września 2003 r.,</w:t>
      </w:r>
    </w:p>
    <w:p w14:paraId="2D6B382A" w14:textId="77777777" w:rsidR="00E15A15" w:rsidRPr="002C66F9" w:rsidRDefault="00E15A15" w:rsidP="00E15A15">
      <w:pPr>
        <w:pStyle w:val="NormalHanging12a"/>
        <w:rPr>
          <w:b/>
          <w:i/>
        </w:rPr>
      </w:pPr>
      <w:r w:rsidRPr="002C66F9">
        <w:rPr>
          <w:b/>
          <w:i/>
        </w:rPr>
        <w:t>–</w:t>
      </w:r>
      <w:r w:rsidRPr="002C66F9">
        <w:rPr>
          <w:b/>
          <w:i/>
        </w:rPr>
        <w:tab/>
      </w:r>
      <w:r w:rsidRPr="002C66F9">
        <w:t>uwzględniając wspólny komunikat Komisji oraz wysokiego przedstawiciela Unii do spraw zagranicznych i polityki bezpieczeństwa z 10 marca 2023 r. pt. „Strategia kosmiczna UE na rzecz bezpieczeństwa i obrony” (JOIN(2023)0009),</w:t>
      </w:r>
    </w:p>
    <w:p w14:paraId="055666FF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art. 55 Regulaminu,</w:t>
      </w:r>
    </w:p>
    <w:p w14:paraId="5EB9FFE7" w14:textId="77777777" w:rsidR="00E15A15" w:rsidRPr="002C66F9" w:rsidRDefault="00E15A15" w:rsidP="00E15A15">
      <w:pPr>
        <w:pStyle w:val="NormalHanging"/>
      </w:pPr>
      <w:r w:rsidRPr="002C66F9">
        <w:t>–</w:t>
      </w:r>
      <w:r w:rsidRPr="002C66F9">
        <w:tab/>
        <w:t>uwzględniając sprawozdanie Komisji Bezpieczeństwa i Obrony (A10-0005/2026),</w:t>
      </w:r>
    </w:p>
    <w:p w14:paraId="209B34C2" w14:textId="77777777" w:rsidR="00E15A15" w:rsidRPr="002C66F9" w:rsidRDefault="00E15A15" w:rsidP="00E15A15">
      <w:pPr>
        <w:pStyle w:val="NormalHanging12a"/>
      </w:pPr>
      <w:r w:rsidRPr="002C66F9">
        <w:t>A.</w:t>
      </w:r>
      <w:r w:rsidRPr="002C66F9">
        <w:tab/>
        <w:t>mając na uwadze, że obecny kontekst geopolityczny, w szczególności powrót wojny na kontynent europejski ze względu na rosyjską napaść na Ukrainę i wynikająca stąd decyzja UE o ponoszeniu większej odpowiedzialności za bezpieczeństwo i obronę, w tym za wsparcie wojskowe dla Ukrainy, wymaga od UE budowania silniejszych, trwałych i dostosowanych do potrzeb partnerstw w celu zacieśnienia współpracy z partnerami o podobnych poglądach w sposób przynoszący obopólne korzyści; mając na uwadze, że zmiana paradygmatu wojskowego w połączeniu z pojawieniem się zagrożeń hybrydowych sprawia, że żaden region UE nie jest odporny na ryzyko agresji lub ingerencji;</w:t>
      </w:r>
    </w:p>
    <w:p w14:paraId="7D43C945" w14:textId="77777777" w:rsidR="00E15A15" w:rsidRPr="002C66F9" w:rsidRDefault="00E15A15" w:rsidP="00E15A15">
      <w:pPr>
        <w:pStyle w:val="NormalHanging12a"/>
        <w:rPr>
          <w:b/>
          <w:i/>
        </w:rPr>
      </w:pPr>
      <w:r w:rsidRPr="002C66F9">
        <w:t>B.</w:t>
      </w:r>
      <w:r w:rsidRPr="002C66F9">
        <w:tab/>
        <w:t>mając na uwadze, że rosnąca rola UE w dziedzinie bezpieczeństwa i obrony musi pozostawać zgodna z zasadami i celami działań zewnętrznych UE określonymi w art. 21 TUE, w tym z poszanowaniem Karty Narodów Zjednoczonych, prawa międzynarodowego, zapobieganiem konfliktom, zrównoważonym rozwojem, demokracją i prawami człowieka;</w:t>
      </w:r>
    </w:p>
    <w:p w14:paraId="2C8D5141" w14:textId="77777777" w:rsidR="00E15A15" w:rsidRPr="002C66F9" w:rsidRDefault="00E15A15" w:rsidP="00E15A15">
      <w:pPr>
        <w:pStyle w:val="NormalHanging"/>
      </w:pPr>
      <w:r w:rsidRPr="002C66F9">
        <w:lastRenderedPageBreak/>
        <w:t>C.</w:t>
      </w:r>
      <w:r w:rsidRPr="002C66F9">
        <w:tab/>
        <w:t>mając na uwadze, że zaangażowanie UE w promowanie współpracy międzynarodowej i wzmacnianie skutecznego multilateralizmu na wszystkich szczeblach jest niezachwiane;</w:t>
      </w:r>
    </w:p>
    <w:p w14:paraId="447307C0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D.</w:t>
      </w:r>
      <w:r w:rsidRPr="002C66F9">
        <w:tab/>
        <w:t xml:space="preserve">mając na uwadze, że </w:t>
      </w:r>
      <w:proofErr w:type="spellStart"/>
      <w:r w:rsidRPr="002C66F9">
        <w:t>ogólnounijne</w:t>
      </w:r>
      <w:proofErr w:type="spellEnd"/>
      <w:r w:rsidRPr="002C66F9">
        <w:t xml:space="preserve"> partnerstwa i dialogi na temat pokoju, bezpieczeństwa i obrony są najważniejszym źródłem siły i odporności;</w:t>
      </w:r>
      <w:r w:rsidRPr="002C66F9">
        <w:rPr>
          <w:b/>
          <w:i/>
        </w:rPr>
        <w:t xml:space="preserve"> </w:t>
      </w:r>
      <w:r w:rsidRPr="002C66F9">
        <w:t>mając na uwadze, że partnerstwa te powinny odpowiadać na najpilniejsze potrzeby i wyzwania UE w dziedzinie obronności;</w:t>
      </w:r>
    </w:p>
    <w:p w14:paraId="0BFD2220" w14:textId="77777777" w:rsidR="00E15A15" w:rsidRPr="002C66F9" w:rsidRDefault="00E15A15" w:rsidP="00E15A15">
      <w:pPr>
        <w:pStyle w:val="NormalHanging12a"/>
      </w:pPr>
      <w:r w:rsidRPr="002C66F9">
        <w:t>E.</w:t>
      </w:r>
      <w:r w:rsidRPr="002C66F9">
        <w:tab/>
        <w:t>mając na uwadze, że w Strategicznym kompasie wezwano do rozszerzenia i pogłębienia partnerstw z partnerami dwustronnymi, regionalnymi i wielostronnymi na całym świecie z myślą o wzajemnych korzyściach i wzmocnionej współpracy, podkreślając potrzebę interoperacyjności, innowacji i spójności między ramami UE i NATO, a także ściślejszej współpracy z Ukrainą i Stanami Zjednoczonymi jako kluczowymi partnerami w zakresie bezpieczeństwa europejskiego i transatlantyckiego;</w:t>
      </w:r>
    </w:p>
    <w:p w14:paraId="0912E325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F.</w:t>
      </w:r>
      <w:r w:rsidRPr="002C66F9">
        <w:tab/>
        <w:t>mając na uwadze, że gwałtowne nasilenie się działalności organizacji zajmujących się handlem ludźmi i instrumentalizacja migracji to kluczowe zagrożenie dla bezpieczeństwa UE;</w:t>
      </w:r>
    </w:p>
    <w:p w14:paraId="34A0BACA" w14:textId="77777777" w:rsidR="00E15A15" w:rsidRPr="002C66F9" w:rsidRDefault="00E15A15" w:rsidP="00E15A15">
      <w:pPr>
        <w:pStyle w:val="NormalHanging12a"/>
      </w:pPr>
      <w:r w:rsidRPr="002C66F9">
        <w:t>G.</w:t>
      </w:r>
      <w:r w:rsidRPr="002C66F9">
        <w:tab/>
        <w:t>mając na uwadze, że nowe partnerstwa na rzecz bezpieczeństwa i obrony między UE a krajami partnerskimi powinny mieć na celu wprowadzenie i utrzymanie najwyższych europejskich standardów w dziedzinie bezpieczeństwa poprzez pozyskanie i zapewnienie dostępu do najbardziej zaawansowanych technologicznie i najskuteczniejszych systemów samoobrony;</w:t>
      </w:r>
    </w:p>
    <w:p w14:paraId="152AA1A4" w14:textId="77777777" w:rsidR="00E15A15" w:rsidRPr="002C66F9" w:rsidRDefault="00E15A15" w:rsidP="00E15A15">
      <w:pPr>
        <w:pStyle w:val="NormalHanging12a"/>
        <w:rPr>
          <w:b/>
          <w:bCs/>
          <w:i/>
          <w:iCs/>
        </w:rPr>
      </w:pPr>
      <w:r w:rsidRPr="002C66F9">
        <w:rPr>
          <w:b/>
          <w:i/>
        </w:rPr>
        <w:t>Bezpieczeństwo Europy</w:t>
      </w:r>
    </w:p>
    <w:p w14:paraId="1F87C448" w14:textId="77777777" w:rsidR="00E15A15" w:rsidRPr="002C66F9" w:rsidRDefault="00E15A15" w:rsidP="00E15A15">
      <w:pPr>
        <w:pStyle w:val="NormalHanging12a"/>
      </w:pPr>
      <w:r w:rsidRPr="002C66F9">
        <w:t>1.</w:t>
      </w:r>
      <w:r w:rsidRPr="002C66F9">
        <w:tab/>
        <w:t>podkreśla, że partnerstwa na rzecz bezpieczeństwa i obrony mają kluczowe znaczenie w kontekście skutecznego reagowania Europy na pojawiające się zagrożenia oraz wsparcia starań UE o umocnienie swojej roli jako globalnego podmiotu strategicznego; podkreśla, że partnerstwa takie, wzajemnie korzystne, z jasno określonymi celami strategicznymi i priorytetami, mają dla UE kluczowe znaczenie, jeżeli ma ona stać się bardziej suwerenna, wziąć na siebie większą odpowiedzialność za własną obronę i lepiej przygotować się do działania oraz samodzielnego i skoordynowanego radzenia sobie z najpilniejszymi i przyszłymi wyzwaniami i zagrożeniami w ramach podejścia 360°; stwierdza, że partnerstwa te są dla UE koniecznością, a nie opcją; podkreśla, że powinny one wzmacniać strategiczną autonomię UE przy pełnym zaangażowaniu na rzecz współpracy wielostronnej i pełnej komplementarności z NATO oraz zwiększać zdolność UE do współdziałania z partnerami o podobnych poglądach na rzecz pokoju, stabilności i wspólnego bezpieczeństwa;</w:t>
      </w:r>
    </w:p>
    <w:p w14:paraId="3681BE5F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2.</w:t>
      </w:r>
      <w:r w:rsidRPr="002C66F9">
        <w:rPr>
          <w:b/>
          <w:i/>
        </w:rPr>
        <w:tab/>
      </w:r>
      <w:r w:rsidRPr="002C66F9">
        <w:t xml:space="preserve">odnotowuje, że UE obecnie mierzy się z najpoważniejszą sytuacją w zakresie bezpieczeństwa od drugiej wojny światowej, stając przed wyzwaniami takimi jak wzmocnienie potencjału wojskowego i infrastruktury </w:t>
      </w:r>
      <w:proofErr w:type="spellStart"/>
      <w:r w:rsidRPr="002C66F9">
        <w:t>cyberbezpieczeństwa</w:t>
      </w:r>
      <w:proofErr w:type="spellEnd"/>
      <w:r w:rsidRPr="002C66F9">
        <w:t>, zwalczanie zagrożeń hybrydowych, przeciwdziałanie terroryzmowi oraz ochrona infrastruktury krytycznej; podkreśla, że neoimperialne dążenia Rosji i jej rewizjonistyczna postawa stanowią najpoważniejsze zagrożenie dla bezpieczeństwa UE oraz podkreśla konieczność pilnego wzmocnienia jej zdolności w zakresie obrony i odstraszania; przypomina w tym kontekście o rosnącym wpływie zmiany klimatu i degradacji środowiska na bezpieczeństwo infrastruktury krytycznej, systemów energetycznych i gotowości na wypadek sytuacji kryzysowych;</w:t>
      </w:r>
    </w:p>
    <w:p w14:paraId="2A710F8A" w14:textId="77777777" w:rsidR="00E15A15" w:rsidRPr="002C66F9" w:rsidRDefault="00E15A15" w:rsidP="00E15A15">
      <w:pPr>
        <w:pStyle w:val="NormalHanging12a"/>
      </w:pPr>
      <w:r w:rsidRPr="002C66F9">
        <w:lastRenderedPageBreak/>
        <w:t>3.</w:t>
      </w:r>
      <w:r w:rsidRPr="002C66F9">
        <w:tab/>
        <w:t>podkreśla, że rosyjska wojna napastnicza przeciwko Ukrainie jest sygnałem alarmowym dla Europy, by priorytetowo traktować bezpieczeństwo i obronę oraz zwiększyć inwestycje w tym zakresie; podkreśla, że Rosja kontynuuje agresję na kontynencie europejskim również przy wsparciu swoich popleczników, takich jak reżimy w Iraku, Korei Północnej i na Białorusi; odnotowuje szkodliwe działania naszych strategicznych konkurentów oraz trwającą wojnę hybrydową prowadzoną przez różne podmioty państwowe i niepaństwowe, które stanowią zagrożenie dla bezpieczeństwa europejskiego i międzynarodowego porządku opartego na zasadach; podkreśla szczególne zagrożenia dla bezpieczeństwa państw członkowskich UE na wschodniej flance, które są bezpośrednio narażone na agresję Rosji i działania hybrydowe; podkreśla, że dalszą współpracę gospodarczą między UE a Chinami należy poddać ponownej ocenie, uwzględniając przy tym wsparcie Chin dla rosyjskiej gospodarki wojennej, aby wzmocnić odporność gospodarczą UE m.in. poprzez ograniczenie ryzyka; podkreśla, że UE musi zarządzać strategiczną konkurencją ze strony Chin, które są kluczowym partnerem Rosji wspierającym jej wojnę napastniczą przeciwko Ukrainie, i ubocznymi skutkami konfliktów na Bliskim Wschodzie i w Afryce, a jednocześnie stawiać czoła wspólnym globalnym zagrożeniom i wyzwaniom;</w:t>
      </w:r>
    </w:p>
    <w:p w14:paraId="4E6DF07B" w14:textId="77777777" w:rsidR="00E15A15" w:rsidRPr="002C66F9" w:rsidRDefault="00E15A15" w:rsidP="00E15A15">
      <w:pPr>
        <w:pStyle w:val="NormalHanging12a"/>
      </w:pPr>
      <w:r w:rsidRPr="002C66F9">
        <w:t>4.</w:t>
      </w:r>
      <w:r w:rsidRPr="002C66F9">
        <w:tab/>
        <w:t>podkreśla, że w Strategicznym kompasie UE zobowiązuje się do bardziej spójnej, konsekwentnej i kompleksowej współpracy ze swoimi partnerami, a tym samym do budowania wzajemnie korzystnych partnerstw na miarę potrzeb, opartych na wspólnych wartościach i interesach; podkreśla znaczenie interoperacyjności, wspólnych szkoleń i innowacji przemysłu obronnego w ramach tych partnerstw, w szczególności poprzez inicjatywy takie jak Program na rzecz europejskiego przemysłu obronnego i instrument SAFE;</w:t>
      </w:r>
    </w:p>
    <w:p w14:paraId="6AAF863B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5.</w:t>
      </w:r>
      <w:r w:rsidRPr="002C66F9">
        <w:tab/>
        <w:t>podkreśla, że UE i jej państwa członkowskie pozostają zdecydowanie zaangażowane w międzynarodowy porządek oparty na zasadach oraz poszanowaniu prawa międzynarodowego, zasad Karty Narodów Zjednoczonych, wartości demokracji, praw człowieka i rządów prawa, co zapisano w Traktacie o Unii Europejskiej; podkreśla, że zobowiązanie to stanowi fundament działań zewnętrznych UE oraz jej działań na rzecz pokoju, stabilności, multilateralizmu i dobrobytu na świecie; podkreśla, że partnerstwa w dziedzinie bezpieczeństwa i obrony powinny uwzględniać zapobieganie konfliktom, bezpieczeństwo klimatyczne oraz zrównoważony rozwój jako priorytety przekrojowe;</w:t>
      </w:r>
    </w:p>
    <w:p w14:paraId="6ABD86AF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6.</w:t>
      </w:r>
      <w:r w:rsidRPr="002C66F9">
        <w:tab/>
        <w:t>wyraża nadzieję na okresową aktualizację Strategicznego kompasu, aby zagwarantować, że wspólna wizja strategiczna i cele UE zachowują aktualność w kontekście ostatnich zmian geopolitycznych, społecznych i technologicznych; wzywa Komisję oraz Europejską Służbę Działań Zewnętrznych (ESDZ) do włączenia planowania w zakresie odporności do inicjatyw w dziedzinie bezpieczeństwa obejmujących infrastrukturę krytyczną, łańcuchy dostaw i niezależność energetyczną;</w:t>
      </w:r>
    </w:p>
    <w:p w14:paraId="03E4CE15" w14:textId="77777777" w:rsidR="00E15A15" w:rsidRPr="002C66F9" w:rsidRDefault="00E15A15" w:rsidP="00E15A15">
      <w:pPr>
        <w:pStyle w:val="NormalHanging12a"/>
        <w:rPr>
          <w:b/>
          <w:bCs/>
          <w:i/>
          <w:iCs/>
        </w:rPr>
      </w:pPr>
      <w:r w:rsidRPr="002C66F9">
        <w:rPr>
          <w:b/>
          <w:i/>
        </w:rPr>
        <w:t>Krytyczne znaczenie strategicznego partnerstwa między UE a NATO</w:t>
      </w:r>
    </w:p>
    <w:p w14:paraId="7BC29B52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7.</w:t>
      </w:r>
      <w:r w:rsidRPr="002C66F9">
        <w:tab/>
        <w:t xml:space="preserve">podkreśla wzmocnione partnerstwo strategiczne z NATO, które obejmuje zorganizowany dialog polityczny oraz wzmocnioną współpracę operacyjną i sektorową, zwłaszcza w takich dziedzinach jak mobilność wojskowa, bezpieczeństwo na morzu oraz przemysł obronny i rozwój zdolności, realizowaną w szczególności poprzez wspólne ćwiczenia i współpracę między personelem, co wzmacnia europejski filar NATO; podkreśla, że współpraca ta musi pozostać wzajemnie korzystna oraz opierać się na zaufaniu, przejrzystości i poszanowaniu autonomii decyzyjnej obu organizacji; </w:t>
      </w:r>
      <w:r w:rsidRPr="002C66F9">
        <w:lastRenderedPageBreak/>
        <w:t>zaznacza, że demokratyczna rozliczalność i kontrola parlamentarna są kluczowe, aby taka współpraca rzeczywiście poprawiała bezpieczeństwo europejskie i transatlantyckie; podkreśla, że 23 spośród 27 państw członkowskich UE należą do NATO, oraz uważa, że współpracę z europejskimi państwami NATO niebędącymi członkami UE należy wzmocnić, poszukując możliwości zacieśniania tych partnerstw;</w:t>
      </w:r>
    </w:p>
    <w:p w14:paraId="73CD929F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8.</w:t>
      </w:r>
      <w:r w:rsidRPr="002C66F9">
        <w:rPr>
          <w:b/>
          <w:i/>
        </w:rPr>
        <w:tab/>
      </w:r>
      <w:r w:rsidRPr="002C66F9">
        <w:t>podkreśla, że NATO jest najskuteczniejszym sojuszem wojskowym i politycznym w historii współczesnej, który od ponad siedemdziesięciu lat zapewnia członkom wspólną obronę, stabilność i bezpieczeństwo; podkreśla, że UE i NATO reprezentują łącznie ponad miliard obywateli i obejmują niektóre z największych gospodarek świata, tworząc wspólnotę zjednoczoną wspólnymi wartościami demokratycznymi i interesami w zakresie bezpieczeństwa; zaznacza, że istotne jest zinstytucjonalizowanie tego dialogu poprzez regularne konsultacje ministerialne między UE a NATO, wspólne ćwiczenia strategiczne z zakresu prognozowania oraz skoordynowane planowanie reagowania kryzysowego, tak aby koordynacja polityczna nadążała za współpracą operacyjną;</w:t>
      </w:r>
    </w:p>
    <w:p w14:paraId="307EC517" w14:textId="77777777" w:rsidR="00E15A15" w:rsidRPr="002C66F9" w:rsidRDefault="00E15A15" w:rsidP="00E15A15">
      <w:pPr>
        <w:pStyle w:val="NormalHanging12a"/>
      </w:pPr>
      <w:r w:rsidRPr="002C66F9">
        <w:t>9.</w:t>
      </w:r>
      <w:r w:rsidRPr="002C66F9">
        <w:tab/>
        <w:t>podkreśla, że stosunki UE z NATO są priorytetem i muszą nadal się rozwijać, zwłaszcza poprzez intensywniejszą wymianę informacji i danych wywiadowczych; podkreśla, że współpraca UE i NATO ma kluczowe znaczenie dla odstraszania, ochrony infrastruktury krytycznej, mobilności wojskowej, sieci energetycznych, komunikacji cyfrowej, cyberprzestrzeni, ekosystemów kosmicznych i obronnych oraz odporności społecznej i demokratycznej; apeluje o pełne wdrożenie postanowień zawartych we wspólnych deklaracjach UE i NATO; ponadto wzywa państwa członkowskie, które są również członkami NATO, do zwiększenia zaangażowania w ramach NATO;</w:t>
      </w:r>
    </w:p>
    <w:p w14:paraId="0A5BC96B" w14:textId="77777777" w:rsidR="00E15A15" w:rsidRPr="002C66F9" w:rsidRDefault="00E15A15" w:rsidP="00E15A15">
      <w:pPr>
        <w:pStyle w:val="NormalHanging12a"/>
      </w:pPr>
      <w:r w:rsidRPr="002C66F9">
        <w:t>10.</w:t>
      </w:r>
      <w:r w:rsidRPr="002C66F9">
        <w:tab/>
        <w:t>podkreśla, że NATO pozostaje najważniejszym sojuszem służącym zbiorowej obronie transatlantyckiej, przy czym role UE i NATO są spójne i wzajemnie się uzupełniają i wzmacniają w celu zapewnienia bezpieczeństwa w Europie i poprawy bezpieczeństwa międzynarodowego, a także zachęca do ścisłej współpracy i wzajemnie korzystnego partnerstwa w tej dziedzinie ze Stanami Zjednoczonymi; podkreśla, że silniejsza i wydolniejsza UE w dziedzinie bezpieczeństwa i obrony będzie miała pozytywny wpływ na bezpieczeństwo globalne i transatlantyckie; podkreśla potrzebę silnego europejskiego filaru obronnego w ramach NATO, zdolnego do samodzielnego działania przy jednoczesnym uzupełnianiu zdolności sojuszu, co wzmacnia partnerstwo transatlantyckie i gwarantuje bezpieczeństwo UE, jej państw członkowskich oraz międzynarodowego ładu opartego na zasadach; zwraca jednocześnie uwagę, że europejska obrona musi być samodzielna i mieć wystarczająco silną zdolność odstraszania; ostrzega przed ryzykiem związanym ze zmianą priorytetów polityki zagranicznej Stanów Zjednoczonych, co może przełożyć się na zmniejszenie ich zaangażowania w bezpieczeństwo Europy; podkreśla zatem, że UE musi rozwijać własne zdolności w zakresie planowania i zdolności operacyjne;</w:t>
      </w:r>
    </w:p>
    <w:p w14:paraId="7E4ABAF9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11.</w:t>
      </w:r>
      <w:r w:rsidRPr="002C66F9">
        <w:tab/>
        <w:t xml:space="preserve">podkreśla, że wzmocnienie bezpieczeństwa europejskiego zależy od zdolności państw członkowskich do wyposażenia się we wzajemnie </w:t>
      </w:r>
      <w:proofErr w:type="spellStart"/>
      <w:r w:rsidRPr="002C66F9">
        <w:t>interoperacyjne</w:t>
      </w:r>
      <w:proofErr w:type="spellEnd"/>
      <w:r w:rsidRPr="002C66F9">
        <w:t xml:space="preserve"> środki wojskowe, opracowywane wspólnie za pośrednictwem europejskiego przemysłu obronnego, w celu umożliwienia szybkiej i skutecznej reakcji na wszelkie zagrożenia dla integralności terytorialnej i suwerenności państw członkowskich UE; podkreśla, że w tym kontekście określanie zdolności wojskowych musi odbywać się w synergii z procesem planowania obronnego NATO i zgodnie z zasadą jednolitego zasobu sił; zauważa, że UE odgrywa kluczową rolę, jeżeli chodzi o kwestie regulacyjne oraz inwestycje służące wspieraniu </w:t>
      </w:r>
      <w:r w:rsidRPr="002C66F9">
        <w:lastRenderedPageBreak/>
        <w:t>konkurencyjności przemysłowej, rozwoju technologicznego i logistyki europejskiej obronności; podkreśla, że standaryzacja pozostaje kluczowym filarem współpracy UE i NATO w celu zagwarantowania interoperacyjności, komplementarności działań i efektywnego wykorzystania zasobów przy jednoczesnym unikaniu zbędnego powielania; wzywa Komisję i państwa członkowskie do uproszczenia i ujednolicenia przepisów dotyczących produkcji, certyfikacji, transferu, mobilności wojskowej oraz utrzymania sprzętu obronnego i systemów obronnych w celu stworzenia konkurencyjnego, odpornego i zintegrowanego europejskiego łańcucha dostaw przemysłowych, zdolnego do zagwarantowania większej gotowości operacyjnej oraz pełnej i skutecznej interoperacyjności między UE a NATO;</w:t>
      </w:r>
    </w:p>
    <w:p w14:paraId="13F3F000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12.</w:t>
      </w:r>
      <w:r w:rsidRPr="002C66F9">
        <w:tab/>
        <w:t>podkreśla rolę NATO jako globalnego podmiotu i wiarygodnego partnera w działaniach na rzecz nierozprzestrzeniania broni masowego rażenia, w tym broni jądrowej, chemicznej, biologicznej i radiologicznej, oraz w walce z terroryzmem na świecie;</w:t>
      </w:r>
    </w:p>
    <w:p w14:paraId="104AE820" w14:textId="77777777" w:rsidR="00E15A15" w:rsidRPr="002C66F9" w:rsidRDefault="00E15A15" w:rsidP="00E15A15">
      <w:pPr>
        <w:pStyle w:val="NormalHanging12a"/>
        <w:rPr>
          <w:b/>
          <w:bCs/>
          <w:i/>
          <w:iCs/>
        </w:rPr>
      </w:pPr>
      <w:r w:rsidRPr="002C66F9">
        <w:rPr>
          <w:b/>
          <w:i/>
        </w:rPr>
        <w:t>Konieczność zawierania przez UE partnerstw w dziedzinie bezpieczeństwa i obrony</w:t>
      </w:r>
    </w:p>
    <w:p w14:paraId="24B7C8FA" w14:textId="77777777" w:rsidR="00E15A15" w:rsidRPr="002C66F9" w:rsidRDefault="00E15A15" w:rsidP="00E15A15">
      <w:pPr>
        <w:pStyle w:val="NormalHanging12a"/>
      </w:pPr>
      <w:r w:rsidRPr="002C66F9">
        <w:t>13.</w:t>
      </w:r>
      <w:r w:rsidRPr="002C66F9">
        <w:tab/>
        <w:t xml:space="preserve">wyraża zadowolenie, że UE jest wiarygodnym partnerem w dziedzinie bezpieczeństwa światowego, a to dzięki wzmocnieniu </w:t>
      </w:r>
      <w:proofErr w:type="spellStart"/>
      <w:r w:rsidRPr="002C66F9">
        <w:t>WPBiO</w:t>
      </w:r>
      <w:proofErr w:type="spellEnd"/>
      <w:r w:rsidRPr="002C66F9">
        <w:t>, w tym poprzez korzystne dla obu stron partnerstwa na rzecz bezpieczeństwa i obrony oraz pogłębione dialogi dwustronne i wielostronne; zauważa, że jak dotąd partnerstwo na rzecz bezpieczeństwa i obrony ustanowiono z ośmioma krajami, a kolejne przygotowują się do takiego partnerstwa, w tym Islandia; wzywa do tego, aby partnerstwa te obejmowały ustrukturyzowaną współpracę przemysłową mającą na celu zwiększenie unijnych zdolności produkcyjnych w zakresie podstawowych zasobów obronnych w kontekście wzmacniania europejskiej bazy technologiczno-przemysłowej sektora obronnego;</w:t>
      </w:r>
    </w:p>
    <w:p w14:paraId="39A5DEE2" w14:textId="77777777" w:rsidR="00E15A15" w:rsidRPr="002C66F9" w:rsidRDefault="00E15A15" w:rsidP="00E15A15">
      <w:pPr>
        <w:pStyle w:val="NormalHanging12a"/>
      </w:pPr>
      <w:r w:rsidRPr="002C66F9">
        <w:t>14.</w:t>
      </w:r>
      <w:r w:rsidRPr="002C66F9">
        <w:tab/>
        <w:t>uważa, że ramy partnerstwa w dziedzinie bezpieczeństwa i obrony są nowym impulsem dla toczących się dialogów i praktycznej współpracy w dziedzinie bezpieczeństwa i obrony; podkreśla, jak ważne jest ustalenie konkretnych rezultatów i etapów wraz z uzgodnionymi terminami realizacji; podkreśla potrzebę monitorowania wyników, potrzebę dwustronnych przeglądów i potrzebę dialogu na temat postrzegania zagrożeń wielodomenowych i wzajemnych interesów, gdyż ma to kluczowe znaczenie dla praktycznego wymiaru każdego partnerstwa; podkreśla znaczenie zabezpieczenia – poprzez partnerstwa w dziedzinie bezpieczeństwa i obrony – niezawodnych dostaw surowców krytycznych niezbędnych z punktu widzenia europejskiej obronności; wzywa wiceprzewodniczącą Komisji / wysoką przedstawiciel Unii ds. zagranicznych i polityki bezpieczeństwa do przedstawiania Parlamentowi regularnej oceny stanu wdrożenia poszczególnych partnerstw w dziedzinie bezpieczeństwa i obrony;</w:t>
      </w:r>
    </w:p>
    <w:p w14:paraId="2B64698E" w14:textId="77777777" w:rsidR="00E15A15" w:rsidRPr="002C66F9" w:rsidRDefault="00E15A15" w:rsidP="00E15A15">
      <w:pPr>
        <w:pStyle w:val="NormalHanging12a"/>
      </w:pPr>
      <w:r w:rsidRPr="002C66F9">
        <w:t>15.</w:t>
      </w:r>
      <w:r w:rsidRPr="002C66F9">
        <w:tab/>
        <w:t xml:space="preserve">podkreśla, że partnerstwa w dziedzinie bezpieczeństwa i obrony obejmują współpracę z misjami w ramach </w:t>
      </w:r>
      <w:proofErr w:type="spellStart"/>
      <w:r w:rsidRPr="002C66F9">
        <w:t>WPBiO</w:t>
      </w:r>
      <w:proofErr w:type="spellEnd"/>
      <w:r w:rsidRPr="002C66F9">
        <w:t>, gdyż ich celem jest tworzenie efektów synergii, poprawa interoperacyjności i koordynacji oraz wzmocnienie ogólnych zdolności UE w zakresie bezpieczeństwa i obrony;</w:t>
      </w:r>
    </w:p>
    <w:p w14:paraId="4632442D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16.</w:t>
      </w:r>
      <w:r w:rsidRPr="002C66F9">
        <w:tab/>
        <w:t xml:space="preserve">podkreśla strategiczne znaczenie i potrzebę priorytetowego potraktowania partnerstwa na rzecz bezpieczeństwa i obrony z Norwegią, Zjednoczonym Królestwem i Kanadą, które to państwa są sojusznikami w ramach NATO i najważniejszymi partnerami UE w dziedzinie obronności; zachęca do pogłębiania tych partnerstw, w tym również w dziedzinie przemysłu obronnego, </w:t>
      </w:r>
      <w:proofErr w:type="spellStart"/>
      <w:r w:rsidRPr="002C66F9">
        <w:t>cyberzagrożeń</w:t>
      </w:r>
      <w:proofErr w:type="spellEnd"/>
      <w:r w:rsidRPr="002C66F9">
        <w:t xml:space="preserve"> i zagrożeń hybrydowych, bezpieczeństwa morskiego oraz w zakresie budowania wspólnych zdolności </w:t>
      </w:r>
      <w:r w:rsidRPr="002C66F9">
        <w:lastRenderedPageBreak/>
        <w:t>wojskowych i zachęcania do ściślejszej współpracy; podkreśla, że współpraca przemysłowa powinna w pierwszej kolejności obejmować projekty przyczyniające się do strategicznej autonomii i odporności, zapewniając zrównoważony geograficznie podział inwestycji między państwa członkowskie, ze szczególnym uwzględnieniem wschodniej flanki; zachęca UE do podpisania podobnych umów również z innymi partnerami o podobnych poglądach, w tym także z państwami niebędącymi członkami NATO;</w:t>
      </w:r>
    </w:p>
    <w:p w14:paraId="116E5927" w14:textId="77777777" w:rsidR="00E15A15" w:rsidRPr="002C66F9" w:rsidRDefault="00E15A15" w:rsidP="00E15A15">
      <w:pPr>
        <w:pStyle w:val="NormalHanging12a"/>
      </w:pPr>
      <w:r w:rsidRPr="002C66F9">
        <w:t>17.</w:t>
      </w:r>
      <w:r w:rsidRPr="002C66F9">
        <w:tab/>
        <w:t>podkreśla, że stosunki między UE a USA pozostają fundamentem europejskiego bezpieczeństwa i obrony; podkreśla, jak ważne jest zbadanie możliwości ustanowienia sformalizowanego partnerstwa na rzecz bezpieczeństwa i obrony ze Stanami Zjednoczonymi, które byłoby zgodne z interesami i wartościami UE oraz promowałoby międzynarodowy porządek oparty na zasadach; zwraca uwagę na potrzebę stałego dialogu i współpracy w zakresie postrzegania zagrożeń; przypomina, że nasze partnerstwo ze Stanami Zjednoczonymi ma strategiczne znaczenie, i wzywa do pogłębienia naszej współpracy z korzyścią dla obydwu stron oraz do znalezienia najlepszych sposobów współpracy amerykańskiego i unijnego przemysłu obronnego;</w:t>
      </w:r>
    </w:p>
    <w:p w14:paraId="515EE8BC" w14:textId="77777777" w:rsidR="00E15A15" w:rsidRPr="002C66F9" w:rsidRDefault="00E15A15" w:rsidP="00E15A15">
      <w:pPr>
        <w:pStyle w:val="NormalHanging12a"/>
      </w:pPr>
      <w:r w:rsidRPr="002C66F9">
        <w:t>18.</w:t>
      </w:r>
      <w:r w:rsidRPr="002C66F9">
        <w:tab/>
        <w:t>podkreśla, że Europa nie może być bezpieczna, jeżeli bezpieczna nie będzie Ukraina; podkreśla, jak ważne jest zbadanie możliwości ustanowienia sformalizowanego partnerstwa w dziedzinie bezpieczeństwa i obrony z Ukrainą; potwierdza, że Ukraina jest strategicznym i priorytetowym partnerem UE, ponieważ przygotowuje się do członkostwa w Unii; przypomina, że UE będzie udzielać stałego i trwałego wsparcia za pomocą wszelkich niezbędnych środków, aby jak najszybciej zapewnić Ukrainie zwycięstwo; podkreśla z naciskiem, że UE musi być jednym z solidnych i prawnie umocowanych gwarantów bezpieczeństwa Ukrainy, aby Rosja nie odważyła się w przyszłości zaatakować; podkreśla, że priorytetem jest ściślejsza współpraca między unijnym a ukraińskim sektorem przemysłu obronnego, w tym przyjęcie przez Ukrainę europejskich standardów i zasad przejrzystości; podkreśla znaczenie partnerstw UE oraz dziewięciopunktowych wspólnych zobowiązań w zakresie bezpieczeństwa między UE a Ukrainą, jeśli chodzi o koordynację pomocy przekazywanej Ukrainie; ponownie apeluje o pilne przeznaczenie zamrożonych rosyjskich aktywów na wsparcie dla Ukrainy i uczynienie tego z poszanowaniem prawa międzynarodowego; podkreśla znaczenie systematycznego wykorzystywania wniosków wyciągniętych z doświadczeń operacyjnych Ukrainy, zwłaszcza w zakresie dronów (bezzałogowych systemów powietrznych) i walki radioelektronicznej;</w:t>
      </w:r>
    </w:p>
    <w:p w14:paraId="41135DA5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19.</w:t>
      </w:r>
      <w:r w:rsidRPr="002C66F9">
        <w:tab/>
        <w:t xml:space="preserve">wzywa państwa członkowskie do aktywnej współpracy z Ukrainą i wypracowania z nią efektów synergii, zwłaszcza w obronie powietrznej i rakietowej oraz w wojnie </w:t>
      </w:r>
      <w:proofErr w:type="spellStart"/>
      <w:r w:rsidRPr="002C66F9">
        <w:t>dronowej</w:t>
      </w:r>
      <w:proofErr w:type="spellEnd"/>
      <w:r w:rsidRPr="002C66F9">
        <w:t xml:space="preserve"> i w zwalczaniu dronów, przy czym należy uznać pionierską wiedzę operacyjną i zaawansowane zdolności Ukrainy, dzięki czemu wzmocni się unijne i ukraińskie zdolności obronne;</w:t>
      </w:r>
    </w:p>
    <w:p w14:paraId="1EFC6B9E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20.</w:t>
      </w:r>
      <w:r w:rsidRPr="002C66F9">
        <w:tab/>
        <w:t>pochwala zawarcie 21 maja 2024 r. partnerstwa w dziedzinie bezpieczeństwa i obrony między UE a Mołdawią w celu przeciwdziałania przede wszystkim zagrożeniom hybrydowym;</w:t>
      </w:r>
    </w:p>
    <w:p w14:paraId="54B95CB8" w14:textId="3A6E59D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21.</w:t>
      </w:r>
      <w:r w:rsidRPr="002C66F9">
        <w:tab/>
        <w:t xml:space="preserve">podkreśla strategiczne znaczenie partnerstw UE z krajami w regionie </w:t>
      </w:r>
      <w:proofErr w:type="spellStart"/>
      <w:r w:rsidRPr="002C66F9">
        <w:t>Indo</w:t>
      </w:r>
      <w:proofErr w:type="spellEnd"/>
      <w:r w:rsidRPr="002C66F9">
        <w:t>-Pacyfiku, takimi jak Japonia</w:t>
      </w:r>
      <w:r w:rsidR="00C5643E">
        <w:t>,</w:t>
      </w:r>
      <w:r w:rsidRPr="002C66F9">
        <w:t xml:space="preserve"> Republika Korei</w:t>
      </w:r>
      <w:r w:rsidR="00C5643E">
        <w:t xml:space="preserve"> i I</w:t>
      </w:r>
      <w:r w:rsidR="00C5643E" w:rsidRPr="00C5643E">
        <w:t>ndie</w:t>
      </w:r>
      <w:r w:rsidRPr="00C5643E">
        <w:t>,</w:t>
      </w:r>
      <w:r w:rsidRPr="002C66F9">
        <w:t xml:space="preserve"> które już podpisały porozumienia w sprawie partnerstwa na rzecz bezpieczeństwa i obrony, oraz zachęca do szybkiego zakończenia negocjacji z Australią i do zbadania możliwości ustanowienia partnerstwa </w:t>
      </w:r>
      <w:r w:rsidRPr="002C66F9">
        <w:lastRenderedPageBreak/>
        <w:t xml:space="preserve">z innymi krajami w regionie, w szczególności z Nową Zelandią; podkreśla, że zagrożenia w dziedzinie bezpieczeństwa w regionie euroatlantyckim i </w:t>
      </w:r>
      <w:proofErr w:type="spellStart"/>
      <w:r w:rsidRPr="002C66F9">
        <w:t>indopacyficznym</w:t>
      </w:r>
      <w:proofErr w:type="spellEnd"/>
      <w:r w:rsidRPr="002C66F9">
        <w:t xml:space="preserve"> są ze sobą ściśle powiązane; podkreśla potrzebę pogłębienia współpracy z Tajwanem w zakresie bezpieczeństwa i obrony;</w:t>
      </w:r>
    </w:p>
    <w:p w14:paraId="6626F441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22.</w:t>
      </w:r>
      <w:r w:rsidRPr="002C66F9">
        <w:tab/>
        <w:t>podkreśla potrzebę zbadania możliwości pogłębienia współpracy na różnych szczeblach i w różnych formatach w zakresie bezpieczeństwa energetycznego, łączności oraz ochrony infrastruktury krytycznej z krajami Kaukazu i Azji Środkowej; zwraca uwagę na strategiczne znaczenie tych regionów dla dywersyfikacji źródeł energii, rozwoju bezpiecznych korytarzy transportowych oraz wzmacniania ogólnej odporności Europy;</w:t>
      </w:r>
    </w:p>
    <w:p w14:paraId="7F7553A7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23.</w:t>
      </w:r>
      <w:r w:rsidRPr="002C66F9">
        <w:tab/>
        <w:t>podkreśla strategiczne znaczenie regionu Morza Czarnego dla bezpieczeństwa europejskiego; apeluje o zacieśnienie współpracy w dziedzinie bezpieczeństwa i obrony z partnerami o zbliżonych poglądach w regionie Morza Czarnego oraz do opracowania kompleksowej strategii UE w zakresie bezpieczeństwa tego regionu; popiera zwiększenie inwestycji UE w zdolności morskie na Morzu Czarnym, obronę wybrzeża oraz rozpoznanie sytuacyjne na morzu;</w:t>
      </w:r>
    </w:p>
    <w:p w14:paraId="5317190A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24.</w:t>
      </w:r>
      <w:r w:rsidRPr="002C66F9">
        <w:tab/>
        <w:t>wzywa państwa członkowskie i ESDZ do zbadania możliwości ustanowienia dodatkowych partnerstw na rzecz bezpieczeństwa i obrony, na podstawie jasnych i wzajemnie korzystnych zobowiązań, z innymi partnerami o zbliżonych poglądach, którzy podzielają nasze wartości i są zaangażowani w utrzymanie międzynarodowego porządku opartego na zasadach;</w:t>
      </w:r>
    </w:p>
    <w:p w14:paraId="382879B6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25.</w:t>
      </w:r>
      <w:r w:rsidRPr="002C66F9">
        <w:tab/>
        <w:t xml:space="preserve">podkreśla, że należy ustanowić strukturalne partnerstwa w dziedzinie bezpieczeństwa i obrony z krajami Bałkanów Zachodnich, w szczególności z Bośnią i Hercegowiną, w celu zwiększenia stabilności regionalnej, przeciwdziałania zagrożeniom hybrydowym oraz wzmocnienia architektury bezpieczeństwa europejskiego w bezpośrednim sąsiedztwie UE; zaznacza, że takie partnerstwa powinny opierać się na istniejącym zaangażowaniu </w:t>
      </w:r>
      <w:proofErr w:type="spellStart"/>
      <w:r w:rsidRPr="002C66F9">
        <w:t>WPBiO</w:t>
      </w:r>
      <w:proofErr w:type="spellEnd"/>
      <w:r w:rsidRPr="002C66F9">
        <w:t xml:space="preserve"> w regionie, w tym operacji EUFOR </w:t>
      </w:r>
      <w:proofErr w:type="spellStart"/>
      <w:r w:rsidRPr="002C66F9">
        <w:t>Althea</w:t>
      </w:r>
      <w:proofErr w:type="spellEnd"/>
      <w:r w:rsidRPr="002C66F9">
        <w:t>, dialogach politycznych i dialogach na temat bezpieczeństwa oraz wspólnym udziale w misjach UE przy jednoczesnym zapewnieniu bardziej strategicznych i długoterminowych ram współpracy w obszarach takich jak odporność cybernetyczna, zwalczanie dezinformacji oraz rozwój zdolności obronnych;</w:t>
      </w:r>
    </w:p>
    <w:p w14:paraId="03D2163C" w14:textId="77777777" w:rsidR="00E15A15" w:rsidRPr="002C66F9" w:rsidRDefault="00E15A15" w:rsidP="00E15A15">
      <w:pPr>
        <w:pStyle w:val="NormalHanging12a"/>
        <w:rPr>
          <w:b/>
          <w:i/>
        </w:rPr>
      </w:pPr>
      <w:r w:rsidRPr="002C66F9">
        <w:rPr>
          <w:b/>
          <w:i/>
        </w:rPr>
        <w:t>Rozwijanie partnerstwa z ONZ i innych partnerstw wielostronnych</w:t>
      </w:r>
    </w:p>
    <w:p w14:paraId="2DABAA7B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26.</w:t>
      </w:r>
      <w:r w:rsidRPr="002C66F9">
        <w:tab/>
        <w:t>podkreśla znaczenie strategicznego partnerstwa UE i ONZ w zakresie operacji pokojowych i zarządzania kryzysowego; z zadowoleniem przyjmuje nowe priorytety partnerstwa strategicznego UE i ONZ na lata 2025–2028 i podkreśla potrzebę większej spójności i skuteczności misji i operacji UE i ONZ, w tym przez wspólne planowanie i procesy wyciągania wniosków; wzywa do pełnego wdrożenia i systematycznego włączania agendy ONZ „Kobiety, pokój i bezpieczeństwo” zgodnie z rezolucją Rady Bezpieczeństwa ONZ nr 1325, zwłaszcza w odniesieniu do ochrony ludności cywilnej, pełnego, równego i znaczącego udziału kobiet w procesach pokojowych oraz w odniesieniu do zapobiegania przemocy seksualnej związanej z konfliktami; wzywa do zreformowania funkcjonowania ONZ, aby zapewnić skuteczność misji i operacji oraz osiągnięcie zamierzonych efektów;</w:t>
      </w:r>
    </w:p>
    <w:p w14:paraId="2DB7EA61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27.</w:t>
      </w:r>
      <w:r w:rsidRPr="002C66F9">
        <w:tab/>
        <w:t xml:space="preserve">zauważa, że UE i Unia Afrykańska są strategicznymi partnerami, zwłaszcza w zakresie pokoju i bezpieczeństwa; podkreśla potrzebę pogłębienia partnerstw strategicznych z </w:t>
      </w:r>
      <w:r w:rsidRPr="002C66F9">
        <w:lastRenderedPageBreak/>
        <w:t>innymi organizacjami regionalnymi, w tym z Organizacją Bezpieczeństwa i Współpracy w Europie, Stowarzyszeniem Narodów Azji Południowo-Wschodniej, Ligą Państw Arabskich, Radą Współpracy Państw Zatoki i Organizacją Państw Amerykańskich, w obszarach będących przedmiotem wspólnego zainteresowania poprzez wspólne inicjatywy, dialog i wzmożoną działalność dyplomatyczną; podkreśla znaczenie współpracy z partnerami z Ameryki Łacińskiej w zwalczaniu międzynarodowej przestępczości zorganizowanej, handlu transgranicznego i zagrożeń hybrydowych oraz w zapewnianiu bezpieczeństwa morskiego, a także w promowaniu odporności demokratycznej i stabilności regionalnej;</w:t>
      </w:r>
    </w:p>
    <w:p w14:paraId="03A75FD6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28.</w:t>
      </w:r>
      <w:r w:rsidRPr="002C66F9">
        <w:tab/>
        <w:t>apeluje o wzmocnienie operacyjnego wymiaru współpracy UE w zakresie bezpieczeństwa i obrony z partnerami o podobnych poglądach i innymi partnerami z południowego sąsiedztwa, w szczególności w regionie Morza Śródziemnego, ze szczególnym naciskiem na bezpieczeństwo morskie, przeciwdziałanie terroryzmowi, zarządzanie granicami i ochronę infrastruktury krytycznej, w oparciu o zobowiązania przyjęte w Pakcie na rzecz regionu śródziemnomorskiego w celu pogłębienia współpracy z partnerami z regionu śródziemnomorskiego; podkreśla, że niestabilność w tym regionie bezpośrednio wpływa na bezpieczeństwo wewnętrzne UE, wobec czego wymaga bardziej strategicznej i skoordynowanej odpowiedzi;</w:t>
      </w:r>
    </w:p>
    <w:p w14:paraId="47144AFD" w14:textId="77777777" w:rsidR="00E15A15" w:rsidRPr="002C66F9" w:rsidRDefault="00E15A15" w:rsidP="00E15A15">
      <w:pPr>
        <w:pStyle w:val="NormalHanging12a"/>
        <w:rPr>
          <w:b/>
          <w:bCs/>
          <w:i/>
          <w:iCs/>
        </w:rPr>
      </w:pPr>
      <w:r w:rsidRPr="002C66F9">
        <w:rPr>
          <w:b/>
          <w:i/>
        </w:rPr>
        <w:t>Rozwijanie szeroko zakrojonych i indywidualnych sposobów współpracy</w:t>
      </w:r>
    </w:p>
    <w:p w14:paraId="708DB93A" w14:textId="77777777" w:rsidR="00E15A15" w:rsidRPr="002C66F9" w:rsidRDefault="00E15A15" w:rsidP="00E15A15">
      <w:pPr>
        <w:pStyle w:val="NormalHanging12a"/>
      </w:pPr>
      <w:r w:rsidRPr="002C66F9">
        <w:t>29.</w:t>
      </w:r>
      <w:r w:rsidRPr="002C66F9">
        <w:tab/>
        <w:t xml:space="preserve">podkreśla, że zintegrowane podejście UE do </w:t>
      </w:r>
      <w:proofErr w:type="spellStart"/>
      <w:r w:rsidRPr="002C66F9">
        <w:t>WPBiO</w:t>
      </w:r>
      <w:proofErr w:type="spellEnd"/>
      <w:r w:rsidRPr="002C66F9">
        <w:t xml:space="preserve"> obejmuje ramy prawne regulujące udział państw trzecich i organizacji regionalnych w misjach i operacjach </w:t>
      </w:r>
      <w:proofErr w:type="spellStart"/>
      <w:r w:rsidRPr="002C66F9">
        <w:t>WPBiO</w:t>
      </w:r>
      <w:proofErr w:type="spellEnd"/>
      <w:r w:rsidRPr="002C66F9">
        <w:t>; podkreśla, że partnerzy ci muszą przestrzegać europejskich wartości i podzielać europejskie interesy; zachęca Komisję oraz Europejską Służbę Działań Zewnętrznych do dalszego uproszczenia procedur administracyjnych, aby zapewnić szybszy i bardziej elastyczny udział partnerów o zbieżnych poglądach, szczególnie w szkoleniach, budowaniu zdolności i misjach reagowania kryzysowego;</w:t>
      </w:r>
    </w:p>
    <w:p w14:paraId="0807E6CD" w14:textId="77777777" w:rsidR="00E15A15" w:rsidRPr="002C66F9" w:rsidRDefault="00E15A15" w:rsidP="00E15A15">
      <w:pPr>
        <w:pStyle w:val="NormalHanging12a"/>
      </w:pPr>
      <w:r w:rsidRPr="002C66F9">
        <w:t>30.</w:t>
      </w:r>
      <w:r w:rsidRPr="002C66F9">
        <w:tab/>
        <w:t>podkreśla strategiczną rolę Europejskiego Instrumentu na rzecz Pokoju (EPF) jako kluczowego instrumentu wzmacniania zdolności wojskowych i obronnych, wspierania wojskowych aspektów operacji pokojowych i dostarczania sprzętu siłom zbrojnym partnerów UE; apeluje o pełną przejrzystość i demokratyczną kontrolę nad tym instrumentem;</w:t>
      </w:r>
    </w:p>
    <w:p w14:paraId="322DFC59" w14:textId="77777777" w:rsidR="00E15A15" w:rsidRPr="002C66F9" w:rsidRDefault="00E15A15" w:rsidP="00E15A15">
      <w:pPr>
        <w:pStyle w:val="NormalHanging12a"/>
      </w:pPr>
      <w:r w:rsidRPr="002C66F9">
        <w:t>31.</w:t>
      </w:r>
      <w:r w:rsidRPr="002C66F9">
        <w:tab/>
        <w:t>ubolewa z powodu ciągłego utrudniania przez rząd Węgier korzystania z tego instrumentu w celu udzielania pomocy Ukrainie, w tym poprzez działania prawne przed Sądem, a także ciągłe blokowanie wsparcia z EPF dla Armenii; wzywa państwa członkowskie do wywarcia nacisku na rząd Węgier, aby zaprzestał nieodpowiedzialnego blokowania EPF; wzywa wiceprzewodniczącą / wysoką przedstawiciel do znalezienia alternatywnych rozwiązań pozwalających przezwyciężyć tę blokadę;</w:t>
      </w:r>
    </w:p>
    <w:p w14:paraId="2936ACD0" w14:textId="77777777" w:rsidR="00E15A15" w:rsidRPr="002C66F9" w:rsidRDefault="00E15A15" w:rsidP="00E15A15">
      <w:pPr>
        <w:pStyle w:val="NormalHanging12a"/>
      </w:pPr>
      <w:r w:rsidRPr="002C66F9">
        <w:t>32.</w:t>
      </w:r>
      <w:r w:rsidRPr="002C66F9">
        <w:tab/>
        <w:t>z zadowoleniem przyjmuje wzmocnienie sieci doradców wojskowych ESDZ w delegaturach UE, co wzmacnia stosunki z instytucjami wojskowymi i cywilnymi partnerów; apeluje o ustanowienie regularnych spotkań koordynacyjnych wśród doradców, aby dzielić się dobrymi praktykami, poprawiać orientację sytuacyjną i wspierać spójność działań zewnętrznych UE;</w:t>
      </w:r>
    </w:p>
    <w:p w14:paraId="3190702B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lastRenderedPageBreak/>
        <w:t>33.</w:t>
      </w:r>
      <w:r w:rsidRPr="002C66F9">
        <w:tab/>
        <w:t>podkreśla, że gotowość obronna UE do 2030 r. wymaga partnerstw i współpracy UE z partnerami o zbieżnych poglądach; podkreśla, że osiągnięcie zapowiedzianych celów UE wymaga zabezpieczenia łańcuchów dostaw, w tym surowców i komponentów krytycznych, wzmocnienia europejskiej bazy technologiczno-przemysłowej sektora obronnego oraz zmniejszenia strategicznych zależności UE bez tworzenia nowych; podkreśla na przykład, że zależność UE od Chin w zakresie surowców krytycznych stanowi poważną wrażliwość geopolityczną i ekonomiczną; wzywa do demokratycznego nadzoru i przejrzystości w partnerstwach przemysłu obronnego, między innymi w celu zapewnienia zgodności z normami pracy i ochrony środowiska; uznaje, że stworzenie prawdziwego jednolitego rynku w dziedzinie obronności ma kluczowe znaczenie i wzmocni zarówno zdolności wojskowe UE, jak i jej autonomię strategiczną;</w:t>
      </w:r>
    </w:p>
    <w:p w14:paraId="0D2BFBD7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34.</w:t>
      </w:r>
      <w:r w:rsidRPr="002C66F9">
        <w:tab/>
        <w:t>wyraża zadowolenie, że na podstawie specjalnych umów dwustronnych uprzywilejowany dostęp do instrumentu SAFE można by przyznać krajom, z którymi ustanowiono partnerstwo na rzecz bezpieczeństwa i obrony; zauważa, że negocjacje z Kanadą w sprawie umowy zgodnej z instrumentem SAFE zostały zakończone; ubolewa, że umowa ze Zjednoczonym Królestwem nie została jeszcze sfinalizowana; podkreśla, że włączenie tych dwóch krajów do inicjatyw UE w dziedzinie obronności byłoby korzystne dla obu stron i pozwoliłoby wykorzystać wartość dodaną ich sektora obronnego; podkreśla, jak ważne jest uczestnictwo Ukrainy w instrumencie SAFE;</w:t>
      </w:r>
    </w:p>
    <w:p w14:paraId="6B690EE4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35.</w:t>
      </w:r>
      <w:r w:rsidRPr="002C66F9">
        <w:tab/>
        <w:t>zauważa, że Europejska Agencja Obrony współpracuje również z państwami trzecimi, organizacjami i podmiotami w ramach indywidualnych ustaleń administracyjnych; podkreśla, że ustalenia te muszą przyczyniać się do konsolidacji europejskiej bazy technologiczno-przemysłowej sektora obronnego oraz do ochrony technologii przełomowych; apeluje o ponowną ocenę obowiązujących obecnie ustaleń administracyjnych i ich skuteczności;</w:t>
      </w:r>
    </w:p>
    <w:p w14:paraId="386D2BFA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36.</w:t>
      </w:r>
      <w:r w:rsidRPr="002C66F9">
        <w:tab/>
        <w:t>apeluje o zapewnienie ESDZ odpowiednich zasobów ludzkich i finansowych, niezbędnych do realizacji istniejących partnerstw w dziedzinie bezpieczeństwa i obrony, tak aby przynosiły one wymierne efekty;</w:t>
      </w:r>
    </w:p>
    <w:p w14:paraId="4F3CE611" w14:textId="77777777" w:rsidR="00E15A15" w:rsidRPr="002C66F9" w:rsidRDefault="00E15A15" w:rsidP="00E15A15">
      <w:pPr>
        <w:rPr>
          <w:bCs/>
          <w:iCs/>
        </w:rPr>
      </w:pPr>
      <w:r w:rsidRPr="002C66F9">
        <w:t xml:space="preserve">Wzmocnienie kluczowych obszarów współpracy w ramach partnerstw na rzecz bezpieczeństwa i obrony </w:t>
      </w:r>
    </w:p>
    <w:p w14:paraId="6E53089E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37.</w:t>
      </w:r>
      <w:r w:rsidRPr="002C66F9">
        <w:tab/>
        <w:t>podkreśla rolę partnerstw na rzecz bezpieczeństwa i obrony w zintegrowanym zarządzaniu granicami z szeregiem partnerów, co jest szczególnie ważne z uwagi na niedawne prowokacje i naruszanie przestrzeni powietrznej NATO przez Rosję i Białoruś, co ma szczególnie duży wpływ na państwa wschodniej flanki, a także z uwagi na zewnętrzne aspekty nielegalnej migracji; przypomina, że zewnętrzne aspekty nielegalnej migracji mają również wpływ na państwa członkowskie południowej flanki; apeluje o zwiększenie wsparcia finansowego i operacyjnego UE na potrzeby zdolności zarządzania granicami państw przyfrontowych;</w:t>
      </w:r>
    </w:p>
    <w:p w14:paraId="027E8B90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38.</w:t>
      </w:r>
      <w:r w:rsidRPr="002C66F9">
        <w:tab/>
        <w:t>zachęca Radę Europejską do rozważenia udziału krajów, które podpisały partnerstwa w dziedzinie bezpieczeństwa i obrony, w szczególności Norwegii, Zjednoczonego Królestwa i Kanady, w flagowych projektach UE takich jak straż wschodniej flanki, europejska inicjatywa na rzecz obrony przed dronami, europejska tarcza powietrzna i europejska tarcza kosmiczna;</w:t>
      </w:r>
    </w:p>
    <w:p w14:paraId="4BBCD805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lastRenderedPageBreak/>
        <w:t>39.</w:t>
      </w:r>
      <w:r w:rsidRPr="002C66F9">
        <w:tab/>
        <w:t>podkreśla, że priorytety finansowe UE powinny odzwierciedlać potrzebę zrównoważonego geograficznie rozlokowania zdolności przemysłowych ze szczególnym uwzględnieniem wzmocnienia produkcji obronnej na wschodniej flance UE w związku z bliskością stref wysokiego ryzyka;</w:t>
      </w:r>
    </w:p>
    <w:p w14:paraId="26B82750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40.</w:t>
      </w:r>
      <w:r w:rsidRPr="002C66F9">
        <w:tab/>
        <w:t>wzywa do częstszego organizowania wspólnych ćwiczeń w zakresie bezpieczeństwa morskiego z odpowiednimi partnerami sojusznikami, aby poprawiać interoperacyjność i gotowość operacyjną na strategicznie ważnych szlakach wodnych i w wąskich gardłach na całym świecie, zwłaszcza tam, gdzie zagrożone są istotne interesy UE; podkreśla, jak ważne jest monitorowanie i ochrona krytycznej infrastruktury morskiej, w tym podmorskich kabli i rurociągów, aby zapobiegać coraz częstszym atakom hybrydowym;</w:t>
      </w:r>
    </w:p>
    <w:p w14:paraId="01C8FD56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41.</w:t>
      </w:r>
      <w:r w:rsidRPr="002C66F9">
        <w:tab/>
        <w:t xml:space="preserve">podkreśla znaczenie partnerstw na rzecz bezpieczeństwa i obrony w kontekście misji i operacji w ramach </w:t>
      </w:r>
      <w:proofErr w:type="spellStart"/>
      <w:r w:rsidRPr="002C66F9">
        <w:t>WPBiO</w:t>
      </w:r>
      <w:proofErr w:type="spellEnd"/>
      <w:r w:rsidRPr="002C66F9">
        <w:t>, ponieważ są one podstawą działań UE w zakresie bezpieczeństwa zewnętrznego i stanowią kluczowy filar jej działalności mającej na celu zapobieganie konfliktom, zarządzanie kryzysowe i stabilizację pokonfliktową;</w:t>
      </w:r>
    </w:p>
    <w:p w14:paraId="16AB747B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42.</w:t>
      </w:r>
      <w:r w:rsidRPr="002C66F9">
        <w:tab/>
        <w:t xml:space="preserve">podkreśla, że cyberataki, dezinformacja oraz zagraniczne manipulacje informacjami i ingerencje w informacje, działalność międzynarodowych organizacji przestępczych zajmujących się przemytem narkotyków i handlem ludźmi oraz wykorzystywanie migracji przez agresywne państwa trzecie to coraz większe zagrożenie dla bezpieczeństwa UE; wzywa do dalszej współpracy z partnerami UE w celu wzmocnienia jej odporności, ochrony infrastruktury krytycznej oraz wymiany najlepszych praktyk w zakresie przeciwdziałania zagranicznym manipulacjom informacjami i ingerencjom w informacje; podkreśla znaczenie partnerstw na rzecz bezpieczeństwa i obrony, jeżeli chodzi o budowanie odporności społecznej i demokratycznej; zachęca do organizowania wspólnych ćwiczeń w zakresie reagowania na </w:t>
      </w:r>
      <w:proofErr w:type="spellStart"/>
      <w:r w:rsidRPr="002C66F9">
        <w:t>cyberzagrożenia</w:t>
      </w:r>
      <w:proofErr w:type="spellEnd"/>
      <w:r w:rsidRPr="002C66F9">
        <w:t xml:space="preserve"> oraz do rozwijania bezpiecznych kanałów wymiany informacji między UE a jej partnerami w celu przeciwdziałania zagrożeniom hybrydowym;</w:t>
      </w:r>
    </w:p>
    <w:p w14:paraId="4AA05AEB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43.</w:t>
      </w:r>
      <w:r w:rsidRPr="002C66F9">
        <w:tab/>
        <w:t>stwierdza, że także podejście UE do ochrony krytycznej infrastruktury podmorskiej odzwierciedla coraz lepsze rozumienie nietradycyjnych wyzwań w zakresie bezpieczeństwa;</w:t>
      </w:r>
    </w:p>
    <w:p w14:paraId="04CCB7C0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44.</w:t>
      </w:r>
      <w:r w:rsidRPr="002C66F9">
        <w:tab/>
        <w:t>podkreśla, jak ważne jest zwalczanie terroryzmu i zapobieganie brutalnemu ekstremizmowi poprzez przeciwdziałanie zagrożeniom zarówno ze strony państw, jak i podmiotów niepaństwowych za pomocą zintegrowanych ram bezpieczeństwa; podkreśla, że do skutecznego zwalczania terroryzmu i brutalnego ekstremizmu oraz zapobiegania im niezbędna jest szeroko zakrojona współpraca międzyrządowa i wymiana informacji, zarówno w UE, jak i z państwami trzecimi;</w:t>
      </w:r>
    </w:p>
    <w:p w14:paraId="3CB1F414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45.</w:t>
      </w:r>
      <w:r w:rsidRPr="002C66F9">
        <w:tab/>
        <w:t>podkreśla, że partnerstwa są ważne w kontekście pokojowej i odpowiedzialnej działalności w przestrzeni kosmicznej, reagowania na zagrożenia kosmiczne oraz wykorzystywania usług kosmicznych do celów bezpieczeństwa i obrony; podkreśla, że w szczególności rozwijający się sektor New Space i jego innowacyjny potencjał w zakresie technologii podwójnego zastosowania również należy w pełni wykorzystać na potrzeby obronne i cywilne;</w:t>
      </w:r>
    </w:p>
    <w:p w14:paraId="11ED6701" w14:textId="77777777" w:rsidR="00E15A15" w:rsidRPr="002C66F9" w:rsidRDefault="00E15A15" w:rsidP="00E15A15">
      <w:pPr>
        <w:pStyle w:val="NormalHanging12a"/>
      </w:pPr>
      <w:r w:rsidRPr="002C66F9">
        <w:t>46.</w:t>
      </w:r>
      <w:r w:rsidRPr="002C66F9">
        <w:tab/>
        <w:t xml:space="preserve">nalega, aby partnerstwa na rzecz bezpieczeństwa i obrony zawierały skuteczną klauzulę przeglądową, która umożliwia dostosowania w trakcie wdrażania oraz reagowanie na zmiany w zakresie bezpieczeństwa; podkreśla, że partnerstwa te, jeśli zostaną właściwie </w:t>
      </w:r>
      <w:r w:rsidRPr="002C66F9">
        <w:lastRenderedPageBreak/>
        <w:t>wdrożone, przyniosą konkretne rezultaty, które przyczynią się do wzmocnienia europejskiej architektury bezpieczeństwa;</w:t>
      </w:r>
    </w:p>
    <w:p w14:paraId="5B954CA1" w14:textId="77777777" w:rsidR="00E15A15" w:rsidRPr="002C66F9" w:rsidRDefault="00E15A15" w:rsidP="00E15A15">
      <w:pPr>
        <w:pStyle w:val="NormalHanging12a"/>
        <w:rPr>
          <w:b/>
          <w:bCs/>
          <w:i/>
          <w:iCs/>
        </w:rPr>
      </w:pPr>
      <w:r w:rsidRPr="002C66F9">
        <w:rPr>
          <w:b/>
          <w:i/>
        </w:rPr>
        <w:t>Rola Parlamentu we wspieraniu współpracy w dziedzinie obronności</w:t>
      </w:r>
    </w:p>
    <w:p w14:paraId="09A9B055" w14:textId="77777777" w:rsidR="00E15A15" w:rsidRPr="002C66F9" w:rsidRDefault="00E15A15" w:rsidP="00E15A15">
      <w:pPr>
        <w:pStyle w:val="NormalHanging12a"/>
      </w:pPr>
      <w:r w:rsidRPr="002C66F9">
        <w:t>47.</w:t>
      </w:r>
      <w:r w:rsidRPr="002C66F9">
        <w:tab/>
        <w:t>przypomina, że Parlament wielokrotnie podkreślał znaczenie partnerstw w dziedzinie bezpieczeństwa i obrony; uważa, że dyplomacja parlamentarna uzupełnia i wspiera te partnerstwa; podkreśla kluczową rolę Komisji Bezpieczeństwa i Obrony oraz Delegacji do spraw Stosunków ze Zgromadzeniem Parlamentarnym NATO; wzywa ESDZ do regularnego przekazywania Parlamentowi sprawozdań z realizacji partnerstw w dziedzinie bezpieczeństwa i obrony oraz informacji o stanie prowadzonych lub planowanych negocjacji;</w:t>
      </w:r>
    </w:p>
    <w:p w14:paraId="4DDE5950" w14:textId="77777777" w:rsidR="00E15A15" w:rsidRPr="002C66F9" w:rsidRDefault="00E15A15" w:rsidP="00E15A15">
      <w:pPr>
        <w:pStyle w:val="NormalHanging12a"/>
      </w:pPr>
      <w:r w:rsidRPr="002C66F9">
        <w:t>48.</w:t>
      </w:r>
      <w:r w:rsidRPr="002C66F9">
        <w:tab/>
        <w:t>zobowiązuje się do regularnego organizowania wspólnych posiedzeń komisji z Komisją Bezpieczeństwa Narodowego, Obrony i Wywiadu Rady Najwyższej Ukrainy w celu wspierania dialogu na szczeblu parlamentarnym;</w:t>
      </w:r>
    </w:p>
    <w:p w14:paraId="661520E3" w14:textId="77777777" w:rsidR="00E15A15" w:rsidRPr="002C66F9" w:rsidRDefault="00E15A15" w:rsidP="00E15A15">
      <w:pPr>
        <w:pStyle w:val="NormalHanging12a"/>
      </w:pPr>
      <w:r w:rsidRPr="002C66F9">
        <w:t>49.</w:t>
      </w:r>
      <w:r w:rsidRPr="002C66F9">
        <w:tab/>
        <w:t>z zadowoleniem przyjmuje organizację pierwszego międzyparlamentarnego posiedzenia komisji ds. obrony państw członkowskich UE w Parlamencie Europejskim oraz dalsze pogłębianie partnerstwa z pracownikami parlamentów narodowych, w tym poprzez Europejskie Kolegium Bezpieczeństwa i Obrony;</w:t>
      </w:r>
    </w:p>
    <w:p w14:paraId="539B819A" w14:textId="77777777" w:rsidR="00E15A15" w:rsidRPr="002C66F9" w:rsidRDefault="00E15A15" w:rsidP="00E15A15">
      <w:pPr>
        <w:pStyle w:val="NormalHanging12a"/>
      </w:pPr>
      <w:r w:rsidRPr="002C66F9">
        <w:t>50.</w:t>
      </w:r>
      <w:r w:rsidRPr="002C66F9">
        <w:tab/>
        <w:t xml:space="preserve">z zadowoleniem przyjmuje zorganizowanie 107. seminarium </w:t>
      </w:r>
      <w:proofErr w:type="spellStart"/>
      <w:r w:rsidRPr="002C66F9">
        <w:t>Rose-Roth</w:t>
      </w:r>
      <w:proofErr w:type="spellEnd"/>
      <w:r w:rsidRPr="002C66F9">
        <w:t xml:space="preserve"> Zgromadzenia Parlamentarnego NATO pt. „Współpraca UE i NATO – kluczowe partnerstwo i odporność demokracji” w pomieszczeniach Parlamentu; podkreśla, że uwypukliło to nową i aktywną rolę Parlamentu w związku z uzyskaniem przez niego statusu partnera w Zgromadzeniu Parlamentarnym NATO;</w:t>
      </w:r>
    </w:p>
    <w:p w14:paraId="0FC7C252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51.</w:t>
      </w:r>
      <w:r w:rsidRPr="002C66F9">
        <w:tab/>
        <w:t>podkreśla sukces pierwszego w historii projektu pilotażowego Parlamentu i Zgromadzenia Parlamentarnego NATO, dotyczącego budowania zdolności parlamentarnych w dziedzinie bezpieczeństwa i obrony dla pracowników Rady Najwyższej Ukrainy; apeluje o rozszerzenie tego projektu pilotażowego na Radę Najwyższą Ukrainy, parlamenty państw kandydujących i wszystkie partnerstwa w dziedzinie bezpieczeństwa i obrony;</w:t>
      </w:r>
    </w:p>
    <w:p w14:paraId="7D76814D" w14:textId="77777777" w:rsidR="00E15A15" w:rsidRPr="002C66F9" w:rsidRDefault="00E15A15" w:rsidP="00E15A15">
      <w:pPr>
        <w:pStyle w:val="NormalHanging12a"/>
        <w:rPr>
          <w:bCs/>
          <w:iCs/>
        </w:rPr>
      </w:pPr>
      <w:r w:rsidRPr="002C66F9">
        <w:t>52.</w:t>
      </w:r>
      <w:r w:rsidRPr="002C66F9">
        <w:tab/>
        <w:t>uważa, że Forum na rzecz Bezpieczeństwa i Obrony im. Roberta Schumana, zorganizowane przez ESDZ i współorganizowane przez Parlament, stanowi okazję do stworzenia stałej platformy dialogu na wysokim szczeblu z partnerami; wzywa Parlament do aktywnej roli w kształtowaniu agendy i działań następczych, tak aby ich wyniki były wykorzystywane w pracach legislacyjnych dotyczących polityki bezpieczeństwa i obrony UE;</w:t>
      </w:r>
    </w:p>
    <w:p w14:paraId="464B6C0C" w14:textId="77777777" w:rsidR="00E15A15" w:rsidRPr="002C66F9" w:rsidRDefault="00E15A15" w:rsidP="00E15A15">
      <w:pPr>
        <w:pStyle w:val="NormalHanging12a"/>
      </w:pPr>
      <w:r w:rsidRPr="002C66F9">
        <w:t>53.</w:t>
      </w:r>
      <w:r w:rsidRPr="002C66F9">
        <w:tab/>
        <w:t xml:space="preserve">zachęca do budowania bliższych więzi ze społeczeństwami w krajach partnerskich i do wzmacniania komunikacji strategicznej UE; apeluje o rozpoczęcie kampanii z udziałem Parlamentu, innych instytucji, organów i agencji UE, państw członkowskich i krajów partnerskich, a także organizacji pozarządowych, środowisk akademickich i mediów, aby promować istniejące partnerstwa w dziedzinie bezpieczeństwa i obrony oraz zachęcać do nowych partnerstw, gdyż wzmocni to wizerunek i pozycję UE wśród krajów, które zawarły partnerstwo w dziedzinie bezpieczeństwa i obrony; podkreśla, że należy przeciwdziałać dezinformacji i zagranicznym narracjom manipulacyjnym przez </w:t>
      </w:r>
      <w:r w:rsidRPr="002C66F9">
        <w:lastRenderedPageBreak/>
        <w:t>skoordynowane strategie komunikacyjne i inicjatywy dyplomacji publicznej z udziałem delegatur Unii i państw członkowskich;</w:t>
      </w:r>
    </w:p>
    <w:p w14:paraId="567CD29D" w14:textId="77777777" w:rsidR="00E15A15" w:rsidRPr="002C66F9" w:rsidRDefault="00E15A15" w:rsidP="00E15A15">
      <w:pPr>
        <w:pStyle w:val="NormalCenter12a"/>
      </w:pPr>
      <w:r w:rsidRPr="002C66F9">
        <w:t>°</w:t>
      </w:r>
    </w:p>
    <w:p w14:paraId="0DA8AB1A" w14:textId="77777777" w:rsidR="00E15A15" w:rsidRPr="002C66F9" w:rsidRDefault="00E15A15" w:rsidP="00E15A15">
      <w:pPr>
        <w:pStyle w:val="NormalCenter12a"/>
      </w:pPr>
      <w:r w:rsidRPr="002C66F9">
        <w:t>°</w:t>
      </w:r>
      <w:r w:rsidRPr="002C66F9">
        <w:tab/>
        <w:t>°</w:t>
      </w:r>
    </w:p>
    <w:p w14:paraId="1AB8C4A9" w14:textId="18C031E0" w:rsidR="002C66F9" w:rsidRPr="002C66F9" w:rsidRDefault="00E15A15" w:rsidP="002C66F9">
      <w:pPr>
        <w:pStyle w:val="NormalHanging12a"/>
      </w:pPr>
      <w:r w:rsidRPr="002C66F9">
        <w:t>54.</w:t>
      </w:r>
      <w:r w:rsidRPr="002C66F9">
        <w:tab/>
        <w:t>zobowiązuje swoją przewodniczącą do przekazania niniejszej rezolucji Radzie i Komisji.</w:t>
      </w:r>
    </w:p>
    <w:p w14:paraId="0B15929F" w14:textId="06C43A25" w:rsidR="00E365E1" w:rsidRPr="002C66F9" w:rsidRDefault="00E365E1" w:rsidP="00981E25"/>
    <w:sectPr w:rsidR="00E365E1" w:rsidRPr="002C66F9" w:rsidSect="002C66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1364" w14:textId="77777777" w:rsidR="00981E25" w:rsidRPr="002C66F9" w:rsidRDefault="00981E25">
      <w:r w:rsidRPr="002C66F9">
        <w:separator/>
      </w:r>
    </w:p>
  </w:endnote>
  <w:endnote w:type="continuationSeparator" w:id="0">
    <w:p w14:paraId="30E14573" w14:textId="77777777" w:rsidR="00981E25" w:rsidRPr="002C66F9" w:rsidRDefault="00981E25">
      <w:r w:rsidRPr="002C66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4E0E4" w14:textId="77777777" w:rsidR="00064002" w:rsidRPr="002C66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349C" w14:textId="77777777" w:rsidR="00064002" w:rsidRPr="002C66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DEEC" w14:textId="77777777" w:rsidR="00064002" w:rsidRPr="002C66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8903D" w14:textId="77777777" w:rsidR="00981E25" w:rsidRPr="002C66F9" w:rsidRDefault="00981E25">
      <w:r w:rsidRPr="002C66F9">
        <w:separator/>
      </w:r>
    </w:p>
  </w:footnote>
  <w:footnote w:type="continuationSeparator" w:id="0">
    <w:p w14:paraId="3F6ADAF1" w14:textId="77777777" w:rsidR="00981E25" w:rsidRPr="002C66F9" w:rsidRDefault="00981E25">
      <w:r w:rsidRPr="002C66F9">
        <w:continuationSeparator/>
      </w:r>
    </w:p>
  </w:footnote>
  <w:footnote w:id="1">
    <w:p w14:paraId="407C8295" w14:textId="3B43173B" w:rsidR="00E15A15" w:rsidRPr="002C66F9" w:rsidRDefault="00E15A15" w:rsidP="002C66F9">
      <w:pPr>
        <w:pStyle w:val="FootnoteText"/>
        <w:ind w:left="567" w:hanging="567"/>
        <w:rPr>
          <w:sz w:val="24"/>
          <w:lang w:val="pl-PL"/>
        </w:rPr>
      </w:pPr>
      <w:r w:rsidRPr="002C66F9">
        <w:rPr>
          <w:sz w:val="24"/>
          <w:vertAlign w:val="superscript"/>
          <w:lang w:val="pl-PL"/>
        </w:rPr>
        <w:t>1</w:t>
      </w:r>
      <w:r w:rsidR="002C66F9" w:rsidRPr="002C66F9">
        <w:rPr>
          <w:sz w:val="24"/>
          <w:vertAlign w:val="superscript"/>
          <w:lang w:val="pl-PL"/>
        </w:rPr>
        <w:t xml:space="preserve"> </w:t>
      </w:r>
      <w:r w:rsidR="002C66F9" w:rsidRPr="002C66F9">
        <w:rPr>
          <w:sz w:val="24"/>
          <w:vertAlign w:val="superscript"/>
          <w:lang w:val="pl-PL"/>
        </w:rPr>
        <w:tab/>
      </w:r>
      <w:r w:rsidRPr="002C66F9">
        <w:rPr>
          <w:sz w:val="24"/>
          <w:lang w:val="pl-PL"/>
        </w:rPr>
        <w:t xml:space="preserve">Dz.U. L 331 z 14.12.2017, s. 57, ELI: </w:t>
      </w:r>
      <w:hyperlink r:id="rId1" w:tgtFrame="http://data.europa.eu/eli/dec/2017/2315/oj" w:history="1">
        <w:r w:rsidRPr="002C66F9">
          <w:rPr>
            <w:rStyle w:val="Hyperlink"/>
            <w:sz w:val="24"/>
            <w:lang w:val="pl-PL"/>
          </w:rPr>
          <w:t>http://data.europa.eu/eli/dec/2017/2315/oj</w:t>
        </w:r>
      </w:hyperlink>
      <w:r w:rsidRPr="002C66F9">
        <w:rPr>
          <w:sz w:val="24"/>
          <w:lang w:val="pl-PL"/>
        </w:rPr>
        <w:t>.</w:t>
      </w:r>
    </w:p>
  </w:footnote>
  <w:footnote w:id="2">
    <w:p w14:paraId="03AA75AF" w14:textId="626DF088" w:rsidR="00E15A15" w:rsidRPr="009B36C8" w:rsidRDefault="00E15A15" w:rsidP="002C66F9">
      <w:pPr>
        <w:pStyle w:val="FootnoteText"/>
        <w:ind w:left="567" w:hanging="567"/>
        <w:rPr>
          <w:sz w:val="24"/>
          <w:lang w:val="fi-FI"/>
        </w:rPr>
      </w:pPr>
      <w:r w:rsidRPr="009B36C8">
        <w:rPr>
          <w:sz w:val="24"/>
          <w:vertAlign w:val="superscript"/>
          <w:lang w:val="fi-FI"/>
        </w:rPr>
        <w:t>2</w:t>
      </w:r>
      <w:r w:rsidR="002C66F9" w:rsidRPr="009B36C8">
        <w:rPr>
          <w:sz w:val="24"/>
          <w:vertAlign w:val="superscript"/>
          <w:lang w:val="fi-FI"/>
        </w:rPr>
        <w:t xml:space="preserve"> </w:t>
      </w:r>
      <w:r w:rsidR="002C66F9" w:rsidRPr="009B36C8">
        <w:rPr>
          <w:sz w:val="24"/>
          <w:vertAlign w:val="superscript"/>
          <w:lang w:val="fi-FI"/>
        </w:rPr>
        <w:tab/>
      </w:r>
      <w:r w:rsidRPr="009B36C8">
        <w:rPr>
          <w:sz w:val="24"/>
          <w:lang w:val="fi-FI"/>
        </w:rPr>
        <w:t xml:space="preserve">Dz.U. L, 2024/890, 19.3.2024, ELI: </w:t>
      </w:r>
      <w:hyperlink r:id="rId2" w:tgtFrame="http://data.europa.eu/eli/dec/2024/890/oj" w:history="1">
        <w:r w:rsidRPr="009B36C8">
          <w:rPr>
            <w:rStyle w:val="Hyperlink"/>
            <w:sz w:val="24"/>
            <w:lang w:val="fi-FI"/>
          </w:rPr>
          <w:t>http://data.europa.eu/eli/dec/2024/890/oj</w:t>
        </w:r>
      </w:hyperlink>
      <w:r w:rsidRPr="009B36C8">
        <w:rPr>
          <w:sz w:val="24"/>
          <w:lang w:val="fi-FI"/>
        </w:rPr>
        <w:t>.</w:t>
      </w:r>
    </w:p>
  </w:footnote>
  <w:footnote w:id="3">
    <w:p w14:paraId="3D716F19" w14:textId="6A4C0073" w:rsidR="00E15A15" w:rsidRPr="002C66F9" w:rsidRDefault="00E15A15" w:rsidP="002C66F9">
      <w:pPr>
        <w:pStyle w:val="FootnoteText"/>
        <w:ind w:left="567" w:hanging="567"/>
        <w:rPr>
          <w:sz w:val="24"/>
          <w:lang w:val="pl-PL"/>
        </w:rPr>
      </w:pPr>
      <w:r w:rsidRPr="002C66F9">
        <w:rPr>
          <w:sz w:val="24"/>
          <w:vertAlign w:val="superscript"/>
          <w:lang w:val="pl-PL"/>
        </w:rPr>
        <w:t>3</w:t>
      </w:r>
      <w:r w:rsidR="002C66F9" w:rsidRPr="002C66F9">
        <w:rPr>
          <w:sz w:val="24"/>
          <w:vertAlign w:val="superscript"/>
          <w:lang w:val="pl-PL"/>
        </w:rPr>
        <w:t xml:space="preserve"> </w:t>
      </w:r>
      <w:r w:rsidR="002C66F9" w:rsidRPr="002C66F9">
        <w:rPr>
          <w:sz w:val="24"/>
          <w:vertAlign w:val="superscript"/>
          <w:lang w:val="pl-PL"/>
        </w:rPr>
        <w:tab/>
      </w:r>
      <w:r w:rsidRPr="002C66F9">
        <w:rPr>
          <w:sz w:val="24"/>
          <w:lang w:val="pl-PL"/>
        </w:rPr>
        <w:t xml:space="preserve">Dz.U. L 170 z 12.5.2021, s. 149, ELI: </w:t>
      </w:r>
      <w:hyperlink r:id="rId3" w:tgtFrame="http://data.europa.eu/eli/reg/2021/697/oj" w:history="1">
        <w:r w:rsidRPr="002C66F9">
          <w:rPr>
            <w:rStyle w:val="Hyperlink"/>
            <w:sz w:val="24"/>
            <w:lang w:val="pl-PL"/>
          </w:rPr>
          <w:t>http://data.europa.eu/eli/reg/2021/697/oj</w:t>
        </w:r>
      </w:hyperlink>
      <w:r w:rsidRPr="002C66F9">
        <w:rPr>
          <w:sz w:val="24"/>
          <w:lang w:val="pl-PL"/>
        </w:rPr>
        <w:t>.</w:t>
      </w:r>
    </w:p>
  </w:footnote>
  <w:footnote w:id="4">
    <w:p w14:paraId="43BFF896" w14:textId="00AABFBE" w:rsidR="00E15A15" w:rsidRPr="002C66F9" w:rsidRDefault="00E15A15" w:rsidP="002C66F9">
      <w:pPr>
        <w:pStyle w:val="FootnoteText"/>
        <w:ind w:left="567" w:hanging="567"/>
        <w:rPr>
          <w:sz w:val="24"/>
          <w:lang w:val="pl-PL"/>
        </w:rPr>
      </w:pPr>
      <w:r w:rsidRPr="002C66F9">
        <w:rPr>
          <w:rStyle w:val="FootnoteReference"/>
          <w:sz w:val="24"/>
          <w:lang w:val="pl-PL"/>
        </w:rPr>
        <w:footnoteRef/>
      </w:r>
      <w:r w:rsidR="002C66F9" w:rsidRPr="002C66F9">
        <w:rPr>
          <w:sz w:val="24"/>
          <w:lang w:val="pl-PL"/>
        </w:rPr>
        <w:t xml:space="preserve"> </w:t>
      </w:r>
      <w:r w:rsidR="002C66F9" w:rsidRPr="002C66F9">
        <w:rPr>
          <w:sz w:val="24"/>
          <w:lang w:val="pl-PL"/>
        </w:rPr>
        <w:tab/>
      </w:r>
      <w:r w:rsidRPr="002C66F9">
        <w:rPr>
          <w:sz w:val="24"/>
          <w:lang w:val="pl-PL"/>
        </w:rPr>
        <w:t>Dz.U. L, 2025/1106, 28.5.2025, ELI: </w:t>
      </w:r>
      <w:r>
        <w:fldChar w:fldCharType="begin"/>
      </w:r>
      <w:r w:rsidRPr="009B36C8">
        <w:rPr>
          <w:lang w:val="pl-PL"/>
        </w:rPr>
        <w:instrText>HYPERLINK "http://data.europa.eu/eli/reg/2025/1106/oj" \t "_blank" \o "Dostęp do dokumentu poprzez identyfikator URI w systemie ELI."</w:instrText>
      </w:r>
      <w:r>
        <w:fldChar w:fldCharType="separate"/>
      </w:r>
      <w:r w:rsidRPr="002C66F9">
        <w:rPr>
          <w:rStyle w:val="Hyperlink"/>
          <w:sz w:val="24"/>
          <w:lang w:val="pl-PL"/>
        </w:rPr>
        <w:t>http://data.europa.eu/eli/reg/2025/1106/oj</w:t>
      </w:r>
      <w:r>
        <w:fldChar w:fldCharType="end"/>
      </w:r>
      <w:r w:rsidRPr="002C66F9">
        <w:rPr>
          <w:sz w:val="24"/>
          <w:lang w:val="pl-PL"/>
        </w:rPr>
        <w:t>.</w:t>
      </w:r>
    </w:p>
  </w:footnote>
  <w:footnote w:id="5">
    <w:p w14:paraId="36B0588D" w14:textId="2C7375E1" w:rsidR="00E15A15" w:rsidRPr="009B36C8" w:rsidRDefault="00E15A15" w:rsidP="002C66F9">
      <w:pPr>
        <w:pStyle w:val="FootnoteText"/>
        <w:ind w:left="567" w:hanging="567"/>
        <w:rPr>
          <w:sz w:val="24"/>
          <w:lang w:val="fi-FI"/>
        </w:rPr>
      </w:pPr>
      <w:r w:rsidRPr="002C66F9">
        <w:rPr>
          <w:rStyle w:val="FootnoteReference"/>
          <w:sz w:val="24"/>
          <w:lang w:val="pl-PL"/>
        </w:rPr>
        <w:footnoteRef/>
      </w:r>
      <w:r w:rsidR="002C66F9" w:rsidRPr="009B36C8">
        <w:rPr>
          <w:sz w:val="24"/>
          <w:lang w:val="fi-FI"/>
        </w:rPr>
        <w:t xml:space="preserve"> </w:t>
      </w:r>
      <w:r w:rsidR="002C66F9" w:rsidRPr="009B36C8">
        <w:rPr>
          <w:sz w:val="24"/>
          <w:lang w:val="fi-FI"/>
        </w:rPr>
        <w:tab/>
      </w:r>
      <w:r w:rsidRPr="009B36C8">
        <w:rPr>
          <w:sz w:val="24"/>
          <w:lang w:val="fi-FI"/>
        </w:rPr>
        <w:t xml:space="preserve">Dz.U. C, C/2025/4389, 9.9.2025, ELI: </w:t>
      </w:r>
      <w:hyperlink r:id="rId4" w:tgtFrame="http://data.europa.eu/eli/C/2025/4389/oj" w:history="1">
        <w:r w:rsidRPr="009B36C8">
          <w:rPr>
            <w:rStyle w:val="Hyperlink"/>
            <w:sz w:val="24"/>
            <w:lang w:val="fi-FI"/>
          </w:rPr>
          <w:t>http://data.europa.eu/eli/C/2025/4389/oj</w:t>
        </w:r>
      </w:hyperlink>
      <w:r w:rsidRPr="009B36C8">
        <w:rPr>
          <w:sz w:val="24"/>
          <w:lang w:val="fi-FI"/>
        </w:rPr>
        <w:t>.</w:t>
      </w:r>
    </w:p>
  </w:footnote>
  <w:footnote w:id="6">
    <w:p w14:paraId="2641ECB2" w14:textId="50895CCF" w:rsidR="00E15A15" w:rsidRPr="009B36C8" w:rsidRDefault="00E15A15" w:rsidP="002C66F9">
      <w:pPr>
        <w:pStyle w:val="FootnoteText"/>
        <w:ind w:left="567" w:hanging="567"/>
        <w:rPr>
          <w:sz w:val="24"/>
          <w:lang w:val="fi-FI"/>
        </w:rPr>
      </w:pPr>
      <w:r w:rsidRPr="002C66F9">
        <w:rPr>
          <w:rStyle w:val="FootnoteReference"/>
          <w:sz w:val="24"/>
          <w:lang w:val="pl-PL"/>
        </w:rPr>
        <w:footnoteRef/>
      </w:r>
      <w:r w:rsidR="002C66F9" w:rsidRPr="009B36C8">
        <w:rPr>
          <w:sz w:val="24"/>
          <w:lang w:val="fi-FI"/>
        </w:rPr>
        <w:t xml:space="preserve"> </w:t>
      </w:r>
      <w:r w:rsidR="002C66F9" w:rsidRPr="009B36C8">
        <w:rPr>
          <w:sz w:val="24"/>
          <w:lang w:val="fi-FI"/>
        </w:rPr>
        <w:tab/>
      </w:r>
      <w:r w:rsidRPr="009B36C8">
        <w:rPr>
          <w:sz w:val="24"/>
          <w:lang w:val="fi-FI"/>
        </w:rPr>
        <w:t xml:space="preserve">Dz.U. C, C/2025/3151, 20.6.2025, ELI: </w:t>
      </w:r>
      <w:hyperlink r:id="rId5" w:tgtFrame="http://data.europa.eu/eli/C/2025/3151/oj" w:history="1">
        <w:r w:rsidRPr="009B36C8">
          <w:rPr>
            <w:rStyle w:val="Hyperlink"/>
            <w:sz w:val="24"/>
            <w:lang w:val="fi-FI"/>
          </w:rPr>
          <w:t>http://data.europa.eu/eli/C/2025/3151/oj</w:t>
        </w:r>
      </w:hyperlink>
      <w:r w:rsidRPr="009B36C8">
        <w:rPr>
          <w:sz w:val="24"/>
          <w:lang w:val="fi-FI"/>
        </w:rPr>
        <w:t>.</w:t>
      </w:r>
    </w:p>
  </w:footnote>
  <w:footnote w:id="7">
    <w:p w14:paraId="4A22297A" w14:textId="451CF8F8" w:rsidR="00E15A15" w:rsidRPr="002C66F9" w:rsidRDefault="00E15A15" w:rsidP="002C66F9">
      <w:pPr>
        <w:pStyle w:val="FootnoteText"/>
        <w:ind w:left="567" w:hanging="567"/>
        <w:rPr>
          <w:sz w:val="24"/>
          <w:lang w:val="pl-PL"/>
        </w:rPr>
      </w:pPr>
      <w:r w:rsidRPr="002C66F9">
        <w:rPr>
          <w:rStyle w:val="FootnoteReference"/>
          <w:sz w:val="24"/>
          <w:lang w:val="pl-PL"/>
        </w:rPr>
        <w:footnoteRef/>
      </w:r>
      <w:r w:rsidR="002C66F9" w:rsidRPr="002C66F9">
        <w:rPr>
          <w:sz w:val="24"/>
          <w:lang w:val="pl-PL"/>
        </w:rPr>
        <w:t xml:space="preserve"> </w:t>
      </w:r>
      <w:r w:rsidR="002C66F9" w:rsidRPr="002C66F9">
        <w:rPr>
          <w:sz w:val="24"/>
          <w:lang w:val="pl-PL"/>
        </w:rPr>
        <w:tab/>
      </w:r>
      <w:r w:rsidRPr="002C66F9">
        <w:rPr>
          <w:sz w:val="24"/>
          <w:lang w:val="pl-PL"/>
        </w:rPr>
        <w:t>Dz.U. C 99 z 1.3.2022, s. 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FBBE4" w14:textId="77777777" w:rsidR="00064002" w:rsidRPr="002C66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4034A" w14:textId="77777777" w:rsidR="00064002" w:rsidRPr="002C66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618A" w14:textId="77777777" w:rsidR="00064002" w:rsidRPr="002C66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9948365">
    <w:abstractNumId w:val="9"/>
  </w:num>
  <w:num w:numId="2" w16cid:durableId="830755332">
    <w:abstractNumId w:val="9"/>
  </w:num>
  <w:num w:numId="3" w16cid:durableId="394478084">
    <w:abstractNumId w:val="7"/>
  </w:num>
  <w:num w:numId="4" w16cid:durableId="583225723">
    <w:abstractNumId w:val="7"/>
  </w:num>
  <w:num w:numId="5" w16cid:durableId="783692649">
    <w:abstractNumId w:val="6"/>
  </w:num>
  <w:num w:numId="6" w16cid:durableId="1800684292">
    <w:abstractNumId w:val="6"/>
  </w:num>
  <w:num w:numId="7" w16cid:durableId="227687126">
    <w:abstractNumId w:val="5"/>
  </w:num>
  <w:num w:numId="8" w16cid:durableId="85419728">
    <w:abstractNumId w:val="5"/>
  </w:num>
  <w:num w:numId="9" w16cid:durableId="708993334">
    <w:abstractNumId w:val="4"/>
  </w:num>
  <w:num w:numId="10" w16cid:durableId="1902212516">
    <w:abstractNumId w:val="4"/>
  </w:num>
  <w:num w:numId="11" w16cid:durableId="1935629548">
    <w:abstractNumId w:val="8"/>
  </w:num>
  <w:num w:numId="12" w16cid:durableId="604457916">
    <w:abstractNumId w:val="8"/>
  </w:num>
  <w:num w:numId="13" w16cid:durableId="1314411163">
    <w:abstractNumId w:val="3"/>
  </w:num>
  <w:num w:numId="14" w16cid:durableId="708920743">
    <w:abstractNumId w:val="3"/>
  </w:num>
  <w:num w:numId="15" w16cid:durableId="870920163">
    <w:abstractNumId w:val="2"/>
  </w:num>
  <w:num w:numId="16" w16cid:durableId="277103277">
    <w:abstractNumId w:val="2"/>
  </w:num>
  <w:num w:numId="17" w16cid:durableId="1112476189">
    <w:abstractNumId w:val="1"/>
  </w:num>
  <w:num w:numId="18" w16cid:durableId="1537081933">
    <w:abstractNumId w:val="1"/>
  </w:num>
  <w:num w:numId="19" w16cid:durableId="398595944">
    <w:abstractNumId w:val="0"/>
  </w:num>
  <w:num w:numId="20" w16cid:durableId="1063991792">
    <w:abstractNumId w:val="0"/>
  </w:num>
  <w:num w:numId="21" w16cid:durableId="2044288087">
    <w:abstractNumId w:val="9"/>
  </w:num>
  <w:num w:numId="22" w16cid:durableId="1216313705">
    <w:abstractNumId w:val="7"/>
  </w:num>
  <w:num w:numId="23" w16cid:durableId="1309633572">
    <w:abstractNumId w:val="6"/>
  </w:num>
  <w:num w:numId="24" w16cid:durableId="1368530309">
    <w:abstractNumId w:val="5"/>
  </w:num>
  <w:num w:numId="25" w16cid:durableId="1683626429">
    <w:abstractNumId w:val="4"/>
  </w:num>
  <w:num w:numId="26" w16cid:durableId="1929536021">
    <w:abstractNumId w:val="8"/>
  </w:num>
  <w:num w:numId="27" w16cid:durableId="757291555">
    <w:abstractNumId w:val="3"/>
  </w:num>
  <w:num w:numId="28" w16cid:durableId="130563087">
    <w:abstractNumId w:val="2"/>
  </w:num>
  <w:num w:numId="29" w16cid:durableId="1498643693">
    <w:abstractNumId w:val="1"/>
  </w:num>
  <w:num w:numId="30" w16cid:durableId="158349219">
    <w:abstractNumId w:val="0"/>
  </w:num>
  <w:num w:numId="31" w16cid:durableId="947157523">
    <w:abstractNumId w:val="9"/>
  </w:num>
  <w:num w:numId="32" w16cid:durableId="341587438">
    <w:abstractNumId w:val="7"/>
  </w:num>
  <w:num w:numId="33" w16cid:durableId="544566404">
    <w:abstractNumId w:val="6"/>
  </w:num>
  <w:num w:numId="34" w16cid:durableId="1193226581">
    <w:abstractNumId w:val="5"/>
  </w:num>
  <w:num w:numId="35" w16cid:durableId="1940720711">
    <w:abstractNumId w:val="4"/>
  </w:num>
  <w:num w:numId="36" w16cid:durableId="1300920882">
    <w:abstractNumId w:val="8"/>
  </w:num>
  <w:num w:numId="37" w16cid:durableId="1868787222">
    <w:abstractNumId w:val="3"/>
  </w:num>
  <w:num w:numId="38" w16cid:durableId="2034261865">
    <w:abstractNumId w:val="2"/>
  </w:num>
  <w:num w:numId="39" w16cid:durableId="765157293">
    <w:abstractNumId w:val="1"/>
  </w:num>
  <w:num w:numId="40" w16cid:durableId="1757096675">
    <w:abstractNumId w:val="0"/>
  </w:num>
  <w:num w:numId="41" w16cid:durableId="421344533">
    <w:abstractNumId w:val="10"/>
  </w:num>
  <w:num w:numId="42" w16cid:durableId="134877179">
    <w:abstractNumId w:val="10"/>
  </w:num>
  <w:num w:numId="43" w16cid:durableId="794953853">
    <w:abstractNumId w:val="10"/>
  </w:num>
  <w:num w:numId="44" w16cid:durableId="1801066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5/2026"/>
    <w:docVar w:name="dvlangue" w:val="PL"/>
    <w:docVar w:name="dvnumam" w:val="0"/>
    <w:docVar w:name="dvpe" w:val="778.180"/>
    <w:docVar w:name="dvrapporteur" w:val="Sprawozdawca: "/>
    <w:docVar w:name="dvtitre" w:val="Rezolucja Parlamentu Europejskiego z dnia  2026 r. w sprawie unijnych strategicznych partnerstw na rzecz obrony i bezpieczeństwa(2025/2119(INI))"/>
  </w:docVars>
  <w:rsids>
    <w:rsidRoot w:val="00981E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E30"/>
    <w:rsid w:val="002767FF"/>
    <w:rsid w:val="002B18FE"/>
    <w:rsid w:val="002B5493"/>
    <w:rsid w:val="002C66F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79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E25"/>
    <w:rsid w:val="009B36C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43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A15"/>
    <w:rsid w:val="00E365E1"/>
    <w:rsid w:val="00E820A4"/>
    <w:rsid w:val="00EB006A"/>
    <w:rsid w:val="00EB4772"/>
    <w:rsid w:val="00ED169E"/>
    <w:rsid w:val="00ED4235"/>
    <w:rsid w:val="00EE0515"/>
    <w:rsid w:val="00F0410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48A0F"/>
  <w15:chartTrackingRefBased/>
  <w15:docId w15:val="{61855326-3DBD-4620-BB7C-C6CD27249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15A1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15A1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15A1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15A15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15A15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15A15"/>
    <w:rPr>
      <w:sz w:val="24"/>
      <w:szCs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ALL/?uri=CELEX%3A52025PC0188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697/oj" TargetMode="External"/><Relationship Id="rId2" Type="http://schemas.openxmlformats.org/officeDocument/2006/relationships/hyperlink" Target="http://data.europa.eu/eli/dec/2024/890/oj" TargetMode="External"/><Relationship Id="rId1" Type="http://schemas.openxmlformats.org/officeDocument/2006/relationships/hyperlink" Target="http://data.europa.eu/eli/dec/2017/2315/oj" TargetMode="External"/><Relationship Id="rId5" Type="http://schemas.openxmlformats.org/officeDocument/2006/relationships/hyperlink" Target="http://data.europa.eu/eli/C/2025/3151/oj" TargetMode="External"/><Relationship Id="rId4" Type="http://schemas.openxmlformats.org/officeDocument/2006/relationships/hyperlink" Target="http://data.europa.eu/eli/C/2025/43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5080</Words>
  <Characters>35376</Characters>
  <Application>Microsoft Office Word</Application>
  <DocSecurity>0</DocSecurity>
  <Lines>294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SOLTYSOVA Zuzana</cp:lastModifiedBy>
  <cp:revision>3</cp:revision>
  <cp:lastPrinted>2004-11-19T15:42:00Z</cp:lastPrinted>
  <dcterms:created xsi:type="dcterms:W3CDTF">2026-03-16T08:32:00Z</dcterms:created>
  <dcterms:modified xsi:type="dcterms:W3CDTF">2026-04-30T15:09:00Z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A10-0005/2026</vt:lpwstr>
  </property>
  <property fmtid="{D5CDD505-2E9C-101B-9397-08002B2CF9AE}" pid="4" name="&lt;Type&gt;">
    <vt:lpwstr>RR</vt:lpwstr>
  </property>
</Properties>
</file>