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603E" w14:paraId="4E8507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939F96" w14:textId="77777777" w:rsidR="00751A4A" w:rsidRPr="00B0603E" w:rsidRDefault="008E1AF2" w:rsidP="0010095E">
            <w:pPr>
              <w:pStyle w:val="EPName"/>
            </w:pPr>
            <w:r w:rsidRPr="00B0603E">
              <w:t>Európsky parlament</w:t>
            </w:r>
          </w:p>
          <w:p w14:paraId="525E366D" w14:textId="77777777" w:rsidR="00751A4A" w:rsidRPr="00B060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603E">
              <w:t>2024</w:t>
            </w:r>
            <w:r w:rsidR="00817416" w:rsidRPr="00B0603E">
              <w:t>-202</w:t>
            </w:r>
            <w:r w:rsidRPr="00B0603E">
              <w:t>9</w:t>
            </w:r>
          </w:p>
        </w:tc>
        <w:tc>
          <w:tcPr>
            <w:tcW w:w="2268" w:type="dxa"/>
            <w:shd w:val="clear" w:color="auto" w:fill="auto"/>
          </w:tcPr>
          <w:p w14:paraId="035AD409" w14:textId="77777777" w:rsidR="00751A4A" w:rsidRPr="00B0603E" w:rsidRDefault="00187494" w:rsidP="0010095E">
            <w:pPr>
              <w:pStyle w:val="EPLogo"/>
            </w:pPr>
            <w:r w:rsidRPr="00B0603E">
              <w:rPr>
                <w:noProof/>
                <w:lang w:eastAsia="ja-JP"/>
              </w:rPr>
              <w:drawing>
                <wp:inline distT="0" distB="0" distL="0" distR="0" wp14:anchorId="6ACD5A70" wp14:editId="631377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8FF030" w14:textId="77777777" w:rsidR="00D058B8" w:rsidRPr="00B0603E" w:rsidRDefault="00D058B8" w:rsidP="004C5D52">
      <w:pPr>
        <w:pStyle w:val="LineTop"/>
      </w:pPr>
    </w:p>
    <w:p w14:paraId="0CFE50A2" w14:textId="77777777" w:rsidR="00680577" w:rsidRPr="00B0603E" w:rsidRDefault="008E1AF2" w:rsidP="00680577">
      <w:pPr>
        <w:pStyle w:val="EPBodyTA1"/>
      </w:pPr>
      <w:r w:rsidRPr="00B0603E">
        <w:t>PRIJATÉ TEXTY</w:t>
      </w:r>
    </w:p>
    <w:p w14:paraId="13681F9C" w14:textId="77777777" w:rsidR="00D058B8" w:rsidRPr="00B0603E" w:rsidRDefault="00D058B8" w:rsidP="00D058B8">
      <w:pPr>
        <w:pStyle w:val="LineBottom"/>
      </w:pPr>
    </w:p>
    <w:p w14:paraId="1C916576" w14:textId="68D341BC" w:rsidR="008E1AF2" w:rsidRPr="00B0603E" w:rsidRDefault="008E1AF2" w:rsidP="008E1AF2">
      <w:pPr>
        <w:pStyle w:val="ATHeading1"/>
      </w:pPr>
      <w:bookmarkStart w:id="0" w:name="TANumber"/>
      <w:r w:rsidRPr="00B0603E">
        <w:t>P10_TA(2026)00</w:t>
      </w:r>
      <w:r w:rsidR="00A57FA8" w:rsidRPr="00B0603E">
        <w:t>4</w:t>
      </w:r>
      <w:r w:rsidRPr="00B0603E">
        <w:t>0</w:t>
      </w:r>
      <w:bookmarkEnd w:id="0"/>
    </w:p>
    <w:p w14:paraId="10EE25C7" w14:textId="77777777" w:rsidR="008E1AF2" w:rsidRPr="00B0603E" w:rsidRDefault="008E1AF2" w:rsidP="008E1AF2">
      <w:pPr>
        <w:pStyle w:val="ATHeading2"/>
      </w:pPr>
      <w:bookmarkStart w:id="1" w:name="title"/>
      <w:r w:rsidRPr="00B0603E">
        <w:t>Strategické partnerstvá EÚ v oblasti obrany a bezpečnosti</w:t>
      </w:r>
      <w:bookmarkEnd w:id="1"/>
    </w:p>
    <w:p w14:paraId="1B2C08D4" w14:textId="77777777" w:rsidR="008E1AF2" w:rsidRPr="00B0603E" w:rsidRDefault="008E1AF2" w:rsidP="008E1AF2">
      <w:pPr>
        <w:rPr>
          <w:i/>
          <w:vanish/>
        </w:rPr>
      </w:pPr>
      <w:r w:rsidRPr="00B0603E">
        <w:rPr>
          <w:i/>
        </w:rPr>
        <w:fldChar w:fldCharType="begin"/>
      </w:r>
      <w:r w:rsidRPr="00B0603E">
        <w:rPr>
          <w:i/>
        </w:rPr>
        <w:instrText xml:space="preserve"> TC"(</w:instrText>
      </w:r>
      <w:bookmarkStart w:id="2" w:name="DocNumber"/>
      <w:r w:rsidRPr="00B0603E">
        <w:rPr>
          <w:i/>
        </w:rPr>
        <w:instrText>A10-0005/2026</w:instrText>
      </w:r>
      <w:bookmarkEnd w:id="2"/>
      <w:r w:rsidRPr="00B0603E">
        <w:rPr>
          <w:i/>
        </w:rPr>
        <w:instrText xml:space="preserve"> - Spravodajca: Michał Szczerba)"\l3 \n&gt; \* MERGEFORMAT </w:instrText>
      </w:r>
      <w:r w:rsidRPr="00B0603E">
        <w:rPr>
          <w:i/>
        </w:rPr>
        <w:fldChar w:fldCharType="end"/>
      </w:r>
    </w:p>
    <w:p w14:paraId="035B7613" w14:textId="77777777" w:rsidR="008E1AF2" w:rsidRPr="00B0603E" w:rsidRDefault="008E1AF2" w:rsidP="008E1AF2">
      <w:pPr>
        <w:rPr>
          <w:vanish/>
        </w:rPr>
      </w:pPr>
      <w:bookmarkStart w:id="3" w:name="Commission"/>
      <w:r w:rsidRPr="00B0603E">
        <w:rPr>
          <w:vanish/>
        </w:rPr>
        <w:t>Výbor pre bezpečnosť a obranu</w:t>
      </w:r>
      <w:bookmarkEnd w:id="3"/>
    </w:p>
    <w:p w14:paraId="66CD6E33" w14:textId="77777777" w:rsidR="008E1AF2" w:rsidRPr="00B0603E" w:rsidRDefault="008E1AF2" w:rsidP="008E1AF2">
      <w:pPr>
        <w:rPr>
          <w:vanish/>
        </w:rPr>
      </w:pPr>
      <w:bookmarkStart w:id="4" w:name="PE"/>
      <w:r w:rsidRPr="00B0603E">
        <w:rPr>
          <w:vanish/>
        </w:rPr>
        <w:t>PE778.180</w:t>
      </w:r>
      <w:bookmarkEnd w:id="4"/>
    </w:p>
    <w:p w14:paraId="72097650" w14:textId="3340F45D" w:rsidR="008E1AF2" w:rsidRPr="00B0603E" w:rsidRDefault="008E1AF2" w:rsidP="008E1AF2">
      <w:pPr>
        <w:pStyle w:val="ATHeading3"/>
      </w:pPr>
      <w:bookmarkStart w:id="5" w:name="Sujet"/>
      <w:r w:rsidRPr="00B0603E">
        <w:t xml:space="preserve">Uznesenie Európskeho parlamentu z </w:t>
      </w:r>
      <w:r w:rsidR="00454219" w:rsidRPr="00B0603E">
        <w:t>11</w:t>
      </w:r>
      <w:r w:rsidRPr="00B0603E">
        <w:t xml:space="preserve">. </w:t>
      </w:r>
      <w:r w:rsidR="00454219" w:rsidRPr="00B0603E">
        <w:t xml:space="preserve">februára </w:t>
      </w:r>
      <w:r w:rsidRPr="00B0603E">
        <w:t>2026 o strategických partnerstvách EÚ v oblasti obrany a bezpečnosti</w:t>
      </w:r>
      <w:bookmarkEnd w:id="5"/>
      <w:r w:rsidRPr="00B0603E">
        <w:t xml:space="preserve"> </w:t>
      </w:r>
      <w:bookmarkStart w:id="6" w:name="References"/>
      <w:r w:rsidRPr="00B0603E">
        <w:t>(2025/2119(INI))</w:t>
      </w:r>
      <w:bookmarkEnd w:id="6"/>
    </w:p>
    <w:p w14:paraId="2CA1FAC0" w14:textId="77777777" w:rsidR="001B2E01" w:rsidRPr="00B0603E" w:rsidRDefault="001B2E01" w:rsidP="00A87B56">
      <w:pPr>
        <w:pStyle w:val="Normal12"/>
        <w:spacing w:before="240"/>
      </w:pPr>
      <w:r w:rsidRPr="00B0603E">
        <w:rPr>
          <w:i/>
        </w:rPr>
        <w:t>Európsky parlament</w:t>
      </w:r>
      <w:r w:rsidRPr="00B0603E">
        <w:t>,</w:t>
      </w:r>
    </w:p>
    <w:p w14:paraId="5D1D5BC9" w14:textId="35CCA489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Zmluvu o fungovaní Európskej únie a hlavu V Zmluvy o Európskej únii (</w:t>
      </w:r>
      <w:r w:rsidR="00454219" w:rsidRPr="00B0603E">
        <w:t>ďalej len „</w:t>
      </w:r>
      <w:r w:rsidRPr="00B0603E">
        <w:t>Zmluva o</w:t>
      </w:r>
      <w:r w:rsidR="00454219" w:rsidRPr="00B0603E">
        <w:t> </w:t>
      </w:r>
      <w:r w:rsidRPr="00B0603E">
        <w:t>EÚ</w:t>
      </w:r>
      <w:r w:rsidR="00454219" w:rsidRPr="00B0603E">
        <w:t>“</w:t>
      </w:r>
      <w:r w:rsidRPr="00B0603E">
        <w:t>), najmä na ustanovenia o spoločnej bezpečnostnej a obrannej politike (SBOP),</w:t>
      </w:r>
    </w:p>
    <w:p w14:paraId="4A570529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Strategický kompas pre bezpečnosť a obranu – za Európsku úniu, ktorá chráni svojich občanov, hodnoty a záujmy a prispieva k medzinárodnému mieru a bezpečnosti, ktorý Rada prijala 21. marca 2022,</w:t>
      </w:r>
    </w:p>
    <w:p w14:paraId="076DD941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vyhlásenie z Versailles prijaté na neformálnom stretnutí hláv štátov alebo predsedov vlád 10. a 11. marca 2022,</w:t>
      </w:r>
    </w:p>
    <w:p w14:paraId="1C34408C" w14:textId="1C3D7A81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rozhodnutie Rady (SZBP) 2017/2315 z 11. decembra 2017 o nadviazaní stálej štruktúrovanej spolupráce (PESCO) a stanovení zoznamu zúčastnených členských štátov</w:t>
      </w:r>
      <w:r w:rsidR="00454219" w:rsidRPr="00B0603E">
        <w:rPr>
          <w:rStyle w:val="FootnoteReference"/>
        </w:rPr>
        <w:footnoteReference w:id="1"/>
      </w:r>
      <w:r w:rsidRPr="00B0603E">
        <w:t>,</w:t>
      </w:r>
    </w:p>
    <w:p w14:paraId="1B9CFB9A" w14:textId="474BD0F9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rozhodnutie Rady (SZBP) 2024/890 z 18. marca 2024, ktorým sa mení rozhodnutie (SZBP) 2021/509, ktorým sa zriaďuje Európsky mierový nástroj</w:t>
      </w:r>
      <w:r w:rsidR="00454219" w:rsidRPr="00B0603E">
        <w:rPr>
          <w:rStyle w:val="FootnoteReference"/>
        </w:rPr>
        <w:footnoteReference w:id="2"/>
      </w:r>
      <w:r w:rsidRPr="00B0603E">
        <w:t>,</w:t>
      </w:r>
    </w:p>
    <w:p w14:paraId="706CF405" w14:textId="77777777" w:rsidR="001B2E01" w:rsidRPr="00B0603E" w:rsidRDefault="001B2E01" w:rsidP="001B2E01">
      <w:pPr>
        <w:pStyle w:val="NormalHanging12a"/>
      </w:pPr>
      <w:r w:rsidRPr="00B0603E">
        <w:t>–</w:t>
      </w:r>
      <w:r w:rsidRPr="00B0603E">
        <w:tab/>
        <w:t>so zreteľom na závery zo zasadnutí Európskej rady, najmä z 23. októbra 2025, 26. júna 2025, 20. marca 2025 a zo 6. marca 2025,</w:t>
      </w:r>
    </w:p>
    <w:p w14:paraId="1EDA630C" w14:textId="77777777" w:rsidR="001B2E01" w:rsidRPr="00B0603E" w:rsidRDefault="001B2E01" w:rsidP="001B2E01">
      <w:pPr>
        <w:pStyle w:val="NormalHanging"/>
      </w:pPr>
      <w:r w:rsidRPr="00B0603E">
        <w:rPr>
          <w:i/>
        </w:rPr>
        <w:t>–</w:t>
      </w:r>
      <w:r w:rsidRPr="00B0603E">
        <w:rPr>
          <w:i/>
        </w:rPr>
        <w:tab/>
      </w:r>
      <w:r w:rsidRPr="00B0603E">
        <w:t>so zreteľom na partnerstvá v oblasti bezpečnosti a obrany, ktoré 21. mája 2024 podpísali EÚ a Moldavsko, 28. mája 2024 EÚ a Nórsko, 1. novembra 2024 EÚ a Japonsko, 4. novembra 2024 EÚ a Južná Kórea, 19. novembra 2024 EÚ a Severné Macedónsko, 18. decembra 2024 EÚ a Albánsko, 19. mája 2025 EÚ a Spojené kráľovstvo a 23. júna 2025 EÚ a Kanada,</w:t>
      </w:r>
    </w:p>
    <w:p w14:paraId="3B168752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rPr>
          <w:b/>
          <w:i/>
        </w:rPr>
        <w:lastRenderedPageBreak/>
        <w:t>–</w:t>
      </w:r>
      <w:r w:rsidRPr="00B0603E">
        <w:rPr>
          <w:b/>
          <w:i/>
        </w:rPr>
        <w:tab/>
      </w:r>
      <w:r w:rsidRPr="00B0603E">
        <w:t>so zreteľom na spoločné bezpečnostné záväzky medzi EÚ a Ukrajinou podpísané 27. júna 2024,</w:t>
      </w:r>
    </w:p>
    <w:p w14:paraId="6A5224F6" w14:textId="4B459E6E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nariadenie Európskeho parlamentu a Rady (EÚ) 2021/697 z 29. apríla 2021, ktorým sa zriaďuje Európsky obranný fond a zrušuje nariadenie (EÚ) 2018/1092</w:t>
      </w:r>
      <w:r w:rsidR="00454219" w:rsidRPr="00B0603E">
        <w:rPr>
          <w:rStyle w:val="FootnoteReference"/>
        </w:rPr>
        <w:footnoteReference w:id="3"/>
      </w:r>
      <w:r w:rsidRPr="00B0603E">
        <w:t>,</w:t>
      </w:r>
    </w:p>
    <w:p w14:paraId="6C60D8D7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 xml:space="preserve">so zreteľom na spoločnú bielu knihu o európskej obrannej pripravenosti 2030, ktorú predložilo predsedníctvo Európskej komisie 19. marca 2025, a na jej plán financovania v piatich bodoch s názvom </w:t>
      </w:r>
      <w:proofErr w:type="spellStart"/>
      <w:r w:rsidRPr="00B0603E">
        <w:t>ReArm</w:t>
      </w:r>
      <w:proofErr w:type="spellEnd"/>
      <w:r w:rsidRPr="00B0603E">
        <w:t xml:space="preserve"> </w:t>
      </w:r>
      <w:proofErr w:type="spellStart"/>
      <w:r w:rsidRPr="00B0603E">
        <w:t>Europe</w:t>
      </w:r>
      <w:proofErr w:type="spellEnd"/>
      <w:r w:rsidRPr="00B0603E">
        <w:t>,</w:t>
      </w:r>
    </w:p>
    <w:p w14:paraId="5A6BAA63" w14:textId="500D8B68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 xml:space="preserve">so zreteľom na návrh nariadenia Európskeho parlamentu a Rady, ktorý Komisia predložila 22. apríla 2025 a ktorým sa menia nariadenia (EÚ) 2021/694, (EÚ) 2021/695, (EÚ) 2021/697, (EÚ) 2021/1153, (EÚ) 2023/1525 a </w:t>
      </w:r>
      <w:r w:rsidR="00F44313" w:rsidRPr="00B0603E">
        <w:t xml:space="preserve">(EÚ) </w:t>
      </w:r>
      <w:r w:rsidRPr="00B0603E">
        <w:t xml:space="preserve">2024/795, pokiaľ ide o stimulovanie investícií do obrany v rozpočte EÚ na účely vykonávania plánu </w:t>
      </w:r>
      <w:proofErr w:type="spellStart"/>
      <w:r w:rsidRPr="00B0603E">
        <w:t>ReArm</w:t>
      </w:r>
      <w:proofErr w:type="spellEnd"/>
      <w:r w:rsidRPr="00B0603E">
        <w:t xml:space="preserve"> </w:t>
      </w:r>
      <w:proofErr w:type="spellStart"/>
      <w:r w:rsidRPr="00B0603E">
        <w:t>Europe</w:t>
      </w:r>
      <w:proofErr w:type="spellEnd"/>
      <w:r w:rsidRPr="00B0603E">
        <w:t xml:space="preserve"> (</w:t>
      </w:r>
      <w:r w:rsidR="00454219" w:rsidRPr="00B0603E">
        <w:t>COM(2025)0188</w:t>
      </w:r>
      <w:r w:rsidRPr="00B0603E">
        <w:t>),</w:t>
      </w:r>
    </w:p>
    <w:p w14:paraId="6F748296" w14:textId="77777777" w:rsidR="001B2E01" w:rsidRPr="00B0603E" w:rsidRDefault="001B2E01" w:rsidP="001B2E01">
      <w:pPr>
        <w:pStyle w:val="NormalHanging12a"/>
      </w:pPr>
      <w:r w:rsidRPr="00B0603E">
        <w:t>–</w:t>
      </w:r>
      <w:r w:rsidRPr="00B0603E">
        <w:tab/>
        <w:t>so zreteľom na nariadenie Rady (EÚ) 2025/1106 z 27. mája 2025, ktorým sa zriaďuje Nástroj bezpečnostnej akcie pre Európu posilnením európskeho obranného priemyslu (SAFE)</w:t>
      </w:r>
      <w:r w:rsidRPr="00B0603E">
        <w:rPr>
          <w:rStyle w:val="FootnoteReference"/>
        </w:rPr>
        <w:footnoteReference w:id="4"/>
      </w:r>
      <w:r w:rsidRPr="00B0603E">
        <w:t>,</w:t>
      </w:r>
    </w:p>
    <w:p w14:paraId="63C2A089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oznámenie Komisie zo 17. júna 2025 s názvom Súhrnný balík opatrení v oblasti obrannej pripravenosti (COM(2025)0820), ktorého cieľom je zjednodušiť príslušné právne a administratívne rámce v záujme posilnenia obrannej pripravenosti EÚ,</w:t>
      </w:r>
    </w:p>
    <w:p w14:paraId="3C95A546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rPr>
          <w:b/>
          <w:i/>
        </w:rPr>
        <w:t>–</w:t>
      </w:r>
      <w:r w:rsidRPr="00B0603E">
        <w:rPr>
          <w:b/>
          <w:i/>
        </w:rPr>
        <w:tab/>
      </w:r>
      <w:r w:rsidRPr="00B0603E">
        <w:t>so zreteľom na spoločné oznámenie Komisie a vysokej predstaviteľky Únie pre zahraničné veci a bezpečnostnú politiku zo 16. októbra 2025 s názvom Zachovanie mieru – Plán obrannej pripravenosti do roku 2030 (JOIN(2025)0027),</w:t>
      </w:r>
    </w:p>
    <w:p w14:paraId="53F251C9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 xml:space="preserve">so zreteľom na správu Maria </w:t>
      </w:r>
      <w:proofErr w:type="spellStart"/>
      <w:r w:rsidRPr="00B0603E">
        <w:t>Draghiho</w:t>
      </w:r>
      <w:proofErr w:type="spellEnd"/>
      <w:r w:rsidRPr="00B0603E">
        <w:t xml:space="preserve"> z 9. septembra 2024 o budúcnosti európskej konkurencieschopnosti,</w:t>
      </w:r>
    </w:p>
    <w:p w14:paraId="12386051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 xml:space="preserve">so zreteľom na správu </w:t>
      </w:r>
      <w:proofErr w:type="spellStart"/>
      <w:r w:rsidRPr="00B0603E">
        <w:t>Sauliho</w:t>
      </w:r>
      <w:proofErr w:type="spellEnd"/>
      <w:r w:rsidRPr="00B0603E">
        <w:t xml:space="preserve"> </w:t>
      </w:r>
      <w:proofErr w:type="spellStart"/>
      <w:r w:rsidRPr="00B0603E">
        <w:t>Niinistöa</w:t>
      </w:r>
      <w:proofErr w:type="spellEnd"/>
      <w:r w:rsidRPr="00B0603E">
        <w:t xml:space="preserve"> z 30. októbra 2024 s názvom Spoločne bezpečnejší: posilnenie európskej civilnej a vojenskej pripravenosti a pohotovosti,</w:t>
      </w:r>
    </w:p>
    <w:p w14:paraId="17D3C42B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tri spoločné vyhlásenia o spolupráci medzi EÚ a NATO podpísané predsedami Európskej rady a Komisie, ako aj generálnym tajomníkom NATO 10. januára 2023, 5. decembra 2018 a 6. decembra 2016,</w:t>
      </w:r>
    </w:p>
    <w:p w14:paraId="321956B3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strategickú koncepciu, ktorá bola prijatá na samite NATO v Madride 29. júna 2022,</w:t>
      </w:r>
    </w:p>
    <w:p w14:paraId="111FE9E5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vyhlásenie zo samitu v Haagu z 25. júna 2025,</w:t>
      </w:r>
    </w:p>
    <w:p w14:paraId="105CBA01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svoje uznesenie z 2. apríla 2025 o vykonávaní spoločnej bezpečnostnej a obrannej politiky – výročná správa za rok 2024</w:t>
      </w:r>
      <w:r w:rsidRPr="00B0603E">
        <w:rPr>
          <w:rStyle w:val="FootnoteReference"/>
        </w:rPr>
        <w:footnoteReference w:id="5"/>
      </w:r>
      <w:r w:rsidRPr="00B0603E">
        <w:t>,</w:t>
      </w:r>
    </w:p>
    <w:p w14:paraId="50587A99" w14:textId="77777777" w:rsidR="001B2E01" w:rsidRPr="00B0603E" w:rsidRDefault="001B2E01" w:rsidP="001B2E01">
      <w:pPr>
        <w:pStyle w:val="NormalHanging"/>
      </w:pPr>
      <w:r w:rsidRPr="00B0603E">
        <w:lastRenderedPageBreak/>
        <w:t>–</w:t>
      </w:r>
      <w:r w:rsidRPr="00B0603E">
        <w:tab/>
        <w:t>so zreteľom na svoje uznesenie z 12. marca 2025 o bielej knihe o budúcnosti európskej obrany</w:t>
      </w:r>
      <w:r w:rsidRPr="00B0603E">
        <w:rPr>
          <w:rStyle w:val="FootnoteReference"/>
        </w:rPr>
        <w:footnoteReference w:id="6"/>
      </w:r>
      <w:r w:rsidRPr="00B0603E">
        <w:t>,</w:t>
      </w:r>
    </w:p>
    <w:p w14:paraId="6D642F4C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svoje uznesenie zo 7. júla 2021 o spolupráci medzi EÚ a NATO v kontexte transatlantických vzťahov</w:t>
      </w:r>
      <w:r w:rsidRPr="00B0603E">
        <w:rPr>
          <w:rStyle w:val="FootnoteReference"/>
        </w:rPr>
        <w:footnoteReference w:id="7"/>
      </w:r>
      <w:r w:rsidRPr="00B0603E">
        <w:t>,</w:t>
      </w:r>
    </w:p>
    <w:p w14:paraId="37777025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 xml:space="preserve">so zreteľom na spoločné oznámenie Komisie a vysokého predstaviteľa Únie pre zahraničné veci a bezpečnostnú politiku z 5. marca 2024 s názvom Nová Stratégia pre európsky obranný priemysel: dosahovanie pripravenosti EÚ prostredníctvom </w:t>
      </w:r>
      <w:proofErr w:type="spellStart"/>
      <w:r w:rsidRPr="00B0603E">
        <w:t>reakcieschopnejšieho</w:t>
      </w:r>
      <w:proofErr w:type="spellEnd"/>
      <w:r w:rsidRPr="00B0603E">
        <w:t xml:space="preserve"> a odolnejšieho európskeho obranného priemyslu (JOIN(2024)0010),</w:t>
      </w:r>
    </w:p>
    <w:p w14:paraId="7C1606E4" w14:textId="0445D5AF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politické usmernenia pre budúcu Európsku komisiu 2024 – 2029 s názvom Európa má na výber, ktoré 18. júla 202</w:t>
      </w:r>
      <w:r w:rsidR="006503BF" w:rsidRPr="00B0603E">
        <w:t>4</w:t>
      </w:r>
      <w:r w:rsidRPr="00B0603E">
        <w:t xml:space="preserve"> predstavila kandidátka na predsedníčku Európskej komisie </w:t>
      </w:r>
      <w:proofErr w:type="spellStart"/>
      <w:r w:rsidRPr="00B0603E">
        <w:t>Ursula</w:t>
      </w:r>
      <w:proofErr w:type="spellEnd"/>
      <w:r w:rsidRPr="00B0603E">
        <w:t xml:space="preserve"> von der </w:t>
      </w:r>
      <w:proofErr w:type="spellStart"/>
      <w:r w:rsidRPr="00B0603E">
        <w:t>Leyen</w:t>
      </w:r>
      <w:proofErr w:type="spellEnd"/>
      <w:r w:rsidRPr="00B0603E">
        <w:t>,</w:t>
      </w:r>
    </w:p>
    <w:p w14:paraId="741355A8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spoločnú deklaráciu o spolupráci OSN a EÚ v oblasti krízového riadenia podpísanú generálnym tajomníkom Organizácie Spojených národov a predsedom Európskej rady 24. septembra 2003,</w:t>
      </w:r>
    </w:p>
    <w:p w14:paraId="24C9FF8D" w14:textId="77777777" w:rsidR="001B2E01" w:rsidRPr="00B0603E" w:rsidRDefault="001B2E01" w:rsidP="001B2E01">
      <w:pPr>
        <w:pStyle w:val="NormalHanging12a"/>
        <w:rPr>
          <w:b/>
          <w:i/>
        </w:rPr>
      </w:pPr>
      <w:r w:rsidRPr="00B0603E">
        <w:rPr>
          <w:b/>
          <w:i/>
        </w:rPr>
        <w:t>–</w:t>
      </w:r>
      <w:r w:rsidRPr="00B0603E">
        <w:rPr>
          <w:b/>
          <w:i/>
        </w:rPr>
        <w:tab/>
      </w:r>
      <w:r w:rsidRPr="00B0603E">
        <w:t>so zreteľom na spoločné oznámenie Komisie a vysokého predstaviteľa Únie pre zahraničné veci a bezpečnostnú politiku z 10. marca 2023 s názvom Stratégia Európskej únie v oblasti kozmického priestoru pre bezpečnosť a obranu (JOIN(2023)0009),</w:t>
      </w:r>
    </w:p>
    <w:p w14:paraId="745D7EE3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článok 55 rokovacieho poriadku,</w:t>
      </w:r>
    </w:p>
    <w:p w14:paraId="41D9D349" w14:textId="77777777" w:rsidR="001B2E01" w:rsidRPr="00B0603E" w:rsidRDefault="001B2E01" w:rsidP="001B2E01">
      <w:pPr>
        <w:pStyle w:val="NormalHanging"/>
      </w:pPr>
      <w:r w:rsidRPr="00B0603E">
        <w:t>–</w:t>
      </w:r>
      <w:r w:rsidRPr="00B0603E">
        <w:tab/>
        <w:t>so zreteľom na správu Výboru pre bezpečnosť a obranu (A10-0005/2026),</w:t>
      </w:r>
    </w:p>
    <w:p w14:paraId="5C8B6512" w14:textId="77777777" w:rsidR="001B2E01" w:rsidRPr="00B0603E" w:rsidRDefault="001B2E01" w:rsidP="001B2E01">
      <w:pPr>
        <w:pStyle w:val="NormalHanging12a"/>
      </w:pPr>
      <w:r w:rsidRPr="00B0603E">
        <w:t>A.</w:t>
      </w:r>
      <w:r w:rsidRPr="00B0603E">
        <w:tab/>
        <w:t>keďže súčasný geopolitický kontext, najmä návrat vojny na európsky kontinent v dôsledku ruskej agresie voči Ukrajine a následné rozhodnutie EÚ prevziať väčšiu zodpovednosť za bezpečnosť a obranu vrátane vojenskej podpory Ukrajine, si vyžaduje, aby EÚ nadviazala silnejšie, udržateľné a individuálne prispôsobené partnerstvá s cieľom posilniť spoluprácu s podobne zmýšľajúcimi partnermi vzájomne prospešným spôsobom; keďže zmena vojenskej paradigmy spolu s nárastom hybridných hrozieb spôsobujú, že žiadny región EÚ nie je imúnny voči riziku agresie alebo zasahovania;</w:t>
      </w:r>
    </w:p>
    <w:p w14:paraId="6AB13D4D" w14:textId="77777777" w:rsidR="001B2E01" w:rsidRPr="00B0603E" w:rsidRDefault="001B2E01" w:rsidP="001B2E01">
      <w:pPr>
        <w:pStyle w:val="NormalHanging12a"/>
        <w:rPr>
          <w:b/>
          <w:i/>
        </w:rPr>
      </w:pPr>
      <w:r w:rsidRPr="00B0603E">
        <w:t>B.</w:t>
      </w:r>
      <w:r w:rsidRPr="00B0603E">
        <w:tab/>
        <w:t>keďže rastúca úloha EÚ v oblasti bezpečnosti a obrany musí zostať v súlade so zásadami a cieľmi vonkajšej činnosti EÚ podľa článku 21 Zmluvy o EÚ vrátane dodržiavania Charty OSN, medzinárodného práva, predchádzania konfliktom, udržateľného rozvoja, demokracie a ľudských práv;</w:t>
      </w:r>
    </w:p>
    <w:p w14:paraId="2C89A40A" w14:textId="77777777" w:rsidR="001B2E01" w:rsidRPr="00B0603E" w:rsidRDefault="001B2E01" w:rsidP="001B2E01">
      <w:pPr>
        <w:pStyle w:val="NormalHanging"/>
      </w:pPr>
      <w:r w:rsidRPr="00B0603E">
        <w:t>C.</w:t>
      </w:r>
      <w:r w:rsidRPr="00B0603E">
        <w:tab/>
        <w:t xml:space="preserve">keďže EÚ je naďalej plne odhodlaná podporovať medzinárodnú spoluprácu a posilňovať účinný </w:t>
      </w:r>
      <w:proofErr w:type="spellStart"/>
      <w:r w:rsidRPr="00B0603E">
        <w:t>multilateralizmus</w:t>
      </w:r>
      <w:proofErr w:type="spellEnd"/>
      <w:r w:rsidRPr="00B0603E">
        <w:t xml:space="preserve"> na všetkých úrovniach;</w:t>
      </w:r>
    </w:p>
    <w:p w14:paraId="3766F125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D.</w:t>
      </w:r>
      <w:r w:rsidRPr="00B0603E">
        <w:tab/>
        <w:t xml:space="preserve">keďže </w:t>
      </w:r>
      <w:proofErr w:type="spellStart"/>
      <w:r w:rsidRPr="00B0603E">
        <w:t>celoúnijná</w:t>
      </w:r>
      <w:proofErr w:type="spellEnd"/>
      <w:r w:rsidRPr="00B0603E">
        <w:t xml:space="preserve"> škála partnerstiev a dialógov o mieri, bezpečnosti a obrane je kľúčovým zdrojom sily a odolnosti;</w:t>
      </w:r>
      <w:r w:rsidRPr="00B0603E">
        <w:rPr>
          <w:b/>
          <w:i/>
        </w:rPr>
        <w:t xml:space="preserve"> </w:t>
      </w:r>
      <w:r w:rsidRPr="00B0603E">
        <w:t>keďže tieto partnerstvá by sa mali zaoberať najnaliehavejšími obrannými potrebami a výzvami EÚ;</w:t>
      </w:r>
    </w:p>
    <w:p w14:paraId="78B89A84" w14:textId="77777777" w:rsidR="001B2E01" w:rsidRPr="00B0603E" w:rsidRDefault="001B2E01" w:rsidP="001B2E01">
      <w:pPr>
        <w:pStyle w:val="NormalHanging12a"/>
      </w:pPr>
      <w:r w:rsidRPr="00B0603E">
        <w:lastRenderedPageBreak/>
        <w:t>E.</w:t>
      </w:r>
      <w:r w:rsidRPr="00B0603E">
        <w:tab/>
        <w:t xml:space="preserve">keďže v Strategickom kompase sa vyzýva na rozšírenie a prehĺbenie partnerstiev s bilaterálnymi, regionálnymi a multilaterálnymi partnermi na celom svete s cieľom zabezpečiť vzájomný prospech a posilnenú spoluprácu, pričom sa zdôrazňuje potreba </w:t>
      </w:r>
      <w:proofErr w:type="spellStart"/>
      <w:r w:rsidRPr="00B0603E">
        <w:t>interoperability</w:t>
      </w:r>
      <w:proofErr w:type="spellEnd"/>
      <w:r w:rsidRPr="00B0603E">
        <w:t>, inovácií a súdržnosti medzi rámcami EÚ a NATO a tiež posilnenej spolupráce s Ukrajinou a Spojenými štátmi ako kľúčovými partnermi pre európsku a transatlantickú bezpečnosť;</w:t>
      </w:r>
    </w:p>
    <w:p w14:paraId="5D0CC0E6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F.</w:t>
      </w:r>
      <w:r w:rsidRPr="00B0603E">
        <w:tab/>
        <w:t xml:space="preserve">keďže prudký nárast činnosti organizácií obchodujúcich s ľuďmi a </w:t>
      </w:r>
      <w:proofErr w:type="spellStart"/>
      <w:r w:rsidRPr="00B0603E">
        <w:t>inštrumentalizácia</w:t>
      </w:r>
      <w:proofErr w:type="spellEnd"/>
      <w:r w:rsidRPr="00B0603E">
        <w:t xml:space="preserve"> migrácie predstavujú pre EÚ kľúčové bezpečnostné riziko;</w:t>
      </w:r>
    </w:p>
    <w:p w14:paraId="4D512D91" w14:textId="77777777" w:rsidR="001B2E01" w:rsidRPr="00B0603E" w:rsidRDefault="001B2E01" w:rsidP="001B2E01">
      <w:pPr>
        <w:pStyle w:val="NormalHanging12a"/>
      </w:pPr>
      <w:r w:rsidRPr="00B0603E">
        <w:t>G.</w:t>
      </w:r>
      <w:r w:rsidRPr="00B0603E">
        <w:tab/>
        <w:t>keďže nové partnerstvá v oblasti bezpečnosti a obrany medzi EÚ a partnerskými krajinami by sa mali usilovať o zaistenie najprísnejších európskych bezpečnostných noriem prostredníctvom získania technologicky najvyspelejších a najúčinnejších systémov sebaobrany a zabezpečenia prístupu k nim;</w:t>
      </w:r>
    </w:p>
    <w:p w14:paraId="3E4DF0BD" w14:textId="77777777" w:rsidR="001B2E01" w:rsidRPr="00B0603E" w:rsidRDefault="001B2E01" w:rsidP="001B2E01">
      <w:pPr>
        <w:pStyle w:val="NormalHanging12a"/>
        <w:rPr>
          <w:b/>
          <w:bCs/>
          <w:i/>
          <w:iCs/>
        </w:rPr>
      </w:pPr>
      <w:r w:rsidRPr="00B0603E">
        <w:rPr>
          <w:b/>
          <w:i/>
        </w:rPr>
        <w:t>Európske bezpečnostné prostredie</w:t>
      </w:r>
    </w:p>
    <w:p w14:paraId="4F194D10" w14:textId="77777777" w:rsidR="001B2E01" w:rsidRPr="00B0603E" w:rsidRDefault="001B2E01" w:rsidP="001B2E01">
      <w:pPr>
        <w:pStyle w:val="NormalHanging12a"/>
      </w:pPr>
      <w:r w:rsidRPr="00B0603E">
        <w:t>1.</w:t>
      </w:r>
      <w:r w:rsidRPr="00B0603E">
        <w:tab/>
        <w:t>zdôrazňuje, že partnerstvá v oblasti bezpečnosti a obrany sú pre Európu kľúčové, aby mohla účinne reagovať na vznikajúce hrozby a podporiť ambíciu EÚ posilniť svoju úlohu globálneho strategického aktéra; zdôrazňuje, že takéto partnerstvá, ktoré sú vzájomne prospešné a majú jasné strategické zameranie a ciele, sú nevyhnutné na to, aby sa EÚ stala suverénnejšou, zodpovednejšou za vlastnú obranu a lepšie vybavenou s cieľom samostatne a koordinovane konať a riešiť bezprostredné a budúce výzvy a hrozby uplatnením 360-stupňového prístupu; konštatuje, že tieto partnerstvá sú pre EÚ nevyhnutnosťou, nie možnosťou; zdôrazňuje, že by mali posilniť strategickú autonómiu EÚ pri zachovaní pevného záväzku k mnohostrannej spolupráci, ako aj plnej komplementárnosti s NATO a posilniť schopnosť EÚ konať spoločne s podobne zmýšľajúcimi partnermi v záujme mieru, stability a kolektívnej bezpečnosti;</w:t>
      </w:r>
    </w:p>
    <w:p w14:paraId="18AE46D1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2.</w:t>
      </w:r>
      <w:r w:rsidRPr="00B0603E">
        <w:rPr>
          <w:b/>
          <w:i/>
        </w:rPr>
        <w:tab/>
      </w:r>
      <w:r w:rsidRPr="00B0603E">
        <w:t xml:space="preserve">konštatuje, že EÚ v súčasnosti zažíva najkritickejšiu bezpečnostnú situáciu od druhej svetovej vojny a čelí veľkým výzvam, ako je posilnenie vojenských spôsobilostí a infraštruktúry kybernetickej bezpečnosti, boj proti hybridným hrozbám, boj proti terorizmu a ochrana kritickej infraštruktúry; zdôrazňuje, že </w:t>
      </w:r>
      <w:proofErr w:type="spellStart"/>
      <w:r w:rsidRPr="00B0603E">
        <w:t>neoimperiálne</w:t>
      </w:r>
      <w:proofErr w:type="spellEnd"/>
      <w:r w:rsidRPr="00B0603E">
        <w:t xml:space="preserve"> ambície a revizionistický postoj Ruska predstavujú najvýznamnejšiu hrozbu pre bezpečnosť EÚ, a upozorňuje na naliehavosť posilnenia obranných a odstrašujúcich spôsobilostí EÚ; v tejto súvislosti pripomína rastúce bezpečnostné dôsledky zmeny klímy a zhoršovania životného prostredia pre kritickú infraštruktúru, energetické systémy a pripravenosť na krízy;</w:t>
      </w:r>
    </w:p>
    <w:p w14:paraId="70DF77E5" w14:textId="77777777" w:rsidR="001B2E01" w:rsidRPr="00B0603E" w:rsidRDefault="001B2E01" w:rsidP="001B2E01">
      <w:pPr>
        <w:pStyle w:val="NormalHanging12a"/>
      </w:pPr>
      <w:r w:rsidRPr="00B0603E">
        <w:t>3.</w:t>
      </w:r>
      <w:r w:rsidRPr="00B0603E">
        <w:tab/>
        <w:t xml:space="preserve">zdôrazňuje, že útočná vojna Ruska proti Ukrajine je varovným signálom pre Európu, aby si stanovila bezpečnosť a obranu za priority a viac do nich investovala; zdôrazňuje, že Rusko pokračuje vo svojej agresii na európskom kontinente aj s podporou svojich zástupných aktérov, ako sú režimy v Iráne, Severnej Kórei a Bielorusku; berie na vedomie škodlivé činnosti našich strategických konkurentov a prebiehajúcu hybridnú vojnu, ktorú vedú rôzni štátni a neštátni aktéri, čo predstavuje hrozbu pre európsku bezpečnosť a medzinárodný poriadok založený na pravidlách; zdôrazňuje osobitné bezpečnostné obavy členských štátov EÚ na jej východnom krídle, ktoré čelia priamym hrozbám ruskej agresie a hybridnej vojny; zdôrazňuje, že pokračujúcu hospodársku spoluprácu medzi EÚ a Čínou treba vzhľadom na podporu vojnového hospodárstva Ruska zo strany Číny prehodnotiť, okrem iného s cieľom posilniť hospodársku odolnosť EÚ znižovaním rizika; zdôrazňuje, že EÚ musí zvládať strategickú konkurenciu z Číny, </w:t>
      </w:r>
      <w:r w:rsidRPr="00B0603E">
        <w:lastRenderedPageBreak/>
        <w:t>ktorá je kľúčovým aktérom umožňujúcim a podporujúcim ruskú útočnú vojnu, a účinky presahovania konfliktov na Blízkom východe a v Afrike a zároveň riešiť spoločné globálne hrozby a výzvy;</w:t>
      </w:r>
    </w:p>
    <w:p w14:paraId="48078055" w14:textId="77777777" w:rsidR="001B2E01" w:rsidRPr="00B0603E" w:rsidRDefault="001B2E01" w:rsidP="001B2E01">
      <w:pPr>
        <w:pStyle w:val="NormalHanging12a"/>
      </w:pPr>
      <w:r w:rsidRPr="00B0603E">
        <w:t>4.</w:t>
      </w:r>
      <w:r w:rsidRPr="00B0603E">
        <w:tab/>
        <w:t xml:space="preserve">zdôrazňuje, že prostredníctvom Strategického kompasu EÚ sa EÚ zaväzuje spolupracovať so svojimi partnermi súdržnejšie, konzistentnejšie a komplexnejšie, a tak budovať vzájomne prospešné individuálne prispôsobené partnerstvá založené na spoločných hodnotách a záujmoch; zdôrazňuje význam </w:t>
      </w:r>
      <w:proofErr w:type="spellStart"/>
      <w:r w:rsidRPr="00B0603E">
        <w:t>interoperability</w:t>
      </w:r>
      <w:proofErr w:type="spellEnd"/>
      <w:r w:rsidRPr="00B0603E">
        <w:t>, spoločnej odbornej prípravy a inovácií v obrannom priemysle v rámci týchto partnerstiev, najmä prostredníctvom iniciatív, ako je Program pre európsky obranný priemysel a SAFE;</w:t>
      </w:r>
    </w:p>
    <w:p w14:paraId="62D30555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5.</w:t>
      </w:r>
      <w:r w:rsidRPr="00B0603E">
        <w:tab/>
        <w:t xml:space="preserve">zdôrazňuje skutočnosť, že EÚ a jej členské štáty sú naďalej pevne odhodlané dodržiavať medzinárodný poriadok založený na pravidlách, ktorý je postavený na rešpektovaní medzinárodného práva, zásad Charty OSN a hodnôt demokracie, ľudských práv a právneho štátu, ako je zakotvené v Zmluve o EÚ; zdôrazňuje, že tento záväzok tvorí základ vonkajšej činnosti EÚ a jej úsilia o podporu mieru, stability, </w:t>
      </w:r>
      <w:proofErr w:type="spellStart"/>
      <w:r w:rsidRPr="00B0603E">
        <w:t>multilateralizmu</w:t>
      </w:r>
      <w:proofErr w:type="spellEnd"/>
      <w:r w:rsidRPr="00B0603E">
        <w:t xml:space="preserve"> a prosperity na celom svete; zdôrazňuje, že partnerstvá v oblasti bezpečnosti a obrany by mali zahŕňať predchádzanie konfliktom, klimatickú bezpečnosť a udržateľnosť ako prierezové priority;</w:t>
      </w:r>
    </w:p>
    <w:p w14:paraId="54808085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6.</w:t>
      </w:r>
      <w:r w:rsidRPr="00B0603E">
        <w:tab/>
        <w:t>očakáva pravidelnú aktualizáciu Strategického kompasu s cieľom zabezpečiť, aby strategická vízia a spoločné ciele EÚ boli vždy v súlade s aktuálnym geopolitickým, sociálnym a technologickým vývojom; vyzýva Komisiu a Európsku službu pre vonkajšiu činnosť (ESVČ), aby začlenili plánovanie odolnosti do bezpečnostných iniciatív, ktoré sa týkajú kritickej infraštruktúry, dodávateľských reťazcov a energetickej nezávislosti;</w:t>
      </w:r>
    </w:p>
    <w:p w14:paraId="60CF44B5" w14:textId="77777777" w:rsidR="001B2E01" w:rsidRPr="00B0603E" w:rsidRDefault="001B2E01" w:rsidP="001B2E01">
      <w:pPr>
        <w:pStyle w:val="NormalHanging12a"/>
        <w:rPr>
          <w:b/>
          <w:bCs/>
          <w:i/>
          <w:iCs/>
        </w:rPr>
      </w:pPr>
      <w:r w:rsidRPr="00B0603E">
        <w:rPr>
          <w:b/>
          <w:i/>
        </w:rPr>
        <w:t>Rozhodujúci význam strategického partnerstva medzi EÚ a NATO</w:t>
      </w:r>
    </w:p>
    <w:p w14:paraId="0A8BBE28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7.</w:t>
      </w:r>
      <w:r w:rsidRPr="00B0603E">
        <w:tab/>
        <w:t>vyzdvihuje posilnené strategické partnerstvo s NATO, ktoré zahŕňa štruktúrované dialógy a posilnenú operačnú a odvetvovú spoluprácu, najmä v oblastiach, ako je vojenská mobilita, námorná bezpečnosť, obranný priemysel a rozvoj spôsobilostí, ktorá sa uskutočňuje najmä prostredníctvom spoločných cvičení a spolupráce medzi štábmi, čím sa posilňuje európsky pilier NATO; zdôrazňuje, že táto spolupráca musí byť naďalej vzájomne posilňujúca a musí byť založená na dôvere, transparentnosti a rešpektovaní autonómie rozhodovania oboch organizácií; zdôrazňuje, že demokratická zodpovednosť a parlamentný dohľad sú nevyhnutné na zabezpečenie toho, aby takáto spolupráca posilnila európsku a transatlantickú bezpečnosť; poukazuje na to, že 23 z 27 členských štátov EÚ je členom NATO, a domnieva sa, že spolupráca s európskymi členmi NATO, ktorí nie sú členmi EÚ, by sa mala opätovne potvrdiť prostredníctvom preskúmania možností posilnenia týchto partnerstiev;</w:t>
      </w:r>
    </w:p>
    <w:p w14:paraId="2E0AB550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8.</w:t>
      </w:r>
      <w:r w:rsidRPr="00B0603E">
        <w:rPr>
          <w:b/>
          <w:i/>
        </w:rPr>
        <w:tab/>
      </w:r>
      <w:r w:rsidRPr="00B0603E">
        <w:t xml:space="preserve">zdôrazňuje, že NATO je najúspešnejším vojenským a politickým spojenectvom v moderných dejinách a zabezpečuje kolektívnu obranu, stabilitu a bezpečnosť svojich členov už viac ako sedem desaťročí; kladie dôraz na to, že EÚ a NATO spolu zastupujú viac ako miliardu občanov a zahŕňajú niektoré z najväčších svetových hospodárstiev, čím vytvárajú spoločenstvo, ktoré spájajú spoločné demokratické hodnoty a bezpečnostné záujmy; zdôrazňuje význam </w:t>
      </w:r>
      <w:proofErr w:type="spellStart"/>
      <w:r w:rsidRPr="00B0603E">
        <w:t>inštitucionalizácie</w:t>
      </w:r>
      <w:proofErr w:type="spellEnd"/>
      <w:r w:rsidRPr="00B0603E">
        <w:t xml:space="preserve"> tohto dialógu prostredníctvom pravidelných ministerských konzultácií medzi EÚ a NATO, spoločného strategického predvídania a koordinovaného plánovania reakcie na krízy, čím sa zabezpečí, aby politická koordinácia držala krok s operačnou spoluprácou;</w:t>
      </w:r>
    </w:p>
    <w:p w14:paraId="6BDA7B0D" w14:textId="77777777" w:rsidR="001B2E01" w:rsidRPr="00B0603E" w:rsidRDefault="001B2E01" w:rsidP="001B2E01">
      <w:pPr>
        <w:pStyle w:val="NormalHanging12a"/>
      </w:pPr>
      <w:r w:rsidRPr="00B0603E">
        <w:lastRenderedPageBreak/>
        <w:t>9.</w:t>
      </w:r>
      <w:r w:rsidRPr="00B0603E">
        <w:tab/>
        <w:t>podčiarkuje, že vzťahy EÚ s NATO sú prioritou a musia sa ďalej rozvíjať, najmä prostredníctvom intenzívnejšej výmeny informácií a spravodajských informácií; zdôrazňuje, že spolupráca medzi EÚ a NATO je kľúčová pre odstrašovanie, ochranu kritickej infraštruktúry, vojenskú mobilitu, energetické siete, digitálnu komunikáciu, kybernetické, vesmírne a obranné ekosystémy a odolnosť spoločnosti a demokracie; požaduje úplné vykonávanie spoločných vyhlásení EÚ a NATO; okrem toho vyzýva členské štáty, ktoré sú zároveň členmi NATO, aby posilnili svoj záväzok voči NATO;</w:t>
      </w:r>
    </w:p>
    <w:p w14:paraId="37AF9C62" w14:textId="77777777" w:rsidR="001B2E01" w:rsidRPr="00B0603E" w:rsidRDefault="001B2E01" w:rsidP="001B2E01">
      <w:pPr>
        <w:pStyle w:val="NormalHanging12a"/>
      </w:pPr>
      <w:r w:rsidRPr="00B0603E">
        <w:t>10.</w:t>
      </w:r>
      <w:r w:rsidRPr="00B0603E">
        <w:tab/>
        <w:t>zdôrazňuje, že NATO zostáva kľúčovou kolektívnou transatlantickou obrannou alianciou, pričom EÚ a NATO sa dopĺňajú, konajú súdržne a vzájomne sa posilňujú pri zaisťovaní bezpečnosti v Európe a posilňovaní medzinárodnej bezpečnosti, a nabáda na úzku spoluprácu a vzájomne prospešné partnerstvo so Spojenými štátmi americkými v tejto oblasti; kladie dôraz na to, že silnejšia a schopnejšia EÚ v oblasti bezpečnosti a obrany pozitívne prispeje ku globálnej aj transatlantickej bezpečnosti; zdôrazňuje potrebu silného obranného piliera EÚ v rámci NATO, ktorý by bol schopný konať autonómne a zároveň dopĺňať NATO, čím by sa posilnilo transatlantické partnerstvo a poskytli potrebné bezpečnostné záruky pre EÚ, jej členské štáty a medzinárodný poriadok založený na pravidlách; zároveň poukazuje na to, že európska obrana musí stáť na vlastných nohách a mať dostatočne silnú odstrašujúcu schopnosť; varuje pred rizikami, ktoré predstavuje zmena zamerania zahraničnej politiky USA, čo by sa mohlo premietnuť do zníženia bezpečnostných záväzkov USA voči Európe; zdôrazňuje preto, že je potrebné, aby EÚ rozvíjala svoje vlastné plánovacie a operačné kapacity;</w:t>
      </w:r>
    </w:p>
    <w:p w14:paraId="670F1C6A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11.</w:t>
      </w:r>
      <w:r w:rsidRPr="00B0603E">
        <w:tab/>
        <w:t xml:space="preserve">zdôrazňuje, že posilnenie bezpečnosti závisí od schopnosti členských štátov vybaviť sa </w:t>
      </w:r>
      <w:proofErr w:type="spellStart"/>
      <w:r w:rsidRPr="00B0603E">
        <w:t>interoperabilnými</w:t>
      </w:r>
      <w:proofErr w:type="spellEnd"/>
      <w:r w:rsidRPr="00B0603E">
        <w:t xml:space="preserve"> vojenskými nástrojmi vyvinutými spoločne prostredníctvom európskeho obranného priemyslu, aby sa zabezpečila rýchla a účinná reakcia na akékoľvek ohrozenie územnej celistvosti a suverenity členských štátov EÚ; v tejto súvislosti zdôrazňuje, že vojenské spôsobilosti sa musia identifikovať v súčinnosti s procesom obranného plánovania NATO (NDPP) a v súlade so zásadou jednotného súboru síl; konštatuje, že EÚ zohráva významnú úlohu v regulačnej oblasti a pri investíciách zameraných na podporu priemyselnej konkurencieschopnosti, technologického rozvoja a európskej obrannej logistiky; zdôrazňuje, že normalizácia zostáva kľúčovým pilierom spolupráce medzi EÚ a NATO, aby sa zaručila </w:t>
      </w:r>
      <w:proofErr w:type="spellStart"/>
      <w:r w:rsidRPr="00B0603E">
        <w:t>interoperabilita</w:t>
      </w:r>
      <w:proofErr w:type="spellEnd"/>
      <w:r w:rsidRPr="00B0603E">
        <w:t xml:space="preserve">, komplementárnosť úsilia a efektívne využívanie zdrojov a zároveň sa zabránilo zbytočnej duplicite; vyzýva Komisiu a členské štáty, aby zjednodušili a harmonizovali pravidlá týkajúce sa výroby, certifikácie, transferu, vojenskej mobility a údržby obranného vybavenia a systémov s cieľom vybudovať konkurencieschopný, odolný a integrovaný európsky priemyselný dodávateľský reťazec, ktorý bude schopný zabezpečiť vyššiu operačnú pripravenosť a plnú a účinnú </w:t>
      </w:r>
      <w:proofErr w:type="spellStart"/>
      <w:r w:rsidRPr="00B0603E">
        <w:t>interoperabilitu</w:t>
      </w:r>
      <w:proofErr w:type="spellEnd"/>
      <w:r w:rsidRPr="00B0603E">
        <w:t xml:space="preserve"> medzi EÚ a NATO;</w:t>
      </w:r>
    </w:p>
    <w:p w14:paraId="49C1ECEB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12.</w:t>
      </w:r>
      <w:r w:rsidRPr="00B0603E">
        <w:tab/>
        <w:t>vyzdvihuje úlohu NATO ako globálneho aktéra a spoľahlivého partnera v úsilí o nešírenie zbraní hromadného ničenia, ako sú jadrové, chemické, biologické a rádiologické zbrane, a v boji proti globálnemu terorizmu;</w:t>
      </w:r>
    </w:p>
    <w:p w14:paraId="2FAAC81E" w14:textId="77777777" w:rsidR="001B2E01" w:rsidRPr="00B0603E" w:rsidRDefault="001B2E01" w:rsidP="001B2E01">
      <w:pPr>
        <w:pStyle w:val="NormalHanging12a"/>
        <w:rPr>
          <w:b/>
          <w:bCs/>
          <w:i/>
          <w:iCs/>
        </w:rPr>
      </w:pPr>
      <w:r w:rsidRPr="00B0603E">
        <w:rPr>
          <w:b/>
          <w:i/>
        </w:rPr>
        <w:t>Potreba partnerstiev EÚ v oblasti bezpečnosti a obrany</w:t>
      </w:r>
    </w:p>
    <w:p w14:paraId="45CBEB15" w14:textId="77777777" w:rsidR="001B2E01" w:rsidRPr="00B0603E" w:rsidRDefault="001B2E01" w:rsidP="001B2E01">
      <w:pPr>
        <w:pStyle w:val="NormalHanging12a"/>
      </w:pPr>
      <w:r w:rsidRPr="00B0603E">
        <w:t>13.</w:t>
      </w:r>
      <w:r w:rsidRPr="00B0603E">
        <w:tab/>
        <w:t xml:space="preserve">víta skutočnosť, že EÚ sa stáva spoľahlivým globálnym bezpečnostným partnerom posilnením svojej SBOP, a to aj prostredníctvom vzájomne prospešných partnerstiev v oblasti bezpečnosti a obrany a hlbších dvojstranných a viacstranných dialógov; konštatuje, že partnerstvá v oblasti bezpečnosti a obrany sú zatiaľ uzavreté s ôsmimi </w:t>
      </w:r>
      <w:r w:rsidRPr="00B0603E">
        <w:lastRenderedPageBreak/>
        <w:t>krajinami a ďalšie sa pripravujú, a to aj s Islandom; požaduje, aby tieto partnerstvá zahŕňali štruktúrovanú priemyselnú spoluprácu zameranú na zvyšovanie výrobných kapacít v EÚ pre hlavné obranné výrobné prostriedky v rámci posilňovania európskej obrannej technologickej a priemyselnej základne (EDTIB);</w:t>
      </w:r>
    </w:p>
    <w:p w14:paraId="3B0669B5" w14:textId="06233E65" w:rsidR="001B2E01" w:rsidRPr="00B0603E" w:rsidRDefault="001B2E01" w:rsidP="001B2E01">
      <w:pPr>
        <w:pStyle w:val="NormalHanging12a"/>
      </w:pPr>
      <w:r w:rsidRPr="00B0603E">
        <w:t>14.</w:t>
      </w:r>
      <w:r w:rsidRPr="00B0603E">
        <w:tab/>
        <w:t xml:space="preserve">domnieva sa, že rámec partnerstiev v oblasti bezpečnosti a obrany poskytuje nový impulz pre prebiehajúce dialógy a praktickú spoluprácu v oblasti bezpečnosti a obrany; zdôrazňuje, že je dôležité mať hmatateľné výsledky a míľniky s dohodnutými termínmi; kladie dôraz na potrebu monitorovania výsledkov, dvojstranných preskúmaní a dialógu o vnímaní </w:t>
      </w:r>
      <w:proofErr w:type="spellStart"/>
      <w:r w:rsidRPr="00B0603E">
        <w:t>multidoménových</w:t>
      </w:r>
      <w:proofErr w:type="spellEnd"/>
      <w:r w:rsidRPr="00B0603E">
        <w:t xml:space="preserve"> hrozieb a spoločných záujmoch, ktoré sú kľúčové pre vykonávanie týchto partnerstiev; zdôrazňuje, že je dôležité zabezpečiť prostredníctvom partnerstiev v oblasti bezpečnosti a obrany spoľahlivé dodávky kritických surovín, ktoré majú zásadný význam pre európsku obranu; vyzýva podpredsedníčku Komisie/vysokú predstaviteľku Únie pre zahraničné veci a bezpečnostnú politiku (PK/VP), aby </w:t>
      </w:r>
      <w:r w:rsidR="00A87B56" w:rsidRPr="00B0603E">
        <w:t>Európskemu p</w:t>
      </w:r>
      <w:r w:rsidRPr="00B0603E">
        <w:t>arlamentu predkladala pravidelné hodnotenie stavu vykonávania partnerstiev v oblasti bezpečnosti a obrany;</w:t>
      </w:r>
    </w:p>
    <w:p w14:paraId="00121FDF" w14:textId="77777777" w:rsidR="001B2E01" w:rsidRPr="00B0603E" w:rsidRDefault="001B2E01" w:rsidP="001B2E01">
      <w:pPr>
        <w:pStyle w:val="NormalHanging12a"/>
      </w:pPr>
      <w:r w:rsidRPr="00B0603E">
        <w:t>15.</w:t>
      </w:r>
      <w:r w:rsidRPr="00B0603E">
        <w:tab/>
        <w:t xml:space="preserve">zdôrazňuje, že partnerstvá v oblasti bezpečnosti a obrany zahŕňajú spoluprácu s misiami SBOP, pretože ich cieľom je vytvoriť synergie, zvýšiť </w:t>
      </w:r>
      <w:proofErr w:type="spellStart"/>
      <w:r w:rsidRPr="00B0603E">
        <w:t>interoperabilitu</w:t>
      </w:r>
      <w:proofErr w:type="spellEnd"/>
      <w:r w:rsidRPr="00B0603E">
        <w:t xml:space="preserve"> a koordináciu a posilniť celkové bezpečnostné a obranné spôsobilosti EÚ;</w:t>
      </w:r>
    </w:p>
    <w:p w14:paraId="525D5CB1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16.</w:t>
      </w:r>
      <w:r w:rsidRPr="00B0603E">
        <w:tab/>
        <w:t xml:space="preserve">poukazuje na strategický význam a potrebu </w:t>
      </w:r>
      <w:proofErr w:type="spellStart"/>
      <w:r w:rsidRPr="00B0603E">
        <w:t>priorizácie</w:t>
      </w:r>
      <w:proofErr w:type="spellEnd"/>
      <w:r w:rsidRPr="00B0603E">
        <w:t xml:space="preserve"> partnerstiev v oblasti bezpečnosti a obrany podpísaných s Nórskom, so Spojeným kráľovstvom a s Kanadou, ktoré sú spojencami NATO a kľúčovými partnermi EÚ v oblasti obrany; nabáda na prehĺbenie týchto partnerstiev, a to aj v oblasti obranného priemyslu, kybernetických a hybridných hrozieb a námornej bezpečnosti a pri budovaní spoločných vojenských spôsobilostí a podpore užšej spolupráce; zdôrazňuje, že priemyselná spolupráca by mala uprednostňovať projekty </w:t>
      </w:r>
      <w:proofErr w:type="spellStart"/>
      <w:r w:rsidRPr="00B0603E">
        <w:t>prispievajúce</w:t>
      </w:r>
      <w:proofErr w:type="spellEnd"/>
      <w:r w:rsidRPr="00B0603E">
        <w:t xml:space="preserve"> k strategickej autonómii a odolnosti, pričom by sa malo zabezpečiť vyvážené geografické rozloženie investícií medzi členskými štátmi s osobitným dôrazom na východné krídlo; nabáda EÚ, aby podpísala podobné dohody aj s podobne zmýšľajúcimi partnermi vrátane tých, ktorí nie sú členmi NATO;</w:t>
      </w:r>
    </w:p>
    <w:p w14:paraId="62B9D25C" w14:textId="77777777" w:rsidR="001B2E01" w:rsidRPr="00B0603E" w:rsidRDefault="001B2E01" w:rsidP="001B2E01">
      <w:pPr>
        <w:pStyle w:val="NormalHanging12a"/>
      </w:pPr>
      <w:r w:rsidRPr="00B0603E">
        <w:t>17.</w:t>
      </w:r>
      <w:r w:rsidRPr="00B0603E">
        <w:tab/>
        <w:t>zdôrazňuje, že vzťahy medzi EÚ a USA zostávajú aj naďalej základným kameňom európskej bezpečnosti a obrany; zdôrazňuje, že je dôležité preskúmať možnosť formalizovaného partnerstva v oblasti bezpečnosti a obrany so Spojenými štátmi, ktoré by bolo v súlade so záujmami a hodnotami EÚ a podporovalo by medzinárodný poriadok založený na pravidlách; poukazuje na potrebu neustáleho dialógu a spolupráce, čo sa týka vnímania hrozieb; opakuje, že naše partnerstvo so Spojenými štátmi má strategický význam, a vyzýva na prehĺbenie našej spolupráce vzájomne prospešným spôsobom a preskúmanie možností optimálnej spolupráce medzi obrannými odvetviami;</w:t>
      </w:r>
    </w:p>
    <w:p w14:paraId="0DC7F5A8" w14:textId="77777777" w:rsidR="001B2E01" w:rsidRPr="00B0603E" w:rsidRDefault="001B2E01" w:rsidP="001B2E01">
      <w:pPr>
        <w:pStyle w:val="NormalHanging12a"/>
      </w:pPr>
      <w:r w:rsidRPr="00B0603E">
        <w:t>18.</w:t>
      </w:r>
      <w:r w:rsidRPr="00B0603E">
        <w:tab/>
        <w:t xml:space="preserve">zdôrazňuje, že bez ukrajinskej bezpečnosti nemôže existovať žiadna európska bezpečnosť; zdôrazňuje, že je dôležité preskúmať možnosť formalizovaného partnerstva v oblasti bezpečnosti a obrany s Ukrajinou; potvrdzuje, že Ukrajina je strategickým prioritným partnerom EÚ, pretože sa pripravuje zaujať svoje miesto člena Únie; opakuje, že EÚ bude poskytovať nepretržitú a udržateľnú podporu vo všetkom, čo je potrebné na zabezpečenie čo najskoršieho víťazstva Ukrajiny; trvá na tom, že EÚ musí prispieť k vybudovaniu silných, právne podložených bezpečnostných záruk pre Ukrajinu, ktoré by odrádzali od budúcej ruskej agresie; zdôrazňuje, že prioritou je užšia spolupráca medzi EÚ a ukrajinským obranným priemyslom vrátane zosúladenia s </w:t>
      </w:r>
      <w:r w:rsidRPr="00B0603E">
        <w:lastRenderedPageBreak/>
        <w:t xml:space="preserve">európskymi normami a transparentnosti; kladie dôraz na význam partnerstiev EÚ a deväťbodových spoločných bezpečnostných záväzkov medzi EÚ a Ukrajinou pri koordinácii pomoci Ukrajine; opakuje svoju výzvu na urýchlené použitie zmrazených ruských aktív na podporu Ukrajiny v súlade s medzinárodným právom; zdôrazňuje, že je dôležité systematicky čerpať z operačných skúseností Ukrajiny, najmä v oblasti </w:t>
      </w:r>
      <w:proofErr w:type="spellStart"/>
      <w:r w:rsidRPr="00B0603E">
        <w:t>dronov</w:t>
      </w:r>
      <w:proofErr w:type="spellEnd"/>
      <w:r w:rsidRPr="00B0603E">
        <w:t>/bezpilotných lietajúcich systémov a elektronického boja;</w:t>
      </w:r>
    </w:p>
    <w:p w14:paraId="4B27E687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19.</w:t>
      </w:r>
      <w:r w:rsidRPr="00B0603E">
        <w:tab/>
        <w:t xml:space="preserve">vyzýva členské štáty, aby aktívne spolupracovali s Ukrajinou a vytvorili s ňou synergie, najmä v oblasti protivzdušnej a protiraketovej obrany a boja s použitím </w:t>
      </w:r>
      <w:proofErr w:type="spellStart"/>
      <w:r w:rsidRPr="00B0603E">
        <w:t>dronov</w:t>
      </w:r>
      <w:proofErr w:type="spellEnd"/>
      <w:r w:rsidRPr="00B0603E">
        <w:t>, ako aj proti nim, a uznali jej prelomové operačné odborné znalosti a pokročilé spôsobilosti, čím posilnia obranné spôsobilosti EÚ aj Ukrajiny;</w:t>
      </w:r>
    </w:p>
    <w:p w14:paraId="54C3A13C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20.</w:t>
      </w:r>
      <w:r w:rsidRPr="00B0603E">
        <w:tab/>
        <w:t>oceňuje skutočnosť, že 21. mája 2024 bolo uzavreté partnerstvo v oblasti bezpečnosti a obrany medzi EÚ a Moldavskom so zameraním na boj proti hybridným hrozbám;</w:t>
      </w:r>
    </w:p>
    <w:p w14:paraId="700D4C9E" w14:textId="5DDE0A08" w:rsidR="001B2E01" w:rsidRPr="00B0603E" w:rsidRDefault="001B2E01" w:rsidP="001B2E01">
      <w:pPr>
        <w:pStyle w:val="NormalHanging12a"/>
        <w:rPr>
          <w:bCs/>
          <w:iCs/>
        </w:rPr>
      </w:pPr>
      <w:r w:rsidRPr="00B0603E">
        <w:t>21.</w:t>
      </w:r>
      <w:r w:rsidRPr="00B0603E">
        <w:tab/>
        <w:t>zdôrazňuje strategický význam partnerstiev EÚ s krajinami v indicko-tichomorskom regióne, ako sú Japonsko</w:t>
      </w:r>
      <w:r w:rsidR="00034FC4" w:rsidRPr="00B0603E">
        <w:t>,</w:t>
      </w:r>
      <w:r w:rsidRPr="00B0603E">
        <w:t xml:space="preserve"> Kórejská republika</w:t>
      </w:r>
      <w:r w:rsidR="00F65050" w:rsidRPr="00B0603E">
        <w:t xml:space="preserve"> a India</w:t>
      </w:r>
      <w:r w:rsidRPr="00B0603E">
        <w:t>, ktoré už podpísali partnerstvá v oblasti bezpečnosti a obrany, a nabáda na rýchle ukončenie rokovaní s Austráliou a na preskúmanie ďalších partnerstiev s inými krajinami v tomto regióne, najmä s Novým Zélandom; zdôrazňuje, že euroatlantické a indicko-tichomorské bezpečnostné výzvy sú úzko prepojené; zdôrazňuje potrebu prehĺbiť spoluprácu v oblasti bezpečnosti a obrany s Taiwanom;</w:t>
      </w:r>
    </w:p>
    <w:p w14:paraId="494130B9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22.</w:t>
      </w:r>
      <w:r w:rsidRPr="00B0603E">
        <w:tab/>
        <w:t>kladie dôraz na potrebu preskúmať posilnenú spoluprácu na rôznych úrovniach a v rôznych formátoch v oblasti energetickej bezpečnosti, prepojenosti a ochrany kritickej infraštruktúry s krajinami Kaukazu a Strednej Ázie; poukazuje na strategický význam týchto regiónov pre diverzifikáciu dodávok energie, rozvoj bezpečných dopravných koridorov a posilnenie celkovej odolnosti Európy;</w:t>
      </w:r>
    </w:p>
    <w:p w14:paraId="64F715A0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23.</w:t>
      </w:r>
      <w:r w:rsidRPr="00B0603E">
        <w:tab/>
        <w:t>zdôrazňuje strategický význam čiernomorského regiónu pre európsku bezpečnosť; vyzýva na posilnenie bezpečnostnej a obrannej spolupráce s podobne zmýšľajúcimi partnermi v čiernomorskom regióne a na vypracovanie komplexnej bezpečnostnej stratégie EÚ pre čiernomorský región; podporuje zvýšené investície EÚ do námorných spôsobilostí v Čiernom mori, pobrežnej obrany a informovanosti o námornej oblasti;</w:t>
      </w:r>
    </w:p>
    <w:p w14:paraId="760594F5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24.</w:t>
      </w:r>
      <w:r w:rsidRPr="00B0603E">
        <w:tab/>
        <w:t>vyzýva členské štáty a ESVČ, aby preskúmali možnosť vytvorenia ďalších partnerstiev v oblasti bezpečnosti a obrany na základe jasných, vzájomne prospešných záväzkov s inými podobne zmýšľajúcimi partnermi, ktorí zdieľajú naše hodnoty a sú odhodlaní podporovať medzinárodný poriadok založený na pravidlách;</w:t>
      </w:r>
    </w:p>
    <w:p w14:paraId="4F30622E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25.</w:t>
      </w:r>
      <w:r w:rsidRPr="00B0603E">
        <w:tab/>
        <w:t xml:space="preserve">zdôrazňuje význam nadviazania štruktúrovaných partnerstiev v oblasti bezpečnosti a obrany s krajinami západného Balkánu, najmä s Bosnou a Hercegovinou, s cieľom podporiť regionálnu stabilitu, čeliť hybridným hrozbám a posilniť európsku bezpečnostnú štruktúru v bezprostrednom susedstve EÚ; zdôrazňuje, že takéto partnerstvá by mali vychádzať z existujúcej angažovanosti SBOP v regióne vrátane operácie EUFOR </w:t>
      </w:r>
      <w:proofErr w:type="spellStart"/>
      <w:r w:rsidRPr="00B0603E">
        <w:t>Althea</w:t>
      </w:r>
      <w:proofErr w:type="spellEnd"/>
      <w:r w:rsidRPr="00B0603E">
        <w:t xml:space="preserve">, politických a bezpečnostných dialógov a spoločnej účasti na misiách EÚ, pričom by mali poskytovať strategickejší a </w:t>
      </w:r>
      <w:proofErr w:type="spellStart"/>
      <w:r w:rsidRPr="00B0603E">
        <w:t>dlhodobejší</w:t>
      </w:r>
      <w:proofErr w:type="spellEnd"/>
      <w:r w:rsidRPr="00B0603E">
        <w:t xml:space="preserve"> rámec pre spoluprácu v oblastiach, ako je kybernetická odolnosť, boj proti dezinformáciám a budovanie obranných kapacít;</w:t>
      </w:r>
    </w:p>
    <w:p w14:paraId="0E335D33" w14:textId="77777777" w:rsidR="001B2E01" w:rsidRPr="00B0603E" w:rsidRDefault="001B2E01" w:rsidP="001B2E01">
      <w:pPr>
        <w:pStyle w:val="NormalHanging12a"/>
        <w:rPr>
          <w:b/>
          <w:i/>
        </w:rPr>
      </w:pPr>
      <w:r w:rsidRPr="00B0603E">
        <w:rPr>
          <w:b/>
          <w:i/>
        </w:rPr>
        <w:t>Rozvoj partnerstva s OSN a ďalších multilaterálnych partnerstiev</w:t>
      </w:r>
    </w:p>
    <w:p w14:paraId="638B22E0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lastRenderedPageBreak/>
        <w:t>26.</w:t>
      </w:r>
      <w:r w:rsidRPr="00B0603E">
        <w:tab/>
        <w:t>zdôrazňuje význam strategického partnerstva EÚ a OSN v oblasti mierových operácií a krízového riadenia; víta nové priority strategického partnerstva EÚ a OSN na roky 2025 – 2028 a zdôrazňuje potrebu väčšej súdržnosti a účinnosti misií a operácií EÚ a OSN, a to aj prostredníctvom spoločného plánovania a procesov získavania skúseností; požaduje úplné vykonávanie a systematické začleňovanie agendy žien, mieru a bezpečnosti v súlade s rezolúciou Bezpečnostnej rady OSN č. 1325, najmä pokiaľ ide o ochranu civilistov, plnú, rovnocennú a zmysluplnú účasť žien na mierových procesoch a predchádzanie sexuálnemu násiliu súvisiacemu s konfliktmi; vyzýva na reformu fungovania OSN, aby sa zabezpečila účinnosť misií a operácií a ich želaný účinok;</w:t>
      </w:r>
    </w:p>
    <w:p w14:paraId="6BC5D1CD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27.</w:t>
      </w:r>
      <w:r w:rsidRPr="00B0603E">
        <w:tab/>
        <w:t>konštatuje, že EÚ a Africká únia udržiavajú strategické partnerstvo, najmä v oblasti mieru a bezpečnosti; zdôrazňuje potrebu prehĺbiť strategické partnerstvá s inými regionálnymi organizáciami vrátane Organizácie pre bezpečnosť a spoluprácu v Európe, Združenia národov juhovýchodnej Ázie, Ligy arabských štátov, Rady pre spoluprácu v Perzskom zálive a Organizácie amerických štátov v oblastiach spoločného záujmu prostredníctvom spoločných iniciatív, dialógu a zvýšenej diplomatickej činnosti; zdôrazňuje význam spolupráce s latinskoamerickými partnermi pri riešení medzinárodnej organizovanej trestnej činnosti, nadnárodného nezákonného obchodovania, hybridných hrozieb a námornej bezpečnosti a pri podpore demokratickej odolnosti a regionálnej stability;</w:t>
      </w:r>
    </w:p>
    <w:p w14:paraId="1F0E8AEE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28.</w:t>
      </w:r>
      <w:r w:rsidRPr="00B0603E">
        <w:tab/>
        <w:t>vyzýva na posilnenie operačného rozmeru bezpečnostnej a obrannej spolupráce EÚ s podobne zmýšľajúcimi a ďalšími partnermi v južnom susedstve, najmä v Stredozemí, so zameraním na námornú bezpečnosť, boj proti terorizmu, riadenie hraníc a ochranu kritickej infraštruktúry, a to na základe záväzkov stanovených v Pakte pre Stredozemie s cieľom prehĺbiť bezpečnostnú spoluprácu so stredomorskými partnermi; zdôrazňuje, že nestabilita v regióne má priamy vplyv na vnútornú bezpečnosť EÚ, a preto si vyžaduje strategickejšiu a koordinovanejšiu reakciu;</w:t>
      </w:r>
    </w:p>
    <w:p w14:paraId="0BF47DD8" w14:textId="77777777" w:rsidR="001B2E01" w:rsidRPr="00B0603E" w:rsidRDefault="001B2E01" w:rsidP="001B2E01">
      <w:pPr>
        <w:pStyle w:val="NormalHanging12a"/>
        <w:rPr>
          <w:b/>
          <w:bCs/>
          <w:i/>
          <w:iCs/>
        </w:rPr>
      </w:pPr>
      <w:r w:rsidRPr="00B0603E">
        <w:rPr>
          <w:b/>
          <w:i/>
        </w:rPr>
        <w:t>Podpora širokých a prispôsobených spôsobov spolupráce</w:t>
      </w:r>
    </w:p>
    <w:p w14:paraId="3D8C6F7B" w14:textId="77777777" w:rsidR="001B2E01" w:rsidRPr="00B0603E" w:rsidRDefault="001B2E01" w:rsidP="001B2E01">
      <w:pPr>
        <w:pStyle w:val="NormalHanging12a"/>
      </w:pPr>
      <w:r w:rsidRPr="00B0603E">
        <w:t>29.</w:t>
      </w:r>
      <w:r w:rsidRPr="00B0603E">
        <w:tab/>
        <w:t>zdôrazňuje, že integrovaný prístup EÚ k SBOP zahŕňa právne rámce pre účasť tretích krajín a regionálnych organizácií na misiách a operáciách SBOP; zdôrazňuje, že títo partneri musia presadzovať naše hodnoty a zdieľať naše záujmy; nabáda Komisiu a ESVČ, aby ďalej zefektívnili administratívne postupy s cieľom zabezpečiť rýchlejšiu a flexibilnejšiu účasť podobne zmýšľajúcich partnerov, najmä na misiách zameraných na výcvik, budovanie kapacít a krízovú reakciu;</w:t>
      </w:r>
    </w:p>
    <w:p w14:paraId="4F9D9B5F" w14:textId="77777777" w:rsidR="001B2E01" w:rsidRPr="00B0603E" w:rsidRDefault="001B2E01" w:rsidP="001B2E01">
      <w:pPr>
        <w:pStyle w:val="NormalHanging12a"/>
      </w:pPr>
      <w:r w:rsidRPr="00B0603E">
        <w:t>30.</w:t>
      </w:r>
      <w:r w:rsidRPr="00B0603E">
        <w:tab/>
        <w:t>zdôrazňuje strategickú úlohu Európskeho mierového nástroja (EPF) ako kľúčového nástroja pri posilňovaní vojenských a obranných kapacít, podpore vojenských aspektov mierových operácií a poskytovaní vybavenia ozbrojeným silám partnerov EÚ; žiada úplnú transparentnosť a demokratickú kontrolu tohto nástroja;</w:t>
      </w:r>
    </w:p>
    <w:p w14:paraId="6C5E759C" w14:textId="77777777" w:rsidR="001B2E01" w:rsidRPr="00B0603E" w:rsidRDefault="001B2E01" w:rsidP="001B2E01">
      <w:pPr>
        <w:pStyle w:val="NormalHanging12a"/>
      </w:pPr>
      <w:r w:rsidRPr="00B0603E">
        <w:t>31.</w:t>
      </w:r>
      <w:r w:rsidRPr="00B0603E">
        <w:tab/>
        <w:t>vyjadruje poľutovanie nad tým, že maďarská vláda naďalej bráni využívaniu tohto nástroja na pomoc Ukrajine, a to aj prostredníctvom právnych krokov na Všeobecnom súde, a neustále blokuje podporu z EPF pre Arménsko; naliehavo žiada členské štáty, aby aktívne vyvíjali tlak na maďarskú vládu, aby ukončila nezodpovednú blokádu EPF; vyzýva PK/VP, aby našla alternatívne riešenie na prekonanie tejto blokády;</w:t>
      </w:r>
    </w:p>
    <w:p w14:paraId="7ED2C34D" w14:textId="77777777" w:rsidR="001B2E01" w:rsidRPr="00B0603E" w:rsidRDefault="001B2E01" w:rsidP="001B2E01">
      <w:pPr>
        <w:pStyle w:val="NormalHanging12a"/>
      </w:pPr>
      <w:r w:rsidRPr="00B0603E">
        <w:t>32.</w:t>
      </w:r>
      <w:r w:rsidRPr="00B0603E">
        <w:tab/>
        <w:t xml:space="preserve">víta posilnenie siete vojenských poradcov ESVČ v delegáciách EÚ, ktoré posilňuje vzťahy s vojenskými a civilnými inštitúciami partnerov; vyzýva na zavedenie </w:t>
      </w:r>
      <w:r w:rsidRPr="00B0603E">
        <w:lastRenderedPageBreak/>
        <w:t>pravidelných koordinačných stretnutí medzi týmito poradcami s cieľom vymieňať si najlepšie postupy, zlepšiť informovanosť o situácii a podporiť súdržnosť vonkajšej činnosti EÚ;</w:t>
      </w:r>
    </w:p>
    <w:p w14:paraId="769B54E2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33.</w:t>
      </w:r>
      <w:r w:rsidRPr="00B0603E">
        <w:tab/>
        <w:t>trvá na tom, že obranná pripravenosť EÚ do roku 2030 si vyžaduje partnerstvá a spoluprácu EÚ s podobne zmýšľajúcimi partnermi; zdôrazňuje, že dosiahnutie deklarovaných cieľov EÚ si vyžaduje zabezpečenie dodávateľských reťazcov vrátane surovín a kritických komponentov, posilnenie a upevnenie EDTIB a zníženie strategických závislostí EÚ bez vytvárania nových; poukazuje napríklad na závislosť EÚ od Číny, pokiaľ ide o kritické suroviny, čo predstavuje značnú geopolitickú a hospodársku zraniteľnosť; požaduje demokratický dohľad a transparentnosť v partnerstvách obranného priemyslu, okrem iného s cieľom zabezpečiť dodržiavanie pracovných a environmentálnych noriem; uznáva, že realizácia skutočného jednotného trhu v oblasti obrany má rozhodujúci význam a posilní vojenské spôsobilosti EÚ aj jej strategickú autonómiu;</w:t>
      </w:r>
    </w:p>
    <w:p w14:paraId="4014624E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34.</w:t>
      </w:r>
      <w:r w:rsidRPr="00B0603E">
        <w:tab/>
        <w:t>víta skutočnosť, že privilegovaný prístup k nástroju SAFE by sa mohol na základe osobitných dvojstranných dohôd udeliť tým krajinám, s ktorými existuje partnerstvo v oblasti bezpečnosti a obrany; konštatuje, že rokovania o dohode s Kanadou, ktorá je v súlade s nástrojom SAFE, boli ukončené; vyjadruje poľutovanie nad tým, že dohoda so Spojeným kráľovstvom ešte sfinalizovaná nebola; zdôrazňuje, že zapojenie týchto dvoch krajín do obranných iniciatív EÚ by bolo vzájomne prospešné a zvýšilo by pridanú hodnotu každého odvetvia; zdôrazňuje význam účasti Ukrajiny na nástroji SAFE;</w:t>
      </w:r>
    </w:p>
    <w:p w14:paraId="690C1C15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35.</w:t>
      </w:r>
      <w:r w:rsidRPr="00B0603E">
        <w:tab/>
        <w:t>konštatuje, že Európska obranná agentúra spolupracuje aj s tretími krajinami, organizáciami a subjektmi v rámci individuálne prispôsobených administratívnych dojednaní; zdôrazňuje, že je potrebné zabezpečiť, aby tieto dojednania prispeli ku konsolidácii EDTIB a k ochrane prevratných technológií; požaduje prehodnotenie administratívnych dojednaní a ich účinnosti;</w:t>
      </w:r>
    </w:p>
    <w:p w14:paraId="109E31FD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36.</w:t>
      </w:r>
      <w:r w:rsidRPr="00B0603E">
        <w:tab/>
        <w:t>žiada, aby ESVČ mala k dispozícii potrebné ľudské a finančné zdroje na vykonávanie existujúcich partnerstiev v oblasti bezpečnosti a obrany s cieľom zabezpečiť, aby prinášali konkrétne výsledky;</w:t>
      </w:r>
    </w:p>
    <w:p w14:paraId="1FF08104" w14:textId="77777777" w:rsidR="001B2E01" w:rsidRPr="00B0603E" w:rsidRDefault="001B2E01" w:rsidP="00A57FA8">
      <w:pPr>
        <w:pStyle w:val="NormalHanging12a"/>
        <w:rPr>
          <w:b/>
          <w:bCs/>
          <w:i/>
          <w:iCs/>
        </w:rPr>
      </w:pPr>
      <w:r w:rsidRPr="00B0603E">
        <w:rPr>
          <w:b/>
          <w:bCs/>
          <w:i/>
          <w:iCs/>
        </w:rPr>
        <w:t xml:space="preserve">Posilnenie kľúčových oblastí spolupráce v rámci partnerstiev v oblasti bezpečnosti a obrany </w:t>
      </w:r>
    </w:p>
    <w:p w14:paraId="68924294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37.</w:t>
      </w:r>
      <w:r w:rsidRPr="00B0603E">
        <w:tab/>
        <w:t>zdôrazňuje úlohu partnerstiev v oblasti bezpečnosti a obrany pri integrovanom riadení hraníc s viacerými partnermi, čo je obzvlášť dôležité vzhľadom na nedávne provokácie a narušenia vzdušného priestoru NATO zo strany ruského a bieloruského režimu, ktoré postihujú najmä štáty na východnom krídle, a vonkajšie aspekty neoprávnenej migrácie; pripomína, že vonkajšie aspekty neoprávnenej migrácie majú vplyv aj na členské štáty na južnom krídle; požaduje zvýšenú finančnú a operačnú podporu EÚ, pokiaľ ide o spôsobilosti v oblasti riadenia hraníc štátov v prvej línii;</w:t>
      </w:r>
    </w:p>
    <w:p w14:paraId="4E111696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38.</w:t>
      </w:r>
      <w:r w:rsidRPr="00B0603E">
        <w:tab/>
        <w:t xml:space="preserve">nabáda Európsku radu, aby zvážila účasť krajín, ktoré podpísali partnerstvá v oblasti bezpečnosti a obrany, najmä Nórska, Spojeného kráľovstva a Kanady, na hlavných projektoch EÚ, ako je napríklad Stráž východného krídla, Európska iniciatíva </w:t>
      </w:r>
      <w:proofErr w:type="spellStart"/>
      <w:r w:rsidRPr="00B0603E">
        <w:t>protidronovej</w:t>
      </w:r>
      <w:proofErr w:type="spellEnd"/>
      <w:r w:rsidRPr="00B0603E">
        <w:t xml:space="preserve"> obrany, Európsky štít protivzdušnej obrany a Európsky vesmírny štít;</w:t>
      </w:r>
    </w:p>
    <w:p w14:paraId="009C44C6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lastRenderedPageBreak/>
        <w:t>39.</w:t>
      </w:r>
      <w:r w:rsidRPr="00B0603E">
        <w:tab/>
        <w:t>zdôrazňuje, že priority financovania EÚ by mali odrážať potrebu vyváženého geografického rozloženia priemyselných kapacít, pričom osobitná pozornosť by sa mala venovať posilneniu obrannej výroby na východnom krídle EÚ s cieľom riešiť blízkosť rizikových oblastí;</w:t>
      </w:r>
    </w:p>
    <w:p w14:paraId="06070FF6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40.</w:t>
      </w:r>
      <w:r w:rsidRPr="00B0603E">
        <w:tab/>
        <w:t xml:space="preserve">požaduje viac spoločných cvičení v oblasti námornej bezpečnosti s príslušnými spojeneckými partnermi s cieľom podporiť </w:t>
      </w:r>
      <w:proofErr w:type="spellStart"/>
      <w:r w:rsidRPr="00B0603E">
        <w:t>interoperabilitu</w:t>
      </w:r>
      <w:proofErr w:type="spellEnd"/>
      <w:r w:rsidRPr="00B0603E">
        <w:t xml:space="preserve"> a operačnú pripravenosť na strategicky dôležitých vodných cestách a kritických miestach na celom svete, najmä v oblastiach, kde sú ohrozené životne dôležité záujmy EÚ; trvá na dôležitosti dohľadu nad kritickou námornou infraštruktúrou a jej ochrany vrátane podmorských káblov a potrubí s cieľom zabrániť čoraz častejším hybridným útokom;</w:t>
      </w:r>
    </w:p>
    <w:p w14:paraId="57FC1467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41.</w:t>
      </w:r>
      <w:r w:rsidRPr="00B0603E">
        <w:tab/>
        <w:t>zdôrazňuje význam partnerstiev v oblasti bezpečnosti a obrany pre misie a operácie SBOP, pretože zostávajú základným kameňom angažovanosti EÚ v oblasti vonkajšej bezpečnosti a sú kľúčovým pilierom činnosti EÚ v oblasti predchádzania konfliktom, krízového riadenia a stabilizácie po skončení konfliktu;</w:t>
      </w:r>
    </w:p>
    <w:p w14:paraId="7CA7960E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42.</w:t>
      </w:r>
      <w:r w:rsidRPr="00B0603E">
        <w:tab/>
        <w:t xml:space="preserve">zdôrazňuje, že kybernetické útoky, dezinformácie a zahraničná manipulácia s informáciami a zahraničné zasahovanie, činnosti nadnárodných zločineckých organizácií zapojených do pašovania drog a obchodovania s ľuďmi a </w:t>
      </w:r>
      <w:proofErr w:type="spellStart"/>
      <w:r w:rsidRPr="00B0603E">
        <w:t>inštrumentalizácia</w:t>
      </w:r>
      <w:proofErr w:type="spellEnd"/>
      <w:r w:rsidRPr="00B0603E">
        <w:t xml:space="preserve"> migrácie agresívnymi tretími krajinami predstavujú pre EÚ rastúcu bezpečnostnú hrozbu; vyzýva na ďalšiu spoluprácu s partnermi EÚ s cieľom posilniť jej odolnosť, chrániť jej kritickú infraštruktúru a vymieňať si najlepšie postupy v oblasti boja proti zahraničnej manipulácii s informáciami a zahraničnému zasahovaniu; zdôrazňuje význam partnerstiev v oblasti bezpečnosti a obrany pre budovanie odolnosti spoločnosti a demokracie; nabáda na zavedenie spoločných cvičení v oblasti kybernetickej reakcie a vytvorenie bezpečných kanálov na výmenu informácií medzi EÚ a jej partnermi s cieľom čeliť hybridným hrozbám;</w:t>
      </w:r>
    </w:p>
    <w:p w14:paraId="4434817C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43.</w:t>
      </w:r>
      <w:r w:rsidRPr="00B0603E">
        <w:tab/>
        <w:t>poukazuje na to, že prístup EÚ k ochrane kritickej podmorskej infraštruktúry odráža aj rastúce povedomie o netradičných bezpečnostných výzvach;</w:t>
      </w:r>
    </w:p>
    <w:p w14:paraId="2D584931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44.</w:t>
      </w:r>
      <w:r w:rsidRPr="00B0603E">
        <w:tab/>
        <w:t>zdôrazňuje význam boja proti terorizmu a predchádzania násilnému extrémizmu a zároveň riešenia štátnych aj neštátnych hrozieb prostredníctvom integrovaných bezpečnostných rámcov; zdôrazňuje, že na účinný boj proti terorizmu a násilnému extrémizmu a na ich predchádzanie je potrebná rozsiahla medzivládna spolupráca a výmena informácií v rámci EÚ, ako aj s tretími krajinami;</w:t>
      </w:r>
    </w:p>
    <w:p w14:paraId="2EFC99CB" w14:textId="77777777" w:rsidR="001B2E01" w:rsidRPr="00B0603E" w:rsidRDefault="001B2E01" w:rsidP="001B2E01">
      <w:pPr>
        <w:pStyle w:val="NormalHanging12a"/>
        <w:rPr>
          <w:bCs/>
          <w:iCs/>
        </w:rPr>
      </w:pPr>
      <w:r w:rsidRPr="00B0603E">
        <w:t>45.</w:t>
      </w:r>
      <w:r w:rsidRPr="00B0603E">
        <w:tab/>
        <w:t xml:space="preserve">zdôrazňuje, že partnerstvá sú nevyhnutné na podporu mierového a zodpovedného správania vo vesmíre, reagovanie na vesmírne hrozby a podporu využívania kozmických služieb na účely bezpečnosti a obrany; zdôrazňuje najmä, že vznikajúci sektor New </w:t>
      </w:r>
      <w:proofErr w:type="spellStart"/>
      <w:r w:rsidRPr="00B0603E">
        <w:t>Space</w:t>
      </w:r>
      <w:proofErr w:type="spellEnd"/>
      <w:r w:rsidRPr="00B0603E">
        <w:t xml:space="preserve"> a jeho inovačný potenciál v oblasti technológií s dvojakým použitím by sa mal plne využívať aj na obranný a civilný rozvoj;</w:t>
      </w:r>
    </w:p>
    <w:p w14:paraId="2BA4D50B" w14:textId="77777777" w:rsidR="001B2E01" w:rsidRPr="00B0603E" w:rsidRDefault="001B2E01" w:rsidP="001B2E01">
      <w:pPr>
        <w:pStyle w:val="NormalHanging12a"/>
      </w:pPr>
      <w:r w:rsidRPr="00B0603E">
        <w:t>46.</w:t>
      </w:r>
      <w:r w:rsidRPr="00B0603E">
        <w:tab/>
        <w:t>trvá na tom, aby partnerstvá v oblasti bezpečnosti a obrany obsahovali účinnú doložku o preskúmaní, ktorá umožní úpravy týkajúce sa vykonávania a reakciu na nový vývoj v oblasti bezpečnosti; zdôrazňuje, že tieto partnerstvá v prípade správneho vykonávania prinesú konkrétne výsledky, ktoré prispejú k európskemu bezpečnostnému poriadku;</w:t>
      </w:r>
    </w:p>
    <w:p w14:paraId="6D8DC7BB" w14:textId="111D556D" w:rsidR="001B2E01" w:rsidRPr="00B0603E" w:rsidRDefault="001B2E01" w:rsidP="001B2E01">
      <w:pPr>
        <w:pStyle w:val="NormalHanging12a"/>
        <w:rPr>
          <w:b/>
          <w:bCs/>
          <w:i/>
          <w:iCs/>
        </w:rPr>
      </w:pPr>
      <w:r w:rsidRPr="00B0603E">
        <w:rPr>
          <w:b/>
          <w:i/>
        </w:rPr>
        <w:t xml:space="preserve">Rozvoj úlohy </w:t>
      </w:r>
      <w:r w:rsidR="00A87B56" w:rsidRPr="00B0603E">
        <w:rPr>
          <w:b/>
          <w:bCs/>
          <w:i/>
          <w:iCs/>
        </w:rPr>
        <w:t>Európskeho</w:t>
      </w:r>
      <w:r w:rsidR="00A87B56" w:rsidRPr="00B0603E">
        <w:t xml:space="preserve"> </w:t>
      </w:r>
      <w:r w:rsidR="00A87B56" w:rsidRPr="00B0603E">
        <w:rPr>
          <w:b/>
          <w:i/>
        </w:rPr>
        <w:t>p</w:t>
      </w:r>
      <w:r w:rsidRPr="00B0603E">
        <w:rPr>
          <w:b/>
          <w:i/>
        </w:rPr>
        <w:t>arlamentu pri podpore spolupráce v oblasti obrany</w:t>
      </w:r>
    </w:p>
    <w:p w14:paraId="73344EBC" w14:textId="49416F7A" w:rsidR="001B2E01" w:rsidRPr="00B0603E" w:rsidRDefault="001B2E01" w:rsidP="001B2E01">
      <w:pPr>
        <w:pStyle w:val="NormalHanging12a"/>
      </w:pPr>
      <w:r w:rsidRPr="00B0603E">
        <w:lastRenderedPageBreak/>
        <w:t>47.</w:t>
      </w:r>
      <w:r w:rsidRPr="00B0603E">
        <w:tab/>
        <w:t xml:space="preserve">pripomína, že </w:t>
      </w:r>
      <w:r w:rsidR="00A87B56" w:rsidRPr="00B0603E">
        <w:t>Európsky p</w:t>
      </w:r>
      <w:r w:rsidRPr="00B0603E">
        <w:t xml:space="preserve">arlament opakovane zdôraznil význam partnerstiev v oblasti bezpečnosti a obrany; domnieva sa, že parlamentná diplomacia tieto partnerstvá dopĺňa a podporuje; zdôrazňuje kľúčovú úlohu, ktorú zohráva Výbor pre bezpečnosť a obranu a Delegácia pre vzťahy s Parlamentným zhromaždením NATO; žiada ESVČ, aby </w:t>
      </w:r>
      <w:r w:rsidR="00A87B56" w:rsidRPr="00B0603E">
        <w:t>Európskemu p</w:t>
      </w:r>
      <w:r w:rsidRPr="00B0603E">
        <w:t>arlamentu pravidelne predkladala správy o vykonávaní partnerstiev v oblasti bezpečnosti a obrany a o stave prebiehajúcich alebo plánovaných rokovaní;</w:t>
      </w:r>
    </w:p>
    <w:p w14:paraId="38BD819A" w14:textId="77777777" w:rsidR="001B2E01" w:rsidRPr="00B0603E" w:rsidRDefault="001B2E01" w:rsidP="001B2E01">
      <w:pPr>
        <w:pStyle w:val="NormalHanging12a"/>
      </w:pPr>
      <w:r w:rsidRPr="00B0603E">
        <w:t>48.</w:t>
      </w:r>
      <w:r w:rsidRPr="00B0603E">
        <w:tab/>
        <w:t>zaväzuje sa pokračovať v pravidelných spoločných schôdzach výborov s Výborom pre národnú bezpečnosť, obranu a spravodajstvo Najvyššej rady Ukrajiny s cieľom podporiť dialóg na parlamentnej úrovni;</w:t>
      </w:r>
    </w:p>
    <w:p w14:paraId="5921BBCC" w14:textId="77777777" w:rsidR="001B2E01" w:rsidRPr="00B0603E" w:rsidRDefault="001B2E01" w:rsidP="001B2E01">
      <w:pPr>
        <w:pStyle w:val="NormalHanging12a"/>
      </w:pPr>
      <w:r w:rsidRPr="00B0603E">
        <w:t>49.</w:t>
      </w:r>
      <w:r w:rsidRPr="00B0603E">
        <w:tab/>
        <w:t>víta zorganizovanie prvého medziparlamentného stretnutia výborov pre obranu členských štátov EÚ v Európskom parlamente a ďalšie prehĺbenie partnerstva so zamestnancami národných parlamentov, a to aj prostredníctvom Európskej akadémie bezpečnosti a obrany;</w:t>
      </w:r>
    </w:p>
    <w:p w14:paraId="7E2E6C8E" w14:textId="37B62398" w:rsidR="001B2E01" w:rsidRPr="00B0603E" w:rsidRDefault="001B2E01" w:rsidP="001B2E01">
      <w:pPr>
        <w:pStyle w:val="NormalHanging12a"/>
      </w:pPr>
      <w:r w:rsidRPr="00B0603E">
        <w:t>50.</w:t>
      </w:r>
      <w:r w:rsidRPr="00B0603E">
        <w:tab/>
        <w:t xml:space="preserve">víta usporiadanie 107. seminára Rose-Roth Parlamentného zhromaždenia NATO s názvom Spolupráca medzi EÚ a NATO: kľúčové partnerstvo a demokratická odolnosť (EU-NATO </w:t>
      </w:r>
      <w:proofErr w:type="spellStart"/>
      <w:r w:rsidRPr="00B0603E">
        <w:t>Cooperation</w:t>
      </w:r>
      <w:proofErr w:type="spellEnd"/>
      <w:r w:rsidRPr="00B0603E">
        <w:t xml:space="preserve">: </w:t>
      </w:r>
      <w:proofErr w:type="spellStart"/>
      <w:r w:rsidRPr="00B0603E">
        <w:t>Essential</w:t>
      </w:r>
      <w:proofErr w:type="spellEnd"/>
      <w:r w:rsidRPr="00B0603E">
        <w:t xml:space="preserve"> </w:t>
      </w:r>
      <w:proofErr w:type="spellStart"/>
      <w:r w:rsidRPr="00B0603E">
        <w:t>Partnership</w:t>
      </w:r>
      <w:proofErr w:type="spellEnd"/>
      <w:r w:rsidRPr="00B0603E">
        <w:t xml:space="preserve"> and </w:t>
      </w:r>
      <w:proofErr w:type="spellStart"/>
      <w:r w:rsidRPr="00B0603E">
        <w:t>Democratic</w:t>
      </w:r>
      <w:proofErr w:type="spellEnd"/>
      <w:r w:rsidRPr="00B0603E">
        <w:t xml:space="preserve"> </w:t>
      </w:r>
      <w:proofErr w:type="spellStart"/>
      <w:r w:rsidRPr="00B0603E">
        <w:t>Resilience</w:t>
      </w:r>
      <w:proofErr w:type="spellEnd"/>
      <w:r w:rsidRPr="00B0603E">
        <w:t xml:space="preserve">) v priestoroch </w:t>
      </w:r>
      <w:r w:rsidR="00A87B56" w:rsidRPr="00B0603E">
        <w:t>Európskeho p</w:t>
      </w:r>
      <w:r w:rsidRPr="00B0603E">
        <w:t xml:space="preserve">arlamentu; zdôrazňuje, že to poukázalo na novú a aktívnu úlohu </w:t>
      </w:r>
      <w:r w:rsidR="00A87B56" w:rsidRPr="00B0603E">
        <w:t>Európskeho p</w:t>
      </w:r>
      <w:r w:rsidRPr="00B0603E">
        <w:t xml:space="preserve">arlamentu vzhľadom na jeho posilnený štatút partnerstva v Parlamentnom zhromaždení NATO; </w:t>
      </w:r>
    </w:p>
    <w:p w14:paraId="56076F8E" w14:textId="6180574F" w:rsidR="001B2E01" w:rsidRPr="00B0603E" w:rsidRDefault="001B2E01" w:rsidP="001B2E01">
      <w:pPr>
        <w:pStyle w:val="NormalHanging12a"/>
        <w:rPr>
          <w:bCs/>
          <w:iCs/>
        </w:rPr>
      </w:pPr>
      <w:r w:rsidRPr="00B0603E">
        <w:t>51.</w:t>
      </w:r>
      <w:r w:rsidRPr="00B0603E">
        <w:tab/>
        <w:t xml:space="preserve">vyzdvihuje úspech vôbec prvého pilotného projektu </w:t>
      </w:r>
      <w:r w:rsidR="00A87B56" w:rsidRPr="00B0603E">
        <w:t>Európskeho p</w:t>
      </w:r>
      <w:r w:rsidRPr="00B0603E">
        <w:t>arlamentu a Parlamentného zhromaždenia NATO zameraného na budovanie parlamentných kapacít v oblasti bezpečnosti a obrany pre zamestnancov Najvyššej rady Ukrajiny; požaduje, aby sa tento pilotný projekt rozšíril na Najvyššiu radu Ukrajiny, parlamenty krajín v oblasti rozširovania a všetky partnerstvá v oblasti bezpečnosti a obrany;</w:t>
      </w:r>
    </w:p>
    <w:p w14:paraId="764F910B" w14:textId="540DA0BE" w:rsidR="001B2E01" w:rsidRPr="00B0603E" w:rsidRDefault="001B2E01" w:rsidP="001B2E01">
      <w:pPr>
        <w:pStyle w:val="NormalHanging12a"/>
        <w:rPr>
          <w:bCs/>
          <w:iCs/>
        </w:rPr>
      </w:pPr>
      <w:r w:rsidRPr="00B0603E">
        <w:t>52.</w:t>
      </w:r>
      <w:r w:rsidRPr="00B0603E">
        <w:tab/>
        <w:t xml:space="preserve">domnieva sa, že </w:t>
      </w:r>
      <w:proofErr w:type="spellStart"/>
      <w:r w:rsidRPr="00B0603E">
        <w:t>Schumanovo</w:t>
      </w:r>
      <w:proofErr w:type="spellEnd"/>
      <w:r w:rsidRPr="00B0603E">
        <w:t xml:space="preserve"> fórum pre bezpečnosť a obranu, ktoré organizuje ESVČ a spoluorganizuje </w:t>
      </w:r>
      <w:r w:rsidR="00A87B56" w:rsidRPr="00B0603E">
        <w:t>Európsky p</w:t>
      </w:r>
      <w:r w:rsidRPr="00B0603E">
        <w:t xml:space="preserve">arlament, je príležitosťou na poskytnutie pravidelnej platformy na vysokej úrovni pre dialóg s partnermi; vyzýva </w:t>
      </w:r>
      <w:r w:rsidR="00A87B56" w:rsidRPr="00B0603E">
        <w:t>Európsky p</w:t>
      </w:r>
      <w:r w:rsidRPr="00B0603E">
        <w:t>arlament, aby sa aktívne podieľal na tvorbe jeho programu a následných opatreniach a zabezpečil, že jeho výsledky sa premietnu do legislatívnej práce v oblasti bezpečnostnej a obrannej politiky EÚ;</w:t>
      </w:r>
    </w:p>
    <w:p w14:paraId="657C59DD" w14:textId="29DC89DE" w:rsidR="001B2E01" w:rsidRPr="00B0603E" w:rsidRDefault="001B2E01" w:rsidP="001B2E01">
      <w:pPr>
        <w:pStyle w:val="NormalHanging12a"/>
      </w:pPr>
      <w:r w:rsidRPr="00B0603E">
        <w:t>53.</w:t>
      </w:r>
      <w:r w:rsidRPr="00B0603E">
        <w:tab/>
        <w:t xml:space="preserve">nabáda na budovanie užších väzieb so spoločnosťami v partnerských krajinách a posilnenie strategickej komunikácie EÚ; vyzýva na začatie kampaní, do ktorých sa zapojí </w:t>
      </w:r>
      <w:r w:rsidR="00A87B56" w:rsidRPr="00B0603E">
        <w:t>Európsky p</w:t>
      </w:r>
      <w:r w:rsidRPr="00B0603E">
        <w:t xml:space="preserve">arlament, ďalšie inštitúcie, orgány a agentúry EÚ, členské štáty a partnerské krajiny, ako aj mimovládne organizácie, akademická obec a médiá, s cieľom propagovať existujúce partnerstvá v oblasti bezpečnosti a obrany a podnecovať nové partnerstvá, čím sa posilní obraz a postavenie EÚ medzi krajinami zapojenými do partnerstiev v oblasti bezpečnosti a obrany; zdôrazňuje, že je potrebné bojovať proti dezinformáciám a zahraničným manipulačným </w:t>
      </w:r>
      <w:proofErr w:type="spellStart"/>
      <w:r w:rsidRPr="00B0603E">
        <w:t>naratívom</w:t>
      </w:r>
      <w:proofErr w:type="spellEnd"/>
      <w:r w:rsidRPr="00B0603E">
        <w:t xml:space="preserve"> prostredníctvom koordinovaných komunikačných stratégií a iniciatív verejnej diplomacie, na ktorých sa budú podieľať delegácie EÚ a členské štáty;</w:t>
      </w:r>
    </w:p>
    <w:p w14:paraId="78A281BC" w14:textId="0D580C20" w:rsidR="00A87B56" w:rsidRPr="00B0603E" w:rsidRDefault="00A87B56" w:rsidP="00A87B56">
      <w:pPr>
        <w:pStyle w:val="NormalHanging12a"/>
        <w:ind w:left="0" w:firstLine="0"/>
        <w:jc w:val="center"/>
      </w:pPr>
      <w:r w:rsidRPr="00B0603E">
        <w:t>°</w:t>
      </w:r>
    </w:p>
    <w:p w14:paraId="791DBC49" w14:textId="04CD35FB" w:rsidR="00A87B56" w:rsidRPr="00B0603E" w:rsidRDefault="00A87B56" w:rsidP="00A87B56">
      <w:pPr>
        <w:pStyle w:val="NormalHanging12a"/>
        <w:ind w:left="0" w:firstLine="0"/>
        <w:jc w:val="center"/>
      </w:pPr>
      <w:r w:rsidRPr="00B0603E">
        <w:t>°     °</w:t>
      </w:r>
    </w:p>
    <w:p w14:paraId="1A8016C9" w14:textId="713F8546" w:rsidR="00E365E1" w:rsidRPr="00B0603E" w:rsidRDefault="001B2E01" w:rsidP="00A87B56">
      <w:pPr>
        <w:pStyle w:val="NormalHanging12a"/>
      </w:pPr>
      <w:r w:rsidRPr="00B0603E">
        <w:lastRenderedPageBreak/>
        <w:t>54.</w:t>
      </w:r>
      <w:r w:rsidRPr="00B0603E">
        <w:tab/>
        <w:t>poveruje svoju predsedníčku, aby postúpila toto uznesenie Rade a Komisii.</w:t>
      </w:r>
    </w:p>
    <w:sectPr w:rsidR="00E365E1" w:rsidRPr="00B0603E" w:rsidSect="00F06D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003B1" w14:textId="77777777" w:rsidR="008E1AF2" w:rsidRPr="00F06D61" w:rsidRDefault="008E1AF2">
      <w:r w:rsidRPr="00F06D61">
        <w:separator/>
      </w:r>
    </w:p>
  </w:endnote>
  <w:endnote w:type="continuationSeparator" w:id="0">
    <w:p w14:paraId="0B2A38ED" w14:textId="77777777" w:rsidR="008E1AF2" w:rsidRPr="00F06D61" w:rsidRDefault="008E1AF2">
      <w:r w:rsidRPr="00F06D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255E2" w14:textId="77777777" w:rsidR="00064002" w:rsidRPr="00F06D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E7B23" w14:textId="77777777" w:rsidR="00064002" w:rsidRPr="00F06D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54887" w14:textId="77777777" w:rsidR="00064002" w:rsidRPr="00F06D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88F3B" w14:textId="77777777" w:rsidR="008E1AF2" w:rsidRPr="00F06D61" w:rsidRDefault="008E1AF2">
      <w:r w:rsidRPr="00F06D61">
        <w:separator/>
      </w:r>
    </w:p>
  </w:footnote>
  <w:footnote w:type="continuationSeparator" w:id="0">
    <w:p w14:paraId="400F9E97" w14:textId="77777777" w:rsidR="008E1AF2" w:rsidRPr="00F06D61" w:rsidRDefault="008E1AF2">
      <w:r w:rsidRPr="00F06D61">
        <w:continuationSeparator/>
      </w:r>
    </w:p>
  </w:footnote>
  <w:footnote w:id="1">
    <w:p w14:paraId="548C0F8D" w14:textId="4BEA7149" w:rsidR="00454219" w:rsidRPr="00F06D61" w:rsidRDefault="00454219" w:rsidP="00F06D6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F06D61">
        <w:rPr>
          <w:sz w:val="24"/>
          <w:vertAlign w:val="superscript"/>
          <w:lang w:val="sk-SK"/>
        </w:rPr>
        <w:t xml:space="preserve"> </w:t>
      </w:r>
      <w:r w:rsidRPr="00F06D61">
        <w:rPr>
          <w:sz w:val="24"/>
          <w:vertAlign w:val="superscript"/>
          <w:lang w:val="sk-SK"/>
        </w:rPr>
        <w:tab/>
      </w:r>
      <w:r w:rsidRPr="00F06D61">
        <w:rPr>
          <w:sz w:val="24"/>
          <w:lang w:val="sk-SK"/>
        </w:rPr>
        <w:t xml:space="preserve">Ú. v. EÚ L 331, 14.12.2017, s. 57, ELI: </w:t>
      </w:r>
      <w:hyperlink r:id="rId1" w:tgtFrame="http://data.europa.eu/eli/dec/2017/2315/oj" w:history="1">
        <w:r w:rsidRPr="00F06D61">
          <w:rPr>
            <w:rStyle w:val="Hyperlink"/>
            <w:sz w:val="24"/>
            <w:lang w:val="sk-SK"/>
          </w:rPr>
          <w:t>http://data.europa.eu/eli/dec/2017/2315/oj</w:t>
        </w:r>
      </w:hyperlink>
      <w:r w:rsidRPr="00F06D61">
        <w:rPr>
          <w:sz w:val="24"/>
          <w:lang w:val="sk-SK"/>
        </w:rPr>
        <w:t>.</w:t>
      </w:r>
    </w:p>
  </w:footnote>
  <w:footnote w:id="2">
    <w:p w14:paraId="18567178" w14:textId="144FE881" w:rsidR="00454219" w:rsidRPr="00F06D61" w:rsidRDefault="00454219" w:rsidP="00F06D6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F06D61">
        <w:rPr>
          <w:sz w:val="24"/>
          <w:vertAlign w:val="superscript"/>
          <w:lang w:val="sk-SK"/>
        </w:rPr>
        <w:t xml:space="preserve"> </w:t>
      </w:r>
      <w:r w:rsidRPr="00F06D61">
        <w:rPr>
          <w:sz w:val="24"/>
          <w:vertAlign w:val="superscript"/>
          <w:lang w:val="sk-SK"/>
        </w:rPr>
        <w:tab/>
      </w:r>
      <w:r w:rsidRPr="00F06D61">
        <w:rPr>
          <w:sz w:val="24"/>
          <w:lang w:val="sk-SK"/>
        </w:rPr>
        <w:t xml:space="preserve">Ú. v. EÚ L, 2024/890, 19.3.2024, ELI: </w:t>
      </w:r>
      <w:hyperlink r:id="rId2" w:tgtFrame="http://data.europa.eu/eli/dec/2024/890/oj" w:history="1">
        <w:r w:rsidRPr="00F06D61">
          <w:rPr>
            <w:rStyle w:val="Hyperlink"/>
            <w:sz w:val="24"/>
            <w:lang w:val="sk-SK"/>
          </w:rPr>
          <w:t>http://data.europa.eu/eli/dec/2024/890/oj</w:t>
        </w:r>
      </w:hyperlink>
      <w:r w:rsidRPr="00F06D61">
        <w:rPr>
          <w:sz w:val="24"/>
          <w:lang w:val="sk-SK"/>
        </w:rPr>
        <w:t>.</w:t>
      </w:r>
    </w:p>
  </w:footnote>
  <w:footnote w:id="3">
    <w:p w14:paraId="5BFE7118" w14:textId="2E95B21B" w:rsidR="00454219" w:rsidRPr="00F06D61" w:rsidRDefault="00454219" w:rsidP="00F06D6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F06D61">
        <w:rPr>
          <w:sz w:val="24"/>
          <w:vertAlign w:val="superscript"/>
          <w:lang w:val="sk-SK"/>
        </w:rPr>
        <w:t xml:space="preserve"> </w:t>
      </w:r>
      <w:r w:rsidRPr="00F06D61">
        <w:rPr>
          <w:sz w:val="24"/>
          <w:vertAlign w:val="superscript"/>
          <w:lang w:val="sk-SK"/>
        </w:rPr>
        <w:tab/>
      </w:r>
      <w:r w:rsidRPr="00F06D61">
        <w:rPr>
          <w:sz w:val="24"/>
          <w:lang w:val="sk-SK"/>
        </w:rPr>
        <w:t xml:space="preserve">Ú. v. EÚ L 170, 12.5.2021, s. 149, ELI: </w:t>
      </w:r>
      <w:hyperlink r:id="rId3" w:tgtFrame="http://data.europa.eu/eli/reg/2021/697/oj" w:history="1">
        <w:r w:rsidRPr="00F06D61">
          <w:rPr>
            <w:rStyle w:val="Hyperlink"/>
            <w:sz w:val="24"/>
            <w:lang w:val="sk-SK"/>
          </w:rPr>
          <w:t>http://data.europa.eu/eli/reg/2021/697/oj</w:t>
        </w:r>
      </w:hyperlink>
      <w:r w:rsidRPr="00F06D61">
        <w:rPr>
          <w:sz w:val="24"/>
          <w:lang w:val="sk-SK"/>
        </w:rPr>
        <w:t>.</w:t>
      </w:r>
    </w:p>
  </w:footnote>
  <w:footnote w:id="4">
    <w:p w14:paraId="4A418951" w14:textId="760909A8" w:rsidR="001B2E01" w:rsidRPr="00F06D61" w:rsidRDefault="001B2E01" w:rsidP="00F06D61">
      <w:pPr>
        <w:pStyle w:val="FootnoteText"/>
        <w:ind w:left="567" w:hanging="567"/>
        <w:rPr>
          <w:sz w:val="24"/>
          <w:lang w:val="sk-SK"/>
        </w:rPr>
      </w:pPr>
      <w:r w:rsidRPr="00F06D61">
        <w:rPr>
          <w:rStyle w:val="FootnoteReference"/>
          <w:sz w:val="24"/>
          <w:lang w:val="sk-SK"/>
        </w:rPr>
        <w:footnoteRef/>
      </w:r>
      <w:r w:rsidR="00F06D61" w:rsidRPr="00F06D61">
        <w:rPr>
          <w:sz w:val="24"/>
          <w:lang w:val="sk-SK"/>
        </w:rPr>
        <w:t xml:space="preserve"> </w:t>
      </w:r>
      <w:r w:rsidR="00F06D61" w:rsidRPr="00F06D61">
        <w:rPr>
          <w:sz w:val="24"/>
          <w:lang w:val="sk-SK"/>
        </w:rPr>
        <w:tab/>
      </w:r>
      <w:r w:rsidRPr="00F06D61">
        <w:rPr>
          <w:sz w:val="24"/>
          <w:lang w:val="sk-SK"/>
        </w:rPr>
        <w:t>Ú. v. EÚ L, 2025/1106, 28.5.2025, ELI: </w:t>
      </w:r>
      <w:hyperlink r:id="rId4" w:tgtFrame="_blank" w:tooltip="Umožňuje prístup k tomuto dokumentu prostredníctvom identifikátora URI používaného v rámci ELI." w:history="1">
        <w:r w:rsidRPr="00F06D61">
          <w:rPr>
            <w:rStyle w:val="Hyperlink"/>
            <w:sz w:val="24"/>
            <w:lang w:val="sk-SK"/>
          </w:rPr>
          <w:t>http://data.europa.eu/eli/reg/2025/1106/oj</w:t>
        </w:r>
      </w:hyperlink>
      <w:r w:rsidRPr="00F06D61">
        <w:rPr>
          <w:sz w:val="24"/>
          <w:lang w:val="sk-SK"/>
        </w:rPr>
        <w:t>.</w:t>
      </w:r>
    </w:p>
  </w:footnote>
  <w:footnote w:id="5">
    <w:p w14:paraId="4F3DD359" w14:textId="2FF2557B" w:rsidR="001B2E01" w:rsidRPr="00F06D61" w:rsidRDefault="001B2E01" w:rsidP="00F06D61">
      <w:pPr>
        <w:pStyle w:val="FootnoteText"/>
        <w:ind w:left="567" w:hanging="567"/>
        <w:rPr>
          <w:sz w:val="24"/>
          <w:lang w:val="sk-SK"/>
        </w:rPr>
      </w:pPr>
      <w:r w:rsidRPr="00F06D61">
        <w:rPr>
          <w:rStyle w:val="FootnoteReference"/>
          <w:sz w:val="24"/>
          <w:lang w:val="sk-SK"/>
        </w:rPr>
        <w:footnoteRef/>
      </w:r>
      <w:r w:rsidR="00F06D61" w:rsidRPr="00F06D61">
        <w:rPr>
          <w:sz w:val="24"/>
          <w:lang w:val="sk-SK"/>
        </w:rPr>
        <w:t xml:space="preserve"> </w:t>
      </w:r>
      <w:r w:rsidR="00F06D61" w:rsidRPr="00F06D61">
        <w:rPr>
          <w:sz w:val="24"/>
          <w:lang w:val="sk-SK"/>
        </w:rPr>
        <w:tab/>
      </w:r>
      <w:r w:rsidRPr="00F06D61">
        <w:rPr>
          <w:sz w:val="24"/>
          <w:lang w:val="sk-SK"/>
        </w:rPr>
        <w:t xml:space="preserve">Ú. v. EÚ C, C/2025/4389, 9.9.2025, ELI: </w:t>
      </w:r>
      <w:hyperlink r:id="rId5" w:tgtFrame="http://data.europa.eu/eli/C/2025/4389/oj" w:history="1">
        <w:r w:rsidRPr="00F06D61">
          <w:rPr>
            <w:rStyle w:val="Hyperlink"/>
            <w:sz w:val="24"/>
            <w:lang w:val="sk-SK"/>
          </w:rPr>
          <w:t>http://data.europa.eu/eli/C/2025/4389/oj</w:t>
        </w:r>
      </w:hyperlink>
      <w:r w:rsidRPr="00F06D61">
        <w:rPr>
          <w:sz w:val="24"/>
          <w:lang w:val="sk-SK"/>
        </w:rPr>
        <w:t>.</w:t>
      </w:r>
    </w:p>
  </w:footnote>
  <w:footnote w:id="6">
    <w:p w14:paraId="11E1DEE4" w14:textId="0F9914DE" w:rsidR="001B2E01" w:rsidRPr="00F06D61" w:rsidRDefault="001B2E01" w:rsidP="00F06D61">
      <w:pPr>
        <w:pStyle w:val="FootnoteText"/>
        <w:ind w:left="567" w:hanging="567"/>
        <w:rPr>
          <w:sz w:val="24"/>
          <w:lang w:val="sk-SK"/>
        </w:rPr>
      </w:pPr>
      <w:r w:rsidRPr="00F06D61">
        <w:rPr>
          <w:rStyle w:val="FootnoteReference"/>
          <w:sz w:val="24"/>
          <w:lang w:val="sk-SK"/>
        </w:rPr>
        <w:footnoteRef/>
      </w:r>
      <w:r w:rsidR="00F06D61" w:rsidRPr="00F06D61">
        <w:rPr>
          <w:sz w:val="24"/>
          <w:lang w:val="sk-SK"/>
        </w:rPr>
        <w:t xml:space="preserve"> </w:t>
      </w:r>
      <w:r w:rsidR="00F06D61" w:rsidRPr="00F06D61">
        <w:rPr>
          <w:sz w:val="24"/>
          <w:lang w:val="sk-SK"/>
        </w:rPr>
        <w:tab/>
      </w:r>
      <w:r w:rsidRPr="00F06D61">
        <w:rPr>
          <w:sz w:val="24"/>
          <w:lang w:val="sk-SK"/>
        </w:rPr>
        <w:t xml:space="preserve">Ú. v. EÚ C, C/2025/3151, 20.6.2025, ELI: </w:t>
      </w:r>
      <w:hyperlink r:id="rId6" w:tgtFrame="http://data.europa.eu/eli/C/2025/3151/oj" w:history="1">
        <w:r w:rsidRPr="00F06D61">
          <w:rPr>
            <w:rStyle w:val="Hyperlink"/>
            <w:sz w:val="24"/>
            <w:lang w:val="sk-SK"/>
          </w:rPr>
          <w:t>http://data.europa.eu/eli/C/2025/3151/oj</w:t>
        </w:r>
      </w:hyperlink>
      <w:r w:rsidRPr="00F06D61">
        <w:rPr>
          <w:sz w:val="24"/>
          <w:lang w:val="sk-SK"/>
        </w:rPr>
        <w:t>.</w:t>
      </w:r>
    </w:p>
  </w:footnote>
  <w:footnote w:id="7">
    <w:p w14:paraId="21309756" w14:textId="7F4109FF" w:rsidR="001B2E01" w:rsidRPr="00F06D61" w:rsidRDefault="001B2E01" w:rsidP="00F06D61">
      <w:pPr>
        <w:pStyle w:val="FootnoteText"/>
        <w:ind w:left="567" w:hanging="567"/>
        <w:rPr>
          <w:sz w:val="24"/>
          <w:lang w:val="sk-SK"/>
        </w:rPr>
      </w:pPr>
      <w:r w:rsidRPr="00F06D61">
        <w:rPr>
          <w:rStyle w:val="FootnoteReference"/>
          <w:sz w:val="24"/>
          <w:lang w:val="sk-SK"/>
        </w:rPr>
        <w:footnoteRef/>
      </w:r>
      <w:r w:rsidR="00F06D61" w:rsidRPr="00F06D61">
        <w:rPr>
          <w:sz w:val="24"/>
          <w:lang w:val="sk-SK"/>
        </w:rPr>
        <w:t xml:space="preserve"> </w:t>
      </w:r>
      <w:r w:rsidR="00F06D61" w:rsidRPr="00F06D61">
        <w:rPr>
          <w:sz w:val="24"/>
          <w:lang w:val="sk-SK"/>
        </w:rPr>
        <w:tab/>
      </w:r>
      <w:r w:rsidRPr="00F06D61">
        <w:rPr>
          <w:sz w:val="24"/>
          <w:lang w:val="sk-SK"/>
        </w:rPr>
        <w:t>Ú. v. EÚ C 99, 1.3.2022, s. 105.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1F269" w14:textId="77777777" w:rsidR="00064002" w:rsidRPr="00F06D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96768" w14:textId="77777777" w:rsidR="00064002" w:rsidRPr="00F06D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04115" w14:textId="77777777" w:rsidR="00064002" w:rsidRPr="00F06D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1816630">
    <w:abstractNumId w:val="9"/>
  </w:num>
  <w:num w:numId="2" w16cid:durableId="1947494501">
    <w:abstractNumId w:val="9"/>
  </w:num>
  <w:num w:numId="3" w16cid:durableId="380834978">
    <w:abstractNumId w:val="7"/>
  </w:num>
  <w:num w:numId="4" w16cid:durableId="1841966280">
    <w:abstractNumId w:val="7"/>
  </w:num>
  <w:num w:numId="5" w16cid:durableId="1809318118">
    <w:abstractNumId w:val="6"/>
  </w:num>
  <w:num w:numId="6" w16cid:durableId="1340112409">
    <w:abstractNumId w:val="6"/>
  </w:num>
  <w:num w:numId="7" w16cid:durableId="678120775">
    <w:abstractNumId w:val="5"/>
  </w:num>
  <w:num w:numId="8" w16cid:durableId="205459676">
    <w:abstractNumId w:val="5"/>
  </w:num>
  <w:num w:numId="9" w16cid:durableId="1211847200">
    <w:abstractNumId w:val="4"/>
  </w:num>
  <w:num w:numId="10" w16cid:durableId="545217549">
    <w:abstractNumId w:val="4"/>
  </w:num>
  <w:num w:numId="11" w16cid:durableId="310524651">
    <w:abstractNumId w:val="8"/>
  </w:num>
  <w:num w:numId="12" w16cid:durableId="651181590">
    <w:abstractNumId w:val="8"/>
  </w:num>
  <w:num w:numId="13" w16cid:durableId="1355570737">
    <w:abstractNumId w:val="3"/>
  </w:num>
  <w:num w:numId="14" w16cid:durableId="1389718599">
    <w:abstractNumId w:val="3"/>
  </w:num>
  <w:num w:numId="15" w16cid:durableId="1054811455">
    <w:abstractNumId w:val="2"/>
  </w:num>
  <w:num w:numId="16" w16cid:durableId="2035425530">
    <w:abstractNumId w:val="2"/>
  </w:num>
  <w:num w:numId="17" w16cid:durableId="1877888879">
    <w:abstractNumId w:val="1"/>
  </w:num>
  <w:num w:numId="18" w16cid:durableId="392970030">
    <w:abstractNumId w:val="1"/>
  </w:num>
  <w:num w:numId="19" w16cid:durableId="683483487">
    <w:abstractNumId w:val="0"/>
  </w:num>
  <w:num w:numId="20" w16cid:durableId="2049379352">
    <w:abstractNumId w:val="0"/>
  </w:num>
  <w:num w:numId="21" w16cid:durableId="66733597">
    <w:abstractNumId w:val="9"/>
  </w:num>
  <w:num w:numId="22" w16cid:durableId="195898452">
    <w:abstractNumId w:val="7"/>
  </w:num>
  <w:num w:numId="23" w16cid:durableId="1090660707">
    <w:abstractNumId w:val="6"/>
  </w:num>
  <w:num w:numId="24" w16cid:durableId="1514685802">
    <w:abstractNumId w:val="5"/>
  </w:num>
  <w:num w:numId="25" w16cid:durableId="1817529881">
    <w:abstractNumId w:val="4"/>
  </w:num>
  <w:num w:numId="26" w16cid:durableId="1222865032">
    <w:abstractNumId w:val="8"/>
  </w:num>
  <w:num w:numId="27" w16cid:durableId="928003571">
    <w:abstractNumId w:val="3"/>
  </w:num>
  <w:num w:numId="28" w16cid:durableId="2094162733">
    <w:abstractNumId w:val="2"/>
  </w:num>
  <w:num w:numId="29" w16cid:durableId="2042586541">
    <w:abstractNumId w:val="1"/>
  </w:num>
  <w:num w:numId="30" w16cid:durableId="136384580">
    <w:abstractNumId w:val="0"/>
  </w:num>
  <w:num w:numId="31" w16cid:durableId="1795097840">
    <w:abstractNumId w:val="9"/>
  </w:num>
  <w:num w:numId="32" w16cid:durableId="798230886">
    <w:abstractNumId w:val="7"/>
  </w:num>
  <w:num w:numId="33" w16cid:durableId="880477368">
    <w:abstractNumId w:val="6"/>
  </w:num>
  <w:num w:numId="34" w16cid:durableId="1151170003">
    <w:abstractNumId w:val="5"/>
  </w:num>
  <w:num w:numId="35" w16cid:durableId="1247495228">
    <w:abstractNumId w:val="4"/>
  </w:num>
  <w:num w:numId="36" w16cid:durableId="1735004015">
    <w:abstractNumId w:val="8"/>
  </w:num>
  <w:num w:numId="37" w16cid:durableId="1185170614">
    <w:abstractNumId w:val="3"/>
  </w:num>
  <w:num w:numId="38" w16cid:durableId="9331632">
    <w:abstractNumId w:val="2"/>
  </w:num>
  <w:num w:numId="39" w16cid:durableId="2101173036">
    <w:abstractNumId w:val="1"/>
  </w:num>
  <w:num w:numId="40" w16cid:durableId="1064182668">
    <w:abstractNumId w:val="0"/>
  </w:num>
  <w:num w:numId="41" w16cid:durableId="1762749386">
    <w:abstractNumId w:val="10"/>
  </w:num>
  <w:num w:numId="42" w16cid:durableId="103233470">
    <w:abstractNumId w:val="10"/>
  </w:num>
  <w:num w:numId="43" w16cid:durableId="189074747">
    <w:abstractNumId w:val="10"/>
  </w:num>
  <w:num w:numId="44" w16cid:durableId="9485817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5/2026"/>
    <w:docVar w:name="dvlangue" w:val="SK"/>
    <w:docVar w:name="dvnumam" w:val="0"/>
    <w:docVar w:name="dvpe" w:val="778.180"/>
    <w:docVar w:name="dvrapporteur" w:val="Spravodajca: "/>
    <w:docVar w:name="dvtitre" w:val="Uznesenie Európskeho parlamentu z/zo xx. xxx 2026 o strategických partnerstvách EÚ v oblasti obrany a bezpečnosti(2025/2119(INI))"/>
  </w:docVars>
  <w:rsids>
    <w:rsidRoot w:val="008E1AF2"/>
    <w:rsid w:val="00002272"/>
    <w:rsid w:val="00034FC4"/>
    <w:rsid w:val="00064002"/>
    <w:rsid w:val="000677B9"/>
    <w:rsid w:val="000831BA"/>
    <w:rsid w:val="000A42CC"/>
    <w:rsid w:val="000E5361"/>
    <w:rsid w:val="000E7DD9"/>
    <w:rsid w:val="0010095E"/>
    <w:rsid w:val="00125B37"/>
    <w:rsid w:val="00187494"/>
    <w:rsid w:val="001B2E01"/>
    <w:rsid w:val="001D647F"/>
    <w:rsid w:val="001F32AE"/>
    <w:rsid w:val="00266E3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421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03B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3D5"/>
    <w:rsid w:val="00817416"/>
    <w:rsid w:val="00842779"/>
    <w:rsid w:val="00865F67"/>
    <w:rsid w:val="00881A7B"/>
    <w:rsid w:val="008840E5"/>
    <w:rsid w:val="00887B3E"/>
    <w:rsid w:val="008C2AC6"/>
    <w:rsid w:val="008E1AF2"/>
    <w:rsid w:val="00930C23"/>
    <w:rsid w:val="0093193B"/>
    <w:rsid w:val="009509D8"/>
    <w:rsid w:val="00950B64"/>
    <w:rsid w:val="00981893"/>
    <w:rsid w:val="00A0704A"/>
    <w:rsid w:val="00A1687D"/>
    <w:rsid w:val="00A43E52"/>
    <w:rsid w:val="00A4678D"/>
    <w:rsid w:val="00A57FA8"/>
    <w:rsid w:val="00A778C7"/>
    <w:rsid w:val="00A87B56"/>
    <w:rsid w:val="00AB441E"/>
    <w:rsid w:val="00AB6293"/>
    <w:rsid w:val="00AE0928"/>
    <w:rsid w:val="00AF3B82"/>
    <w:rsid w:val="00B0603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2E3"/>
    <w:rsid w:val="00D56C11"/>
    <w:rsid w:val="00D834A0"/>
    <w:rsid w:val="00D872DF"/>
    <w:rsid w:val="00D91E21"/>
    <w:rsid w:val="00DA2D6C"/>
    <w:rsid w:val="00DA7FCD"/>
    <w:rsid w:val="00E0405E"/>
    <w:rsid w:val="00E365E1"/>
    <w:rsid w:val="00E820A4"/>
    <w:rsid w:val="00EB006A"/>
    <w:rsid w:val="00EB4772"/>
    <w:rsid w:val="00ED169E"/>
    <w:rsid w:val="00ED4235"/>
    <w:rsid w:val="00F04346"/>
    <w:rsid w:val="00F06D61"/>
    <w:rsid w:val="00F075DC"/>
    <w:rsid w:val="00F149E9"/>
    <w:rsid w:val="00F44313"/>
    <w:rsid w:val="00F5134D"/>
    <w:rsid w:val="00F65050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403DBD"/>
  <w15:chartTrackingRefBased/>
  <w15:docId w15:val="{94C7C1E3-086E-46D6-BB66-82A142B1C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B2E0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1B2E01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1B2E0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1B2E01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1B2E01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B2E01"/>
    <w:rPr>
      <w:sz w:val="24"/>
      <w:szCs w:val="24"/>
      <w:lang w:val="sk-SK" w:eastAsia="en-US"/>
    </w:rPr>
  </w:style>
  <w:style w:type="paragraph" w:styleId="Revision">
    <w:name w:val="Revision"/>
    <w:hidden/>
    <w:uiPriority w:val="99"/>
    <w:semiHidden/>
    <w:rsid w:val="00A87B5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697/oj" TargetMode="External"/><Relationship Id="rId2" Type="http://schemas.openxmlformats.org/officeDocument/2006/relationships/hyperlink" Target="http://data.europa.eu/eli/dec/2024/890/oj" TargetMode="External"/><Relationship Id="rId1" Type="http://schemas.openxmlformats.org/officeDocument/2006/relationships/hyperlink" Target="http://data.europa.eu/eli/dec/2017/2315/oj" TargetMode="External"/><Relationship Id="rId6" Type="http://schemas.openxmlformats.org/officeDocument/2006/relationships/hyperlink" Target="http://data.europa.eu/eli/C/2025/3151/oj" TargetMode="External"/><Relationship Id="rId5" Type="http://schemas.openxmlformats.org/officeDocument/2006/relationships/hyperlink" Target="http://data.europa.eu/eli/C/2025/4389/oj" TargetMode="External"/><Relationship Id="rId4" Type="http://schemas.openxmlformats.org/officeDocument/2006/relationships/hyperlink" Target="http://data.europa.eu/eli/reg/2025/11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4991</Words>
  <Characters>31836</Characters>
  <Application>Microsoft Office Word</Application>
  <DocSecurity>0</DocSecurity>
  <Lines>265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3</cp:revision>
  <cp:lastPrinted>2004-11-19T15:42:00Z</cp:lastPrinted>
  <dcterms:created xsi:type="dcterms:W3CDTF">2026-03-19T13:37:00Z</dcterms:created>
  <dcterms:modified xsi:type="dcterms:W3CDTF">2026-04-30T15:14:00Z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A10-0005/2026</vt:lpwstr>
  </property>
  <property fmtid="{D5CDD505-2E9C-101B-9397-08002B2CF9AE}" pid="4" name="&lt;Type&gt;">
    <vt:lpwstr>RR</vt:lpwstr>
  </property>
</Properties>
</file>