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668" w14:paraId="139DBFBB" w14:textId="77777777" w:rsidTr="0010095E">
        <w:trPr>
          <w:trHeight w:hRule="exact" w:val="1418"/>
        </w:trPr>
        <w:tc>
          <w:tcPr>
            <w:tcW w:w="6804" w:type="dxa"/>
            <w:shd w:val="clear" w:color="auto" w:fill="auto"/>
            <w:vAlign w:val="center"/>
          </w:tcPr>
          <w:p w14:paraId="5652E516" w14:textId="24D32C9D" w:rsidR="00751A4A" w:rsidRPr="00906668" w:rsidRDefault="007B1976" w:rsidP="0010095E">
            <w:pPr>
              <w:pStyle w:val="EPName"/>
            </w:pPr>
            <w:r w:rsidRPr="00906668">
              <w:t>Европейски</w:t>
            </w:r>
            <w:r w:rsidR="00712997" w:rsidRPr="00906668">
              <w:t xml:space="preserve"> парламент</w:t>
            </w:r>
          </w:p>
          <w:p w14:paraId="452B62BF" w14:textId="0CB4573D" w:rsidR="00751A4A" w:rsidRPr="00906668" w:rsidRDefault="005F1B17" w:rsidP="005F1B17">
            <w:pPr>
              <w:pStyle w:val="EPTerm"/>
              <w:rPr>
                <w:rStyle w:val="HideTWBExt"/>
                <w:noProof w:val="0"/>
                <w:vanish w:val="0"/>
                <w:color w:val="auto"/>
              </w:rPr>
            </w:pPr>
            <w:r w:rsidRPr="00906668">
              <w:t>2024</w:t>
            </w:r>
            <w:r w:rsidR="007B1976">
              <w:t> – </w:t>
            </w:r>
            <w:r w:rsidR="00817416" w:rsidRPr="00906668">
              <w:t>202</w:t>
            </w:r>
            <w:r w:rsidRPr="00906668">
              <w:t>9</w:t>
            </w:r>
          </w:p>
        </w:tc>
        <w:tc>
          <w:tcPr>
            <w:tcW w:w="2268" w:type="dxa"/>
            <w:shd w:val="clear" w:color="auto" w:fill="auto"/>
          </w:tcPr>
          <w:p w14:paraId="2C78067D" w14:textId="77777777" w:rsidR="00751A4A" w:rsidRPr="00906668" w:rsidRDefault="00187494" w:rsidP="0010095E">
            <w:pPr>
              <w:pStyle w:val="EPLogo"/>
            </w:pPr>
            <w:r w:rsidRPr="00906668">
              <w:rPr>
                <w:noProof/>
                <w:lang w:eastAsia="ja-JP"/>
              </w:rPr>
              <w:drawing>
                <wp:inline distT="0" distB="0" distL="0" distR="0" wp14:anchorId="466C9972" wp14:editId="4F477C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D12601" w14:textId="77777777" w:rsidR="00D058B8" w:rsidRPr="00906668" w:rsidRDefault="00D058B8" w:rsidP="004C5D52">
      <w:pPr>
        <w:pStyle w:val="LineTop"/>
      </w:pPr>
    </w:p>
    <w:p w14:paraId="63ABA943" w14:textId="77777777" w:rsidR="00680577" w:rsidRPr="00906668" w:rsidRDefault="00712997" w:rsidP="00680577">
      <w:pPr>
        <w:pStyle w:val="EPBodyTA1"/>
      </w:pPr>
      <w:r w:rsidRPr="00906668">
        <w:t>ПРИЕТИ ТЕКСТОВЕ</w:t>
      </w:r>
    </w:p>
    <w:p w14:paraId="4B895252" w14:textId="77777777" w:rsidR="00D058B8" w:rsidRPr="00906668" w:rsidRDefault="00D058B8" w:rsidP="00D058B8">
      <w:pPr>
        <w:pStyle w:val="LineBottom"/>
      </w:pPr>
    </w:p>
    <w:p w14:paraId="6E27EB9A" w14:textId="66A93AC5" w:rsidR="00712997" w:rsidRPr="004E2DF9" w:rsidRDefault="00712997" w:rsidP="00712997">
      <w:pPr>
        <w:pStyle w:val="ATHeading1"/>
        <w:rPr>
          <w:lang w:val="en-GB"/>
        </w:rPr>
      </w:pPr>
      <w:bookmarkStart w:id="0" w:name="TANumber"/>
      <w:r w:rsidRPr="00906668">
        <w:t>P10_TA(2026)00</w:t>
      </w:r>
      <w:r w:rsidR="004E2DF9">
        <w:rPr>
          <w:lang w:val="en-GB"/>
        </w:rPr>
        <w:t>41</w:t>
      </w:r>
      <w:bookmarkEnd w:id="0"/>
    </w:p>
    <w:p w14:paraId="0C866EA8" w14:textId="17C3AC7F" w:rsidR="00712997" w:rsidRPr="00906668" w:rsidRDefault="00CB6B44" w:rsidP="00712997">
      <w:pPr>
        <w:pStyle w:val="ATHeading2"/>
      </w:pPr>
      <w:bookmarkStart w:id="1" w:name="title"/>
      <w:r>
        <w:t>Г</w:t>
      </w:r>
      <w:r w:rsidRPr="00CB6B44">
        <w:t>енетично модифицирана соя DBN-09004-6</w:t>
      </w:r>
      <w:bookmarkEnd w:id="1"/>
    </w:p>
    <w:p w14:paraId="1C4FD250" w14:textId="77777777" w:rsidR="00712997" w:rsidRPr="00906668" w:rsidRDefault="00712997" w:rsidP="00712997">
      <w:pPr>
        <w:rPr>
          <w:i/>
          <w:vanish/>
        </w:rPr>
      </w:pPr>
      <w:r w:rsidRPr="00906668">
        <w:rPr>
          <w:i/>
        </w:rPr>
        <w:fldChar w:fldCharType="begin"/>
      </w:r>
      <w:r w:rsidRPr="00906668">
        <w:rPr>
          <w:i/>
        </w:rPr>
        <w:instrText xml:space="preserve"> TC"(</w:instrText>
      </w:r>
      <w:bookmarkStart w:id="2" w:name="DocNumber"/>
      <w:r w:rsidRPr="00906668">
        <w:rPr>
          <w:i/>
        </w:rPr>
        <w:instrText>B10-0107/2026</w:instrText>
      </w:r>
      <w:bookmarkEnd w:id="2"/>
      <w:r w:rsidRPr="00906668">
        <w:rPr>
          <w:i/>
        </w:rPr>
        <w:instrText xml:space="preserve">)"\l3 \n&gt; \* MERGEFORMAT </w:instrText>
      </w:r>
      <w:r w:rsidRPr="00906668">
        <w:rPr>
          <w:i/>
        </w:rPr>
        <w:fldChar w:fldCharType="end"/>
      </w:r>
    </w:p>
    <w:p w14:paraId="3D441224" w14:textId="77777777" w:rsidR="00712997" w:rsidRPr="00906668" w:rsidRDefault="00712997" w:rsidP="00712997">
      <w:pPr>
        <w:rPr>
          <w:vanish/>
        </w:rPr>
      </w:pPr>
      <w:bookmarkStart w:id="3" w:name="PE"/>
      <w:r w:rsidRPr="00906668">
        <w:rPr>
          <w:vanish/>
        </w:rPr>
        <w:t>PE782.192</w:t>
      </w:r>
      <w:bookmarkEnd w:id="3"/>
    </w:p>
    <w:p w14:paraId="7778C910" w14:textId="6D6C1460" w:rsidR="00712997" w:rsidRPr="00906668" w:rsidRDefault="00712997" w:rsidP="00712997">
      <w:pPr>
        <w:pStyle w:val="ATHeading3"/>
      </w:pPr>
      <w:bookmarkStart w:id="4" w:name="Sujet"/>
      <w:r w:rsidRPr="00906668">
        <w:t xml:space="preserve">Резолюция на Европейския парламент от </w:t>
      </w:r>
      <w:r w:rsidR="007B1976">
        <w:t>11 февруари</w:t>
      </w:r>
      <w:r w:rsidRPr="00906668">
        <w:t xml:space="preserve">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в съответствие с Регламент (ЕО) № 1829/2003 на Европейския парламент и на Съвета </w:t>
      </w:r>
      <w:bookmarkEnd w:id="4"/>
      <w:r w:rsidRPr="00906668">
        <w:t xml:space="preserve"> </w:t>
      </w:r>
      <w:bookmarkStart w:id="5" w:name="References"/>
      <w:r w:rsidRPr="00906668">
        <w:t>(D111472/02 – 2026/2523(RSP))</w:t>
      </w:r>
      <w:bookmarkEnd w:id="5"/>
    </w:p>
    <w:p w14:paraId="68C29AC5" w14:textId="77777777" w:rsidR="00C31F20" w:rsidRPr="00906668" w:rsidRDefault="00C31F20" w:rsidP="00C31F20">
      <w:pPr>
        <w:pStyle w:val="EPComma"/>
      </w:pPr>
      <w:bookmarkStart w:id="6" w:name="TextBodyBegin"/>
      <w:bookmarkEnd w:id="6"/>
      <w:r w:rsidRPr="00906668">
        <w:rPr>
          <w:i/>
        </w:rPr>
        <w:t>Европейският парламент</w:t>
      </w:r>
      <w:r w:rsidRPr="00906668">
        <w:t>,</w:t>
      </w:r>
    </w:p>
    <w:p w14:paraId="0CB86E25" w14:textId="77777777" w:rsidR="00C31F20" w:rsidRPr="00906668" w:rsidRDefault="00C31F20" w:rsidP="00C31F20">
      <w:pPr>
        <w:pStyle w:val="NormalHanging12a"/>
      </w:pPr>
      <w:r w:rsidRPr="00906668">
        <w:t>–</w:t>
      </w:r>
      <w:r w:rsidRPr="00906668">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съгласно Регламент (ЕО) № 1829/2003 на Европейския парламент и на Съвета (D111472/02),</w:t>
      </w:r>
    </w:p>
    <w:p w14:paraId="1A6632E6" w14:textId="77777777" w:rsidR="00C31F20" w:rsidRPr="00906668" w:rsidRDefault="00C31F20" w:rsidP="00C31F20">
      <w:pPr>
        <w:pStyle w:val="NormalHanging12a"/>
      </w:pPr>
      <w:r w:rsidRPr="00906668">
        <w:t>–</w:t>
      </w:r>
      <w:r w:rsidRPr="00906668">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906668">
        <w:rPr>
          <w:rStyle w:val="FootnoteReference"/>
        </w:rPr>
        <w:footnoteReference w:id="1"/>
      </w:r>
      <w:r w:rsidRPr="00906668">
        <w:t>, и по-специално член 7, параграф 3 и член 19, параграф 3 от него,</w:t>
      </w:r>
    </w:p>
    <w:p w14:paraId="5DBB5089" w14:textId="2F88CF06" w:rsidR="00C31F20" w:rsidRPr="00906668" w:rsidRDefault="00C31F20" w:rsidP="00C31F20">
      <w:pPr>
        <w:pStyle w:val="NormalHanging12a"/>
      </w:pPr>
      <w:r w:rsidRPr="00906668">
        <w:t>–</w:t>
      </w:r>
      <w:r w:rsidRPr="00906668">
        <w:tab/>
        <w:t>като взе предвид гласуването на 12 декември 2025 г. в Постоянния комитет по растенията, животните, храните и фуражите , посочен в член 35 от Регламент (ЕО) № 1829/2003, при което не беше изразено становище</w:t>
      </w:r>
      <w:bookmarkStart w:id="7" w:name="_Hlk219206484"/>
      <w:r w:rsidRPr="00906668">
        <w:t>,</w:t>
      </w:r>
      <w:bookmarkEnd w:id="7"/>
      <w:r w:rsidR="007B1976">
        <w:t xml:space="preserve"> </w:t>
      </w:r>
      <w:r w:rsidR="007B1976" w:rsidRPr="007B1976">
        <w:t>както и гласуването в Апелативния комитет на 27 януари 2026 г., при което също не беше изразено становище,</w:t>
      </w:r>
    </w:p>
    <w:p w14:paraId="760D6D56" w14:textId="77777777" w:rsidR="00C31F20" w:rsidRPr="00906668" w:rsidRDefault="00C31F20" w:rsidP="00C31F20">
      <w:pPr>
        <w:pStyle w:val="NormalHanging12a"/>
      </w:pPr>
      <w:r w:rsidRPr="00906668">
        <w:t>–</w:t>
      </w:r>
      <w:r w:rsidRPr="00906668">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906668">
        <w:rPr>
          <w:rStyle w:val="FootnoteReference"/>
        </w:rPr>
        <w:footnoteReference w:id="2"/>
      </w:r>
      <w:r w:rsidRPr="00906668">
        <w:t>,</w:t>
      </w:r>
    </w:p>
    <w:p w14:paraId="7C2866B6" w14:textId="77777777" w:rsidR="00C31F20" w:rsidRPr="00906668" w:rsidRDefault="00C31F20" w:rsidP="00C31F20">
      <w:pPr>
        <w:pStyle w:val="NormalHanging12a"/>
      </w:pPr>
      <w:r w:rsidRPr="00906668">
        <w:t>–</w:t>
      </w:r>
      <w:r w:rsidRPr="00906668">
        <w:tab/>
        <w:t xml:space="preserve">като взе предвид становището, прието от Европейския орган за безопасност на </w:t>
      </w:r>
      <w:r w:rsidRPr="00906668">
        <w:lastRenderedPageBreak/>
        <w:t>храните (ЕОБХ) на 21 май 2025 г. и публикувано на 7 юли 2025 г.</w:t>
      </w:r>
      <w:r w:rsidRPr="00906668">
        <w:rPr>
          <w:vertAlign w:val="superscript"/>
        </w:rPr>
        <w:footnoteReference w:id="3"/>
      </w:r>
      <w:r w:rsidRPr="00906668">
        <w:t>,</w:t>
      </w:r>
    </w:p>
    <w:p w14:paraId="34F958AB" w14:textId="77777777" w:rsidR="00C31F20" w:rsidRPr="00906668" w:rsidRDefault="00C31F20" w:rsidP="00C31F20">
      <w:pPr>
        <w:pStyle w:val="NormalHanging12a"/>
      </w:pPr>
      <w:r w:rsidRPr="00906668">
        <w:t>–</w:t>
      </w:r>
      <w:r w:rsidRPr="00906668">
        <w:tab/>
        <w:t>като взе предвид предишните си резолюции, в които възразява срещу разрешаването на генетично модифицирани организми („ГМО“)</w:t>
      </w:r>
      <w:r w:rsidRPr="00906668">
        <w:rPr>
          <w:vertAlign w:val="superscript"/>
        </w:rPr>
        <w:footnoteReference w:id="4"/>
      </w:r>
      <w:r w:rsidRPr="00906668">
        <w:t>,</w:t>
      </w:r>
    </w:p>
    <w:p w14:paraId="5CCB5809" w14:textId="77777777" w:rsidR="00C31F20" w:rsidRPr="00906668" w:rsidRDefault="00C31F20" w:rsidP="00C31F20">
      <w:pPr>
        <w:pStyle w:val="NormalHanging12a"/>
      </w:pPr>
      <w:r w:rsidRPr="00906668">
        <w:lastRenderedPageBreak/>
        <w:t>–</w:t>
      </w:r>
      <w:r w:rsidRPr="00906668">
        <w:tab/>
        <w:t>като взе предвид член 115, параграфи 2 и 3 от своя Правилник за дейността,</w:t>
      </w:r>
    </w:p>
    <w:p w14:paraId="7FFD28C8" w14:textId="77777777" w:rsidR="00C31F20" w:rsidRPr="00906668" w:rsidRDefault="00C31F20" w:rsidP="00C31F20">
      <w:pPr>
        <w:pStyle w:val="NormalHanging12a"/>
      </w:pPr>
      <w:r w:rsidRPr="00906668">
        <w:t>–</w:t>
      </w:r>
      <w:r w:rsidRPr="00906668">
        <w:tab/>
        <w:t>като взе предвид предложението за резолюция на комисията по околна среда, климат и безопасност на храните,</w:t>
      </w:r>
    </w:p>
    <w:p w14:paraId="2E1286DB" w14:textId="77777777" w:rsidR="00C31F20" w:rsidRPr="00906668" w:rsidRDefault="00C31F20" w:rsidP="00C31F20">
      <w:pPr>
        <w:pStyle w:val="NormalHanging12a"/>
        <w:ind w:hanging="570"/>
      </w:pPr>
      <w:r w:rsidRPr="00906668">
        <w:t>А.</w:t>
      </w:r>
      <w:r w:rsidRPr="00906668">
        <w:tab/>
        <w:t xml:space="preserve">като има предвид, че на 20 декември 2019 г. в съответствие с членове 5 и 17 от Регламент (ЕО) № 1829/2003 </w:t>
      </w:r>
      <w:proofErr w:type="spellStart"/>
      <w:r w:rsidRPr="00906668">
        <w:t>Perseus</w:t>
      </w:r>
      <w:proofErr w:type="spellEnd"/>
      <w:r w:rsidRPr="00906668">
        <w:t xml:space="preserve"> BV, със седалище в Белгия, подаде от името на </w:t>
      </w:r>
      <w:proofErr w:type="spellStart"/>
      <w:r w:rsidRPr="00906668">
        <w:t>Beijing</w:t>
      </w:r>
      <w:proofErr w:type="spellEnd"/>
      <w:r w:rsidRPr="00906668">
        <w:t xml:space="preserve"> </w:t>
      </w:r>
      <w:proofErr w:type="spellStart"/>
      <w:r w:rsidRPr="00906668">
        <w:t>DaBeiNong</w:t>
      </w:r>
      <w:proofErr w:type="spellEnd"/>
      <w:r w:rsidRPr="00906668">
        <w:t xml:space="preserve"> </w:t>
      </w:r>
      <w:proofErr w:type="spellStart"/>
      <w:r w:rsidRPr="00906668">
        <w:t>Biotechnology</w:t>
      </w:r>
      <w:proofErr w:type="spellEnd"/>
      <w:r w:rsidRPr="00906668">
        <w:t xml:space="preserve"> Co., </w:t>
      </w:r>
      <w:proofErr w:type="spellStart"/>
      <w:r w:rsidRPr="00906668">
        <w:t>Ltd</w:t>
      </w:r>
      <w:proofErr w:type="spellEnd"/>
      <w:r w:rsidRPr="00906668">
        <w:t xml:space="preserve">., със седалище в Китай, </w:t>
      </w:r>
      <w:r w:rsidRPr="00906668">
        <w:rPr>
          <w:snapToGrid w:val="0"/>
        </w:rPr>
        <w:t>заявление до националния компетентен орган на Белгия за</w:t>
      </w:r>
      <w:r w:rsidRPr="00906668">
        <w:t xml:space="preserve"> пускане на пазара на храни, хранителни съставки и фуражи, съдържащи, състоящи се или произведени от генетично модифицирана соя DBN-09004-6 („генетично модифицирана соя“); като има предвид, че заявлението се отнася също и за пускането на пазара на продукти, съдържащи или състоящи се от генетично модифицирана соя за употреба, различна от употребата като храни и фуражи, с изключение на отглеждането;</w:t>
      </w:r>
    </w:p>
    <w:p w14:paraId="17CC3F53" w14:textId="77777777" w:rsidR="00C31F20" w:rsidRPr="00906668" w:rsidRDefault="00C31F20" w:rsidP="00C31F20">
      <w:pPr>
        <w:pStyle w:val="NormalHanging12a"/>
        <w:ind w:hanging="570"/>
      </w:pPr>
      <w:bookmarkStart w:id="8" w:name="_Hlk218675754"/>
      <w:r w:rsidRPr="00906668">
        <w:t>Б.</w:t>
      </w:r>
      <w:r w:rsidRPr="00906668">
        <w:tab/>
        <w:t xml:space="preserve">като има предвид, че на 7 юли 2025 г. ЕОБХ издаде положително научно становище в съответствие с членове 6 и 18 от Регламент (ЕО) № 1829/2003, в което стигна до заключението, че генетично модифицираната соя, описана в заявлението, е толкова безопасна, колкото и конвенционалното ѝ съответствие и изпитаните генетично немодифицирани референтни сортове соя по отношение на потенциалното въздействие върху здравето на човека и на животните и върху околната среда; като има предвид, че в това становище не са разгледани няколко по-широки екологични, социално-икономически и кумулативни въздействия, за </w:t>
      </w:r>
      <w:r w:rsidRPr="00906668">
        <w:lastRenderedPageBreak/>
        <w:t>които ЕОБХ счита, че попадат извън обхвата на неговата компетентност;</w:t>
      </w:r>
    </w:p>
    <w:p w14:paraId="11A61CBC" w14:textId="77777777" w:rsidR="00C31F20" w:rsidRPr="00906668" w:rsidRDefault="00C31F20" w:rsidP="00C31F20">
      <w:pPr>
        <w:pStyle w:val="NormalHanging12a"/>
        <w:ind w:hanging="570"/>
      </w:pPr>
      <w:r w:rsidRPr="00906668">
        <w:t>В.</w:t>
      </w:r>
      <w:r w:rsidRPr="00906668">
        <w:tab/>
        <w:t xml:space="preserve">като има предвид, че генетично модифицираната соя е разработена така, че да придава устойчивост към </w:t>
      </w:r>
      <w:proofErr w:type="spellStart"/>
      <w:r w:rsidRPr="00906668">
        <w:t>глуфосината</w:t>
      </w:r>
      <w:proofErr w:type="spellEnd"/>
      <w:r w:rsidRPr="00906668">
        <w:t xml:space="preserve"> и </w:t>
      </w:r>
      <w:proofErr w:type="spellStart"/>
      <w:r w:rsidRPr="00906668">
        <w:t>глифосата</w:t>
      </w:r>
      <w:proofErr w:type="spellEnd"/>
      <w:r w:rsidRPr="00906668">
        <w:t>;</w:t>
      </w:r>
    </w:p>
    <w:bookmarkEnd w:id="8"/>
    <w:p w14:paraId="2CA91A03" w14:textId="77777777" w:rsidR="00C31F20" w:rsidRPr="00906668" w:rsidRDefault="00C31F20" w:rsidP="00C31F20">
      <w:pPr>
        <w:pStyle w:val="NormalHanging12a"/>
      </w:pPr>
      <w:r w:rsidRPr="00906668">
        <w:t>Г.</w:t>
      </w:r>
      <w:r w:rsidRPr="00906668">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соя;</w:t>
      </w:r>
    </w:p>
    <w:p w14:paraId="6E57A407" w14:textId="77777777" w:rsidR="00C31F20" w:rsidRPr="00906668" w:rsidRDefault="00C31F20" w:rsidP="00C31F20">
      <w:pPr>
        <w:pStyle w:val="NormalHanging12a"/>
        <w:rPr>
          <w:color w:val="000000" w:themeColor="text1"/>
          <w:szCs w:val="24"/>
        </w:rPr>
      </w:pPr>
      <w:r w:rsidRPr="00906668">
        <w:rPr>
          <w:color w:val="000000" w:themeColor="text1"/>
        </w:rPr>
        <w:t>Д.</w:t>
      </w:r>
      <w:r w:rsidRPr="00906668">
        <w:rPr>
          <w:color w:val="000000" w:themeColor="text1"/>
        </w:rPr>
        <w:tab/>
      </w:r>
      <w:r w:rsidRPr="00906668">
        <w:t xml:space="preserve">като има предвид, че по-голямата част от генетично модифицираните култури, включително генетично модифицираната соя,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w:t>
      </w:r>
      <w:r w:rsidRPr="00906668">
        <w:rPr>
          <w:color w:val="000000" w:themeColor="text1"/>
        </w:rPr>
        <w:t>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906668">
        <w:rPr>
          <w:rStyle w:val="FootnoteReference"/>
          <w:color w:val="000000" w:themeColor="text1"/>
          <w:szCs w:val="24"/>
        </w:rPr>
        <w:footnoteReference w:id="5"/>
      </w:r>
      <w:r w:rsidRPr="00906668">
        <w:rPr>
          <w:color w:val="000000" w:themeColor="text1"/>
        </w:rPr>
        <w:t>;</w:t>
      </w:r>
    </w:p>
    <w:p w14:paraId="333C9090" w14:textId="77777777" w:rsidR="00C31F20" w:rsidRPr="00906668" w:rsidRDefault="00C31F20" w:rsidP="00C31F20">
      <w:pPr>
        <w:spacing w:after="240"/>
        <w:ind w:left="567" w:hanging="567"/>
        <w:rPr>
          <w:color w:val="000000" w:themeColor="text1"/>
          <w:szCs w:val="24"/>
        </w:rPr>
      </w:pPr>
      <w:r w:rsidRPr="00906668">
        <w:t>Е.</w:t>
      </w:r>
      <w:r w:rsidRPr="00906668">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w:t>
      </w:r>
      <w:r w:rsidRPr="00906668">
        <w:rPr>
          <w:color w:val="000000" w:themeColor="text1"/>
        </w:rPr>
        <w:t xml:space="preserve"> като има предвид, че засилената зависимост от добавъчните хербициди в земеделските стопанства, в които се засажда генетично модифицираната соя,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r w:rsidRPr="00906668">
        <w:rPr>
          <w:rStyle w:val="FootnoteReference"/>
          <w:color w:val="000000" w:themeColor="text1"/>
          <w:szCs w:val="24"/>
        </w:rPr>
        <w:footnoteReference w:id="6"/>
      </w:r>
      <w:r w:rsidRPr="00906668">
        <w:rPr>
          <w:color w:val="000000" w:themeColor="text1"/>
        </w:rPr>
        <w:t>;</w:t>
      </w:r>
    </w:p>
    <w:p w14:paraId="3582AD12" w14:textId="77777777" w:rsidR="00C31F20" w:rsidRPr="00906668" w:rsidRDefault="00C31F20" w:rsidP="00C31F20">
      <w:pPr>
        <w:pStyle w:val="NormalWeb"/>
        <w:widowControl w:val="0"/>
        <w:spacing w:before="0" w:beforeAutospacing="0" w:after="240" w:afterAutospacing="0"/>
        <w:ind w:left="567" w:hanging="567"/>
      </w:pPr>
      <w:r w:rsidRPr="00906668">
        <w:t>Ж.</w:t>
      </w:r>
      <w:r w:rsidRPr="00906668">
        <w:tab/>
        <w:t xml:space="preserve">като има предвид, че </w:t>
      </w:r>
      <w:proofErr w:type="spellStart"/>
      <w:r w:rsidRPr="00906668">
        <w:t>глуфосинатът</w:t>
      </w:r>
      <w:proofErr w:type="spellEnd"/>
      <w:r w:rsidRPr="00906668">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w:t>
      </w:r>
      <w:r w:rsidRPr="00906668">
        <w:lastRenderedPageBreak/>
        <w:t>Съвета</w:t>
      </w:r>
      <w:r w:rsidRPr="00906668">
        <w:rPr>
          <w:rStyle w:val="FootnoteReference"/>
        </w:rPr>
        <w:footnoteReference w:id="7"/>
      </w:r>
      <w:r w:rsidRPr="00906668">
        <w:t xml:space="preserve">; като има предвид, че одобрението за използване на </w:t>
      </w:r>
      <w:proofErr w:type="spellStart"/>
      <w:r w:rsidRPr="00906668">
        <w:t>глуфосинат</w:t>
      </w:r>
      <w:proofErr w:type="spellEnd"/>
      <w:r w:rsidRPr="00906668">
        <w:t xml:space="preserve"> в Съюза изтече на 31 юли 2018 г.;</w:t>
      </w:r>
    </w:p>
    <w:p w14:paraId="71364D53" w14:textId="77777777" w:rsidR="00C31F20" w:rsidRPr="00906668" w:rsidRDefault="00C31F20" w:rsidP="00C31F20">
      <w:pPr>
        <w:pStyle w:val="NormalHanging12a"/>
      </w:pPr>
      <w:r w:rsidRPr="00906668">
        <w:t>З.</w:t>
      </w:r>
      <w:r w:rsidRPr="00906668">
        <w:tab/>
        <w:t xml:space="preserve">като има предвид, че остават сериозни неизяснени въпроси относно канцерогенността на </w:t>
      </w:r>
      <w:proofErr w:type="spellStart"/>
      <w:r w:rsidRPr="00906668">
        <w:t>глифосата</w:t>
      </w:r>
      <w:proofErr w:type="spellEnd"/>
      <w:r w:rsidRPr="00906668">
        <w:t xml:space="preserve">; като има предвид, че през ноември 2015 г. ЕОБХ заключи, че е малко вероятно </w:t>
      </w:r>
      <w:proofErr w:type="spellStart"/>
      <w:r w:rsidRPr="00906668">
        <w:t>глифосатът</w:t>
      </w:r>
      <w:proofErr w:type="spellEnd"/>
      <w:r w:rsidRPr="00906668">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906668">
        <w:t>глифосата</w:t>
      </w:r>
      <w:proofErr w:type="spellEnd"/>
      <w:r w:rsidRPr="00906668">
        <w:t xml:space="preserve"> като вещество, което вероятно е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906668">
        <w:t>глифосата</w:t>
      </w:r>
      <w:proofErr w:type="spellEnd"/>
      <w:r w:rsidRPr="00906668">
        <w:rPr>
          <w:rStyle w:val="FootnoteReference"/>
        </w:rPr>
        <w:footnoteReference w:id="8"/>
      </w:r>
      <w:r w:rsidRPr="00906668">
        <w:t>; като има предвид, че списанието „</w:t>
      </w:r>
      <w:proofErr w:type="spellStart"/>
      <w:r w:rsidRPr="00906668">
        <w:t>Regulatory</w:t>
      </w:r>
      <w:proofErr w:type="spellEnd"/>
      <w:r w:rsidRPr="00906668">
        <w:t xml:space="preserve"> </w:t>
      </w:r>
      <w:proofErr w:type="spellStart"/>
      <w:r w:rsidRPr="00906668">
        <w:t>Toxicology</w:t>
      </w:r>
      <w:proofErr w:type="spellEnd"/>
      <w:r w:rsidRPr="00906668">
        <w:t xml:space="preserve"> </w:t>
      </w:r>
      <w:proofErr w:type="spellStart"/>
      <w:r w:rsidRPr="00906668">
        <w:t>and</w:t>
      </w:r>
      <w:proofErr w:type="spellEnd"/>
      <w:r w:rsidRPr="00906668">
        <w:t xml:space="preserve"> </w:t>
      </w:r>
      <w:proofErr w:type="spellStart"/>
      <w:r w:rsidRPr="00906668">
        <w:t>Pharmacology</w:t>
      </w:r>
      <w:proofErr w:type="spellEnd"/>
      <w:r w:rsidRPr="00906668">
        <w:t xml:space="preserve">“ официално оттегли научния документ „Safety </w:t>
      </w:r>
      <w:proofErr w:type="spellStart"/>
      <w:r w:rsidRPr="00906668">
        <w:t>Evaluation</w:t>
      </w:r>
      <w:proofErr w:type="spellEnd"/>
      <w:r w:rsidRPr="00906668">
        <w:t xml:space="preserve"> </w:t>
      </w:r>
      <w:proofErr w:type="spellStart"/>
      <w:r w:rsidRPr="00906668">
        <w:t>and</w:t>
      </w:r>
      <w:proofErr w:type="spellEnd"/>
      <w:r w:rsidRPr="00906668">
        <w:t xml:space="preserve"> </w:t>
      </w:r>
      <w:proofErr w:type="spellStart"/>
      <w:r w:rsidRPr="00906668">
        <w:t>Risk</w:t>
      </w:r>
      <w:proofErr w:type="spellEnd"/>
      <w:r w:rsidRPr="00906668">
        <w:t xml:space="preserve"> </w:t>
      </w:r>
      <w:proofErr w:type="spellStart"/>
      <w:r w:rsidRPr="00906668">
        <w:t>Assessment</w:t>
      </w:r>
      <w:proofErr w:type="spellEnd"/>
      <w:r w:rsidRPr="00906668">
        <w:t xml:space="preserve"> </w:t>
      </w:r>
      <w:proofErr w:type="spellStart"/>
      <w:r w:rsidRPr="00906668">
        <w:t>of</w:t>
      </w:r>
      <w:proofErr w:type="spellEnd"/>
      <w:r w:rsidRPr="00906668">
        <w:t xml:space="preserve"> </w:t>
      </w:r>
      <w:proofErr w:type="spellStart"/>
      <w:r w:rsidRPr="00906668">
        <w:t>the</w:t>
      </w:r>
      <w:proofErr w:type="spellEnd"/>
      <w:r w:rsidRPr="00906668">
        <w:t xml:space="preserve"> </w:t>
      </w:r>
      <w:proofErr w:type="spellStart"/>
      <w:r w:rsidRPr="00906668">
        <w:t>Herbicide</w:t>
      </w:r>
      <w:proofErr w:type="spellEnd"/>
      <w:r w:rsidRPr="00906668">
        <w:t xml:space="preserve"> </w:t>
      </w:r>
      <w:proofErr w:type="spellStart"/>
      <w:r w:rsidRPr="00906668">
        <w:t>Roundup</w:t>
      </w:r>
      <w:proofErr w:type="spellEnd"/>
      <w:r w:rsidRPr="00906668">
        <w:t xml:space="preserve"> </w:t>
      </w:r>
      <w:proofErr w:type="spellStart"/>
      <w:r w:rsidRPr="00906668">
        <w:t>and</w:t>
      </w:r>
      <w:proofErr w:type="spellEnd"/>
      <w:r w:rsidRPr="00906668">
        <w:t xml:space="preserve"> </w:t>
      </w:r>
      <w:proofErr w:type="spellStart"/>
      <w:r w:rsidRPr="00906668">
        <w:t>Its</w:t>
      </w:r>
      <w:proofErr w:type="spellEnd"/>
      <w:r w:rsidRPr="00906668">
        <w:t xml:space="preserve"> </w:t>
      </w:r>
      <w:proofErr w:type="spellStart"/>
      <w:r w:rsidRPr="00906668">
        <w:t>Active</w:t>
      </w:r>
      <w:proofErr w:type="spellEnd"/>
      <w:r w:rsidRPr="00906668">
        <w:t xml:space="preserve"> </w:t>
      </w:r>
      <w:proofErr w:type="spellStart"/>
      <w:r w:rsidRPr="00906668">
        <w:t>Ingredient</w:t>
      </w:r>
      <w:proofErr w:type="spellEnd"/>
      <w:r w:rsidRPr="00906668">
        <w:t xml:space="preserve">, </w:t>
      </w:r>
      <w:proofErr w:type="spellStart"/>
      <w:r w:rsidRPr="00906668">
        <w:t>Glyphosate</w:t>
      </w:r>
      <w:proofErr w:type="spellEnd"/>
      <w:r w:rsidRPr="00906668">
        <w:t xml:space="preserve">, </w:t>
      </w:r>
      <w:proofErr w:type="spellStart"/>
      <w:r w:rsidRPr="00906668">
        <w:t>for</w:t>
      </w:r>
      <w:proofErr w:type="spellEnd"/>
      <w:r w:rsidRPr="00906668">
        <w:t xml:space="preserve"> </w:t>
      </w:r>
      <w:proofErr w:type="spellStart"/>
      <w:r w:rsidRPr="00906668">
        <w:t>Humans</w:t>
      </w:r>
      <w:proofErr w:type="spellEnd"/>
      <w:r w:rsidRPr="00906668">
        <w:t xml:space="preserve">“ (Оценка на безопасността и на риска за хората от хербицида </w:t>
      </w:r>
      <w:proofErr w:type="spellStart"/>
      <w:r w:rsidRPr="00906668">
        <w:t>Roundup</w:t>
      </w:r>
      <w:proofErr w:type="spellEnd"/>
      <w:r w:rsidRPr="00906668">
        <w:t xml:space="preserve"> и неговата активна съставка </w:t>
      </w:r>
      <w:proofErr w:type="spellStart"/>
      <w:r w:rsidRPr="00906668">
        <w:t>глифосат</w:t>
      </w:r>
      <w:proofErr w:type="spellEnd"/>
      <w:r w:rsidRPr="00906668">
        <w:t xml:space="preserve">), публикуван през 2000 г., който беше използван за защита на безопасността на </w:t>
      </w:r>
      <w:proofErr w:type="spellStart"/>
      <w:r w:rsidRPr="00906668">
        <w:t>глифосата</w:t>
      </w:r>
      <w:proofErr w:type="spellEnd"/>
      <w:r w:rsidRPr="00906668">
        <w:t xml:space="preserve"> в много оценки на риска, тъй като „бяха изразени опасения относно неговото авторство, валидността на констатациите от научните изследвания в контекста на погрешното представяне на приноса на авторите и спонсора на проучването и потенциалните конфликти на интереси на авторите“</w:t>
      </w:r>
      <w:r w:rsidRPr="00906668">
        <w:rPr>
          <w:rStyle w:val="FootnoteReference"/>
        </w:rPr>
        <w:footnoteReference w:id="9"/>
      </w:r>
      <w:r w:rsidRPr="00906668">
        <w:t>;</w:t>
      </w:r>
    </w:p>
    <w:p w14:paraId="4B41556C" w14:textId="77777777" w:rsidR="00C31F20" w:rsidRPr="00906668" w:rsidRDefault="00C31F20" w:rsidP="00C31F20">
      <w:pPr>
        <w:pStyle w:val="NormalHanging12a"/>
      </w:pPr>
      <w:r w:rsidRPr="00906668">
        <w:t>И.</w:t>
      </w:r>
      <w:r w:rsidRPr="00906668">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906668">
        <w:t>опрашителите</w:t>
      </w:r>
      <w:proofErr w:type="spellEnd"/>
      <w:r w:rsidRPr="00906668">
        <w:t xml:space="preserve"> и нецелевите организми продължава да бъде недостатъчно гарантиран;</w:t>
      </w:r>
    </w:p>
    <w:p w14:paraId="2476FC35" w14:textId="77777777" w:rsidR="00C31F20" w:rsidRPr="00906668" w:rsidRDefault="00C31F20" w:rsidP="00C31F20">
      <w:pPr>
        <w:spacing w:after="240"/>
        <w:ind w:left="567" w:hanging="567"/>
      </w:pPr>
      <w:r w:rsidRPr="00906668">
        <w:t>Й.</w:t>
      </w:r>
      <w:r w:rsidRPr="00906668">
        <w:tab/>
        <w:t>като има предвид, че при научна несигурност следва да се прилага принципът на предпазливост, установен в член 191 от Договора за функционирането на Европейския съюз;</w:t>
      </w:r>
    </w:p>
    <w:p w14:paraId="03B64D48" w14:textId="77777777" w:rsidR="00C31F20" w:rsidRPr="00906668" w:rsidRDefault="00C31F20" w:rsidP="00C31F20">
      <w:pPr>
        <w:spacing w:after="240"/>
        <w:ind w:left="567" w:hanging="567"/>
      </w:pPr>
      <w:r w:rsidRPr="00906668">
        <w:t>К.</w:t>
      </w:r>
      <w:r w:rsidRPr="00906668">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03BF7656" w14:textId="77777777" w:rsidR="00C31F20" w:rsidRPr="00906668" w:rsidRDefault="00C31F20" w:rsidP="00C31F20">
      <w:pPr>
        <w:pStyle w:val="NormalWeb"/>
        <w:widowControl w:val="0"/>
        <w:spacing w:before="0" w:beforeAutospacing="0" w:after="240" w:afterAutospacing="0"/>
        <w:ind w:left="567" w:hanging="567"/>
      </w:pPr>
      <w:r w:rsidRPr="00906668">
        <w:t>Л.</w:t>
      </w:r>
      <w:r w:rsidRPr="00906668">
        <w:tab/>
        <w:t xml:space="preserve">като има предвид, че разрешаването на генетично модифицираната соя от страна на Съюза не би било в съответствие с международните ангажименти за </w:t>
      </w:r>
      <w:r w:rsidRPr="00906668">
        <w:lastRenderedPageBreak/>
        <w:t>намаляване на пестицидите</w:t>
      </w:r>
      <w:r w:rsidRPr="00906668">
        <w:rPr>
          <w:vertAlign w:val="superscript"/>
        </w:rPr>
        <w:footnoteReference w:id="10"/>
      </w:r>
      <w:r w:rsidRPr="00906668">
        <w:t xml:space="preserve">, като се има предвид повишената експозиция на хората, животните и околната среда на </w:t>
      </w:r>
      <w:proofErr w:type="spellStart"/>
      <w:r w:rsidRPr="00906668">
        <w:t>глифосат</w:t>
      </w:r>
      <w:proofErr w:type="spellEnd"/>
      <w:r w:rsidRPr="00906668">
        <w:t xml:space="preserve"> и </w:t>
      </w:r>
      <w:proofErr w:type="spellStart"/>
      <w:r w:rsidRPr="00906668">
        <w:t>глуфосинат</w:t>
      </w:r>
      <w:proofErr w:type="spellEnd"/>
      <w:r w:rsidRPr="00906668">
        <w:t xml:space="preserve"> в държавите, в които се отглежда тази устойчива на хербициди генно модифицирана култура, заедно с потенциално сериозните последици за здравето в тази връзка;</w:t>
      </w:r>
    </w:p>
    <w:p w14:paraId="632B770A" w14:textId="77777777" w:rsidR="00C31F20" w:rsidRPr="00906668" w:rsidRDefault="00C31F20" w:rsidP="00C31F20">
      <w:pPr>
        <w:spacing w:after="240"/>
        <w:ind w:left="567" w:hanging="567"/>
      </w:pPr>
      <w:r w:rsidRPr="00906668">
        <w:t>М.</w:t>
      </w:r>
      <w:r w:rsidRPr="00906668">
        <w:tab/>
        <w:t>като има предвид, че проекторешението за изпълнение на Комисията ще позволи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1582A482" w14:textId="77777777" w:rsidR="00C31F20" w:rsidRPr="00906668" w:rsidRDefault="00C31F20" w:rsidP="00C31F20">
      <w:pPr>
        <w:spacing w:after="240"/>
        <w:ind w:left="567" w:hanging="567"/>
      </w:pPr>
      <w:r w:rsidRPr="00906668">
        <w:t>Н.</w:t>
      </w:r>
      <w:r w:rsidRPr="00906668">
        <w:tab/>
        <w:t>като има предвид, че в заключенията на стратегическия диалог относно бъдещето на селското стопанство в ЕС</w:t>
      </w:r>
      <w:r w:rsidRPr="00906668">
        <w:rPr>
          <w:rStyle w:val="FootnoteReference"/>
        </w:rPr>
        <w:footnoteReference w:id="11"/>
      </w:r>
      <w:r w:rsidRPr="00906668">
        <w:t xml:space="preserve"> Комисията се призовава да преразгледа своя подход към достъпа до пазара за вноса и износа на селскостопански хранителни продукти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14:paraId="4FEDDBF4" w14:textId="77777777" w:rsidR="00C31F20" w:rsidRPr="00906668" w:rsidRDefault="00C31F20" w:rsidP="00C31F20">
      <w:pPr>
        <w:spacing w:after="240"/>
        <w:ind w:left="567" w:hanging="567"/>
      </w:pPr>
      <w:r w:rsidRPr="00906668">
        <w:t>О.</w:t>
      </w:r>
      <w:r w:rsidRPr="00906668">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731BF97A" w14:textId="77777777" w:rsidR="00C31F20" w:rsidRPr="00906668" w:rsidRDefault="00C31F20" w:rsidP="00C31F20">
      <w:pPr>
        <w:pStyle w:val="NormalWeb"/>
        <w:widowControl w:val="0"/>
        <w:shd w:val="clear" w:color="auto" w:fill="FFFFFF"/>
        <w:spacing w:before="0" w:beforeAutospacing="0" w:after="240" w:afterAutospacing="0"/>
        <w:ind w:left="567" w:hanging="567"/>
        <w:rPr>
          <w:color w:val="000000" w:themeColor="text1"/>
        </w:rPr>
      </w:pPr>
      <w:r w:rsidRPr="00906668">
        <w:rPr>
          <w:color w:val="000000" w:themeColor="text1"/>
        </w:rPr>
        <w:t>П.</w:t>
      </w:r>
      <w:r w:rsidRPr="00906668">
        <w:rPr>
          <w:color w:val="000000" w:themeColor="text1"/>
        </w:rPr>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133EB55C" w14:textId="77777777" w:rsidR="00C31F20" w:rsidRPr="00906668" w:rsidRDefault="00C31F20" w:rsidP="00C31F20">
      <w:pPr>
        <w:spacing w:after="240"/>
        <w:ind w:left="567" w:hanging="567"/>
      </w:pPr>
      <w:r w:rsidRPr="00906668">
        <w:t>Р.</w:t>
      </w:r>
      <w:r w:rsidRPr="00906668">
        <w:tab/>
        <w:t>като има предвид, че подходът „Едно здраве“ изисква при оценката на дългосрочната устойчивост и безопасност на ГМО да се взима предвид взаимозависимостта между здравето на хората, животните, растенията и околната среда;</w:t>
      </w:r>
    </w:p>
    <w:p w14:paraId="67C03D99" w14:textId="3AE2F75B" w:rsidR="00C31F20" w:rsidRPr="00906668" w:rsidRDefault="00C31F20" w:rsidP="00C31F20">
      <w:pPr>
        <w:spacing w:after="240"/>
        <w:ind w:left="567" w:hanging="567"/>
      </w:pPr>
      <w:r w:rsidRPr="00906668">
        <w:t>С.</w:t>
      </w:r>
      <w:r w:rsidRPr="00906668">
        <w:tab/>
        <w:t xml:space="preserve">като има предвид, че тази резолюция ще бъде </w:t>
      </w:r>
      <w:r w:rsidR="007B1976">
        <w:t xml:space="preserve">почти </w:t>
      </w:r>
      <w:r w:rsidRPr="00906668">
        <w:t xml:space="preserve">100-тната резолюция, с която Европейският парламент възразява срещу разрешаването на вноса на генетично модифицирани култури; </w:t>
      </w:r>
    </w:p>
    <w:p w14:paraId="5507F2BE" w14:textId="77777777" w:rsidR="00C31F20" w:rsidRPr="00906668" w:rsidRDefault="00C31F20" w:rsidP="00C31F20">
      <w:pPr>
        <w:pStyle w:val="NormalHanging12a"/>
      </w:pPr>
      <w:r w:rsidRPr="00906668">
        <w:t>1.</w:t>
      </w:r>
      <w:r w:rsidRPr="00906668">
        <w:tab/>
        <w:t>счита, че проектът на решение за изпълнение на Комисията превишава изпълнителните правомощия, предвидени в Регламент (ЕО) № 1829/2003;</w:t>
      </w:r>
    </w:p>
    <w:p w14:paraId="2CF84CE6" w14:textId="77777777" w:rsidR="00C31F20" w:rsidRPr="00906668" w:rsidRDefault="00C31F20" w:rsidP="00C31F20">
      <w:pPr>
        <w:pStyle w:val="NormalHanging12a"/>
      </w:pPr>
      <w:bookmarkStart w:id="9" w:name="_Hlk218675825"/>
      <w:r w:rsidRPr="00906668">
        <w:t>2.</w:t>
      </w:r>
      <w:r w:rsidRPr="00906668">
        <w:tab/>
        <w:t xml:space="preserve">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w:t>
      </w:r>
      <w:r w:rsidRPr="00906668">
        <w:lastRenderedPageBreak/>
        <w:t>определени в Регламент (ЕО) № 178/2002 на Европейския парламент и Съвета</w:t>
      </w:r>
      <w:r w:rsidRPr="00906668">
        <w:rPr>
          <w:vertAlign w:val="superscript"/>
        </w:rPr>
        <w:footnoteReference w:id="12"/>
      </w:r>
      <w:r w:rsidRPr="00906668">
        <w:t xml:space="preserve">, е да се предвиди основата за гарантиране на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 </w:t>
      </w:r>
    </w:p>
    <w:bookmarkEnd w:id="9"/>
    <w:p w14:paraId="4CAAE048" w14:textId="77777777" w:rsidR="00C31F20" w:rsidRPr="00906668" w:rsidRDefault="00C31F20" w:rsidP="00C31F20">
      <w:pPr>
        <w:pStyle w:val="NormalHanging12a"/>
      </w:pPr>
      <w:r w:rsidRPr="00906668">
        <w:t>3.</w:t>
      </w:r>
      <w:r w:rsidRPr="00906668">
        <w:tab/>
        <w:t>отправя искане към Комисията да оттегли своя проект на решение за изпълнение;</w:t>
      </w:r>
    </w:p>
    <w:p w14:paraId="526B03FF" w14:textId="77777777" w:rsidR="00C31F20" w:rsidRPr="00906668" w:rsidRDefault="00C31F20" w:rsidP="00C31F20">
      <w:pPr>
        <w:spacing w:after="240"/>
        <w:ind w:left="567" w:hanging="567"/>
      </w:pPr>
      <w:r w:rsidRPr="00906668">
        <w:t>4.</w:t>
      </w:r>
      <w:r w:rsidRPr="00906668">
        <w:tab/>
        <w:t>призовава Комисията да не разрешава генетично модифицираната соя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6E851F4E" w14:textId="77777777" w:rsidR="00C31F20" w:rsidRPr="00906668" w:rsidRDefault="00C31F20" w:rsidP="00C31F20">
      <w:pPr>
        <w:spacing w:after="240"/>
        <w:ind w:left="567" w:hanging="567"/>
      </w:pPr>
      <w:bookmarkStart w:id="10" w:name="_Hlk210900300"/>
      <w:r w:rsidRPr="00906668">
        <w:t>5.</w:t>
      </w:r>
      <w:r w:rsidRPr="00906668">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0"/>
      <w:r w:rsidRPr="00906668">
        <w:t>;</w:t>
      </w:r>
    </w:p>
    <w:p w14:paraId="040EF318" w14:textId="77777777" w:rsidR="00C31F20" w:rsidRPr="00906668" w:rsidRDefault="00C31F20" w:rsidP="00C31F20">
      <w:pPr>
        <w:spacing w:after="240"/>
        <w:ind w:left="567" w:hanging="567"/>
      </w:pPr>
      <w:bookmarkStart w:id="11" w:name="_Hlk210900241"/>
      <w:r w:rsidRPr="00906668">
        <w:t>6.</w:t>
      </w:r>
      <w:r w:rsidRPr="00906668">
        <w:tab/>
        <w:t xml:space="preserve">подчертава във връзка с това, че разрешаването на вноса за употреба като храни, фуражи или продукти на генетично модифицирани растения, при които е създадена устойчивост на забранени в Съюза хербициди, като например </w:t>
      </w:r>
      <w:proofErr w:type="spellStart"/>
      <w:r w:rsidRPr="00906668">
        <w:t>глуфосинат</w:t>
      </w:r>
      <w:proofErr w:type="spellEnd"/>
      <w:r w:rsidRPr="00906668">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906668">
        <w:t>неравнопоставени</w:t>
      </w:r>
      <w:proofErr w:type="spellEnd"/>
      <w:r w:rsidRPr="00906668">
        <w:t xml:space="preserve"> условия на конкуренция за земеделските стопани в Съюза;</w:t>
      </w:r>
      <w:bookmarkEnd w:id="11"/>
    </w:p>
    <w:p w14:paraId="4C9087A8" w14:textId="3860C966" w:rsidR="00906668" w:rsidRPr="00906668" w:rsidRDefault="00C31F20" w:rsidP="00906668">
      <w:pPr>
        <w:pStyle w:val="NormalHanging12a"/>
      </w:pPr>
      <w:r w:rsidRPr="00906668">
        <w:t>7.</w:t>
      </w:r>
      <w:r w:rsidRPr="00906668">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2CCA60AC" w14:textId="55BE96C5" w:rsidR="00E365E1" w:rsidRPr="00906668" w:rsidRDefault="00E365E1" w:rsidP="00712997"/>
    <w:sectPr w:rsidR="00E365E1" w:rsidRPr="00906668" w:rsidSect="009066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712B5" w14:textId="77777777" w:rsidR="00712997" w:rsidRPr="00906668" w:rsidRDefault="00712997">
      <w:r w:rsidRPr="00906668">
        <w:separator/>
      </w:r>
    </w:p>
  </w:endnote>
  <w:endnote w:type="continuationSeparator" w:id="0">
    <w:p w14:paraId="497D8A34" w14:textId="77777777" w:rsidR="00712997" w:rsidRPr="00906668" w:rsidRDefault="00712997">
      <w:r w:rsidRPr="00906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C1E4" w14:textId="77777777" w:rsidR="00064002" w:rsidRPr="009066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F577" w14:textId="77777777" w:rsidR="00064002" w:rsidRPr="009066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9F3C" w14:textId="77777777" w:rsidR="00064002" w:rsidRPr="009066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0300F" w14:textId="77777777" w:rsidR="00712997" w:rsidRPr="00906668" w:rsidRDefault="00712997">
      <w:r w:rsidRPr="00906668">
        <w:separator/>
      </w:r>
    </w:p>
  </w:footnote>
  <w:footnote w:type="continuationSeparator" w:id="0">
    <w:p w14:paraId="3C779F21" w14:textId="77777777" w:rsidR="00712997" w:rsidRPr="00906668" w:rsidRDefault="00712997">
      <w:r w:rsidRPr="00906668">
        <w:continuationSeparator/>
      </w:r>
    </w:p>
  </w:footnote>
  <w:footnote w:id="1">
    <w:p w14:paraId="25F655F9" w14:textId="66425BAE"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ОВ L 268, 18.10.2003 г., стр. 1, ELI: </w:t>
      </w:r>
      <w:hyperlink r:id="rId1" w:history="1">
        <w:r w:rsidRPr="00906668">
          <w:rPr>
            <w:rStyle w:val="Hyperlink"/>
            <w:sz w:val="24"/>
            <w:lang w:val="bg-BG"/>
          </w:rPr>
          <w:t>http://data.europa.eu/eli/reg/2003/1829/oj</w:t>
        </w:r>
      </w:hyperlink>
      <w:r w:rsidRPr="00906668">
        <w:rPr>
          <w:sz w:val="24"/>
          <w:u w:val="single"/>
          <w:lang w:val="bg-BG"/>
        </w:rPr>
        <w:t>.</w:t>
      </w:r>
    </w:p>
  </w:footnote>
  <w:footnote w:id="2">
    <w:p w14:paraId="764CEC59" w14:textId="0A50971D"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ОВ L 55, 28.2.2011 г., стр. 13, ELI: </w:t>
      </w:r>
      <w:hyperlink r:id="rId2" w:history="1">
        <w:r w:rsidRPr="00906668">
          <w:rPr>
            <w:rStyle w:val="Hyperlink"/>
            <w:sz w:val="24"/>
            <w:lang w:val="bg-BG"/>
          </w:rPr>
          <w:t>http://data.europa.eu/eli/reg/2011/182/oj</w:t>
        </w:r>
      </w:hyperlink>
      <w:r w:rsidRPr="00906668">
        <w:rPr>
          <w:rStyle w:val="Hyperlink"/>
          <w:sz w:val="24"/>
          <w:lang w:val="bg-BG"/>
        </w:rPr>
        <w:t>.</w:t>
      </w:r>
    </w:p>
  </w:footnote>
  <w:footnote w:id="3">
    <w:p w14:paraId="001409B2" w14:textId="43F7586B"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соя DBN9004 (заявление EFSA-GMO-BE-2019-165)“, EFSA </w:t>
      </w:r>
      <w:proofErr w:type="spellStart"/>
      <w:r w:rsidRPr="00906668">
        <w:rPr>
          <w:sz w:val="24"/>
          <w:lang w:val="bg-BG"/>
        </w:rPr>
        <w:t>Journal</w:t>
      </w:r>
      <w:proofErr w:type="spellEnd"/>
      <w:r w:rsidRPr="00906668">
        <w:rPr>
          <w:sz w:val="24"/>
          <w:lang w:val="bg-BG"/>
        </w:rPr>
        <w:t xml:space="preserve"> (Бюлетин на ЕОБХ), 2025 г.; 23(7):e9503, </w:t>
      </w:r>
      <w:hyperlink r:id="rId3" w:history="1">
        <w:r w:rsidRPr="00906668">
          <w:rPr>
            <w:rStyle w:val="Hyperlink"/>
            <w:sz w:val="24"/>
            <w:lang w:val="bg-BG"/>
          </w:rPr>
          <w:t>https://doi.org/10.2903/j.efsa.2025.9503</w:t>
        </w:r>
      </w:hyperlink>
      <w:r w:rsidRPr="00906668">
        <w:rPr>
          <w:sz w:val="24"/>
          <w:lang w:val="bg-BG"/>
        </w:rPr>
        <w:t xml:space="preserve">. </w:t>
      </w:r>
    </w:p>
  </w:footnote>
  <w:footnote w:id="4">
    <w:p w14:paraId="1BC4B2C7" w14:textId="60192162" w:rsidR="00C31F20" w:rsidRPr="00906668" w:rsidRDefault="00C31F20" w:rsidP="00906668">
      <w:pPr>
        <w:pStyle w:val="FootnoteText"/>
        <w:ind w:left="567" w:hanging="567"/>
        <w:rPr>
          <w:sz w:val="24"/>
          <w:vertAlign w:val="superscript"/>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640B5036" w14:textId="2A952557"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C31F20" w:rsidRPr="00906668">
          <w:rPr>
            <w:rStyle w:val="Hyperlink"/>
            <w:sz w:val="24"/>
            <w:lang w:val="bg-BG"/>
          </w:rPr>
          <w:t>http://data.europa.eu/eli/C/2025/1797/oj</w:t>
        </w:r>
      </w:hyperlink>
      <w:r w:rsidR="00C31F20" w:rsidRPr="00906668">
        <w:rPr>
          <w:sz w:val="24"/>
          <w:lang w:val="bg-BG"/>
        </w:rPr>
        <w:t>).</w:t>
      </w:r>
    </w:p>
    <w:p w14:paraId="21111FE1" w14:textId="6E5B10D9" w:rsidR="00C31F20" w:rsidRPr="00906668" w:rsidRDefault="00906668" w:rsidP="00906668">
      <w:pPr>
        <w:pStyle w:val="FootnoteText"/>
        <w:keepN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C31F20" w:rsidRPr="00906668">
          <w:rPr>
            <w:rStyle w:val="Hyperlink"/>
            <w:sz w:val="24"/>
            <w:lang w:val="bg-BG"/>
          </w:rPr>
          <w:t>http://data.europa.eu/eli/C/2025/1798/oj</w:t>
        </w:r>
      </w:hyperlink>
      <w:r w:rsidR="00C31F20" w:rsidRPr="00906668">
        <w:rPr>
          <w:sz w:val="24"/>
          <w:lang w:val="bg-BG"/>
        </w:rPr>
        <w:t>).</w:t>
      </w:r>
    </w:p>
    <w:p w14:paraId="2900C2AC" w14:textId="08F076B3"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00C31F20" w:rsidRPr="00906668">
        <w:rPr>
          <w:sz w:val="24"/>
          <w:lang w:val="bg-BG"/>
        </w:rPr>
        <w:t>подкомбинации</w:t>
      </w:r>
      <w:proofErr w:type="spellEnd"/>
      <w:r w:rsidR="00C31F20" w:rsidRPr="00906668">
        <w:rPr>
          <w:sz w:val="24"/>
          <w:lang w:val="bg-BG"/>
        </w:rPr>
        <w:t>, в съответствие с Регламент (ЕО) № 1829/2003 на Европейския парламент и на Съвета (ОВ C, C/2025/1799, 4.4.2025 г., ELI: </w:t>
      </w:r>
      <w:hyperlink r:id="rId6" w:history="1">
        <w:r w:rsidR="00C31F20" w:rsidRPr="00906668">
          <w:rPr>
            <w:rStyle w:val="Hyperlink"/>
            <w:sz w:val="24"/>
            <w:lang w:val="bg-BG"/>
          </w:rPr>
          <w:t>http://data.europa.eu/eli/C/2025/1799/oj</w:t>
        </w:r>
      </w:hyperlink>
      <w:r w:rsidR="00C31F20" w:rsidRPr="00906668">
        <w:rPr>
          <w:sz w:val="24"/>
          <w:lang w:val="bg-BG"/>
        </w:rPr>
        <w:t>).</w:t>
      </w:r>
    </w:p>
    <w:p w14:paraId="1D390259" w14:textId="6A19F3C0"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C31F20" w:rsidRPr="00906668">
          <w:rPr>
            <w:rStyle w:val="Hyperlink"/>
            <w:sz w:val="24"/>
            <w:lang w:val="bg-BG"/>
          </w:rPr>
          <w:t>http://data.europa.eu/eli/C/2025/1800/oj</w:t>
        </w:r>
      </w:hyperlink>
      <w:r w:rsidR="00C31F20" w:rsidRPr="00906668">
        <w:rPr>
          <w:sz w:val="24"/>
          <w:lang w:val="bg-BG"/>
        </w:rPr>
        <w:t>).</w:t>
      </w:r>
    </w:p>
    <w:p w14:paraId="2F1BDD36" w14:textId="7003E294"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C31F20" w:rsidRPr="00906668">
          <w:rPr>
            <w:rStyle w:val="Hyperlink"/>
            <w:sz w:val="24"/>
            <w:lang w:val="bg-BG"/>
          </w:rPr>
          <w:t>http://data.europa.eu/eli/C/2025/1801/oj</w:t>
        </w:r>
      </w:hyperlink>
      <w:r w:rsidR="00C31F20" w:rsidRPr="00906668">
        <w:rPr>
          <w:sz w:val="24"/>
          <w:lang w:val="bg-BG"/>
        </w:rPr>
        <w:t>).</w:t>
      </w:r>
    </w:p>
    <w:p w14:paraId="5B022207" w14:textId="1BDED137"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hyperlink r:id="rId9" w:history="1">
        <w:r w:rsidR="00C31F20" w:rsidRPr="00906668">
          <w:rPr>
            <w:rStyle w:val="Hyperlink"/>
            <w:sz w:val="24"/>
            <w:lang w:val="bg-BG"/>
          </w:rPr>
          <w:t>http://data.europa.eu/eli/C/2025/1802/oj</w:t>
        </w:r>
      </w:hyperlink>
      <w:r w:rsidR="00C31F20" w:rsidRPr="00906668">
        <w:rPr>
          <w:sz w:val="24"/>
          <w:lang w:val="bg-BG"/>
        </w:rPr>
        <w:t>).</w:t>
      </w:r>
    </w:p>
    <w:p w14:paraId="7BE05655" w14:textId="62653625"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C31F20" w:rsidRPr="00906668">
          <w:rPr>
            <w:rStyle w:val="Hyperlink"/>
            <w:sz w:val="24"/>
            <w:lang w:val="bg-BG"/>
          </w:rPr>
          <w:t>http://data.europa.eu/eli/C/2025/1803/oj</w:t>
        </w:r>
      </w:hyperlink>
      <w:r w:rsidR="00C31F20" w:rsidRPr="00906668">
        <w:rPr>
          <w:sz w:val="24"/>
          <w:lang w:val="bg-BG"/>
        </w:rPr>
        <w:t>).</w:t>
      </w:r>
    </w:p>
    <w:p w14:paraId="685CFB61" w14:textId="7089CDC8"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1" w:history="1">
        <w:r w:rsidR="00C31F20" w:rsidRPr="00906668">
          <w:rPr>
            <w:rStyle w:val="Hyperlink"/>
            <w:sz w:val="24"/>
            <w:lang w:val="bg-BG"/>
          </w:rPr>
          <w:t>http://data.europa.eu/eli/C/2025/1804/oj</w:t>
        </w:r>
      </w:hyperlink>
      <w:r w:rsidR="00C31F20" w:rsidRPr="00906668">
        <w:rPr>
          <w:sz w:val="24"/>
          <w:lang w:val="bg-BG"/>
        </w:rPr>
        <w:t>).</w:t>
      </w:r>
    </w:p>
    <w:p w14:paraId="5224A5DC" w14:textId="64FCC3EA"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ELI URI." w:history="1">
        <w:r w:rsidR="00C31F20" w:rsidRPr="00906668">
          <w:rPr>
            <w:rStyle w:val="Hyperlink"/>
            <w:sz w:val="24"/>
            <w:lang w:val="bg-BG"/>
          </w:rPr>
          <w:t>http://data.europa.eu/eli/C/2025/2246/oj</w:t>
        </w:r>
      </w:hyperlink>
      <w:r w:rsidR="00C31F20" w:rsidRPr="00906668">
        <w:rPr>
          <w:sz w:val="24"/>
          <w:lang w:val="bg-BG"/>
        </w:rPr>
        <w:t>).</w:t>
      </w:r>
    </w:p>
    <w:p w14:paraId="62FBB8CB" w14:textId="7C0DEFE1"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3" w:history="1">
        <w:r w:rsidR="00C31F20" w:rsidRPr="00906668">
          <w:rPr>
            <w:rStyle w:val="Hyperlink"/>
            <w:sz w:val="24"/>
            <w:lang w:val="bg-BG"/>
          </w:rPr>
          <w:t>http://data.europa.eu/eli/C/2025/2247/oj</w:t>
        </w:r>
      </w:hyperlink>
      <w:r w:rsidR="00C31F20" w:rsidRPr="00906668">
        <w:rPr>
          <w:sz w:val="24"/>
          <w:lang w:val="bg-BG"/>
        </w:rPr>
        <w:t>).</w:t>
      </w:r>
    </w:p>
    <w:p w14:paraId="6DED35B6" w14:textId="1145E93B"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P10_TA(2025)0106).</w:t>
      </w:r>
    </w:p>
    <w:p w14:paraId="40326B85" w14:textId="0D482F08"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P10_TA(2025)0222).</w:t>
      </w:r>
    </w:p>
    <w:p w14:paraId="6953B670" w14:textId="5FF91E00"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P10_TA(2025)0288).</w:t>
      </w:r>
    </w:p>
    <w:p w14:paraId="4B8AE0D2" w14:textId="41B76225"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P10_TA(2025)0289).</w:t>
      </w:r>
    </w:p>
    <w:p w14:paraId="29DFB4FA" w14:textId="29C9A27D"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P10_TA(2025)0290).</w:t>
      </w:r>
    </w:p>
    <w:p w14:paraId="062EA8C0" w14:textId="16E231E9"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P10_TA(2025)0291).</w:t>
      </w:r>
    </w:p>
    <w:p w14:paraId="470C7DA1" w14:textId="7BCB69FB"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P10_TA(2025)0292).</w:t>
      </w:r>
    </w:p>
    <w:p w14:paraId="453C65F3" w14:textId="509C4C1B" w:rsidR="00C31F20" w:rsidRPr="00906668" w:rsidRDefault="00906668" w:rsidP="00906668">
      <w:pPr>
        <w:pStyle w:val="FootnoteText"/>
        <w:ind w:left="567" w:hanging="567"/>
        <w:rPr>
          <w:sz w:val="24"/>
          <w:vertAlign w:val="superscript"/>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P10_TA(2025)0327).</w:t>
      </w:r>
    </w:p>
    <w:p w14:paraId="391FFAA9" w14:textId="18D8ACA5" w:rsidR="00C31F20" w:rsidRPr="00906668" w:rsidRDefault="00906668" w:rsidP="00906668">
      <w:pPr>
        <w:pStyle w:val="FootnoteText"/>
        <w:ind w:left="567" w:hanging="567"/>
        <w:rPr>
          <w:sz w:val="24"/>
          <w:lang w:val="bg-BG"/>
        </w:rPr>
      </w:pPr>
      <w:r w:rsidRPr="00906668">
        <w:rPr>
          <w:sz w:val="24"/>
          <w:lang w:val="bg-BG"/>
        </w:rPr>
        <w:t xml:space="preserve"> </w:t>
      </w:r>
      <w:r w:rsidRPr="00906668">
        <w:rPr>
          <w:sz w:val="24"/>
          <w:lang w:val="bg-BG"/>
        </w:rPr>
        <w:tab/>
      </w:r>
      <w:r w:rsidR="00C31F20" w:rsidRPr="00906668">
        <w:rPr>
          <w:sz w:val="24"/>
          <w:lang w:val="bg-BG"/>
        </w:rPr>
        <w:t>–</w:t>
      </w:r>
      <w:r w:rsidR="00C31F20" w:rsidRPr="00906668">
        <w:rPr>
          <w:sz w:val="24"/>
          <w:lang w:val="bg-BG"/>
        </w:rPr>
        <w:tab/>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w:t>
      </w:r>
      <w:r w:rsidR="00CB6B44">
        <w:rPr>
          <w:sz w:val="24"/>
          <w:lang w:val="bg-BG"/>
        </w:rPr>
        <w:t xml:space="preserve">Приети текстове, </w:t>
      </w:r>
      <w:r w:rsidR="00C31F20" w:rsidRPr="00906668">
        <w:rPr>
          <w:sz w:val="24"/>
          <w:lang w:val="bg-BG"/>
        </w:rPr>
        <w:t>P10_TA(2025)0328).</w:t>
      </w:r>
    </w:p>
  </w:footnote>
  <w:footnote w:id="5">
    <w:p w14:paraId="1AE00801" w14:textId="26775F79"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shd w:val="clear" w:color="auto" w:fill="FFFFFF"/>
          <w:lang w:val="bg-BG"/>
        </w:rPr>
        <w:t xml:space="preserve"> </w:t>
      </w:r>
      <w:r w:rsidR="00906668" w:rsidRPr="00906668">
        <w:rPr>
          <w:sz w:val="24"/>
          <w:shd w:val="clear" w:color="auto" w:fill="FFFFFF"/>
          <w:lang w:val="bg-BG"/>
        </w:rPr>
        <w:tab/>
      </w:r>
      <w:r w:rsidRPr="00906668">
        <w:rPr>
          <w:sz w:val="24"/>
          <w:shd w:val="clear" w:color="auto" w:fill="FFFFFF"/>
          <w:lang w:val="bg-BG"/>
        </w:rPr>
        <w:t xml:space="preserve">Вж. например </w:t>
      </w:r>
      <w:proofErr w:type="spellStart"/>
      <w:r w:rsidRPr="00906668">
        <w:rPr>
          <w:sz w:val="24"/>
          <w:shd w:val="clear" w:color="auto" w:fill="FFFFFF"/>
          <w:lang w:val="bg-BG"/>
        </w:rPr>
        <w:t>Bonny</w:t>
      </w:r>
      <w:proofErr w:type="spellEnd"/>
      <w:r w:rsidRPr="00906668">
        <w:rPr>
          <w:sz w:val="24"/>
          <w:shd w:val="clear" w:color="auto" w:fill="FFFFFF"/>
          <w:lang w:val="bg-BG"/>
        </w:rPr>
        <w:t>, S., „</w:t>
      </w:r>
      <w:proofErr w:type="spellStart"/>
      <w:r w:rsidRPr="00906668">
        <w:rPr>
          <w:sz w:val="24"/>
          <w:shd w:val="clear" w:color="auto" w:fill="FFFFFF"/>
          <w:lang w:val="bg-BG"/>
        </w:rPr>
        <w:t>Genetically</w:t>
      </w:r>
      <w:proofErr w:type="spellEnd"/>
      <w:r w:rsidRPr="00906668">
        <w:rPr>
          <w:sz w:val="24"/>
          <w:shd w:val="clear" w:color="auto" w:fill="FFFFFF"/>
          <w:lang w:val="bg-BG"/>
        </w:rPr>
        <w:t xml:space="preserve"> </w:t>
      </w:r>
      <w:proofErr w:type="spellStart"/>
      <w:r w:rsidRPr="00906668">
        <w:rPr>
          <w:sz w:val="24"/>
          <w:shd w:val="clear" w:color="auto" w:fill="FFFFFF"/>
          <w:lang w:val="bg-BG"/>
        </w:rPr>
        <w:t>Modified</w:t>
      </w:r>
      <w:proofErr w:type="spellEnd"/>
      <w:r w:rsidRPr="00906668">
        <w:rPr>
          <w:sz w:val="24"/>
          <w:shd w:val="clear" w:color="auto" w:fill="FFFFFF"/>
          <w:lang w:val="bg-BG"/>
        </w:rPr>
        <w:t xml:space="preserve"> </w:t>
      </w:r>
      <w:proofErr w:type="spellStart"/>
      <w:r w:rsidRPr="00906668">
        <w:rPr>
          <w:sz w:val="24"/>
          <w:shd w:val="clear" w:color="auto" w:fill="FFFFFF"/>
          <w:lang w:val="bg-BG"/>
        </w:rPr>
        <w:t>Herbicide-Tolerant</w:t>
      </w:r>
      <w:proofErr w:type="spellEnd"/>
      <w:r w:rsidRPr="00906668">
        <w:rPr>
          <w:sz w:val="24"/>
          <w:shd w:val="clear" w:color="auto" w:fill="FFFFFF"/>
          <w:lang w:val="bg-BG"/>
        </w:rPr>
        <w:t xml:space="preserve"> </w:t>
      </w:r>
      <w:proofErr w:type="spellStart"/>
      <w:r w:rsidRPr="00906668">
        <w:rPr>
          <w:sz w:val="24"/>
          <w:shd w:val="clear" w:color="auto" w:fill="FFFFFF"/>
          <w:lang w:val="bg-BG"/>
        </w:rPr>
        <w:t>Crops</w:t>
      </w:r>
      <w:proofErr w:type="spellEnd"/>
      <w:r w:rsidRPr="00906668">
        <w:rPr>
          <w:sz w:val="24"/>
          <w:shd w:val="clear" w:color="auto" w:fill="FFFFFF"/>
          <w:lang w:val="bg-BG"/>
        </w:rPr>
        <w:t xml:space="preserve">, </w:t>
      </w:r>
      <w:proofErr w:type="spellStart"/>
      <w:r w:rsidRPr="00906668">
        <w:rPr>
          <w:sz w:val="24"/>
          <w:shd w:val="clear" w:color="auto" w:fill="FFFFFF"/>
          <w:lang w:val="bg-BG"/>
        </w:rPr>
        <w:t>Weeds</w:t>
      </w:r>
      <w:proofErr w:type="spellEnd"/>
      <w:r w:rsidRPr="00906668">
        <w:rPr>
          <w:sz w:val="24"/>
          <w:shd w:val="clear" w:color="auto" w:fill="FFFFFF"/>
          <w:lang w:val="bg-BG"/>
        </w:rPr>
        <w:t xml:space="preserve">, </w:t>
      </w:r>
      <w:proofErr w:type="spellStart"/>
      <w:r w:rsidRPr="00906668">
        <w:rPr>
          <w:sz w:val="24"/>
          <w:shd w:val="clear" w:color="auto" w:fill="FFFFFF"/>
          <w:lang w:val="bg-BG"/>
        </w:rPr>
        <w:t>and</w:t>
      </w:r>
      <w:proofErr w:type="spellEnd"/>
      <w:r w:rsidRPr="00906668">
        <w:rPr>
          <w:sz w:val="24"/>
          <w:shd w:val="clear" w:color="auto" w:fill="FFFFFF"/>
          <w:lang w:val="bg-BG"/>
        </w:rPr>
        <w:t xml:space="preserve"> </w:t>
      </w:r>
      <w:proofErr w:type="spellStart"/>
      <w:r w:rsidRPr="00906668">
        <w:rPr>
          <w:sz w:val="24"/>
          <w:shd w:val="clear" w:color="auto" w:fill="FFFFFF"/>
          <w:lang w:val="bg-BG"/>
        </w:rPr>
        <w:t>Herbicides</w:t>
      </w:r>
      <w:proofErr w:type="spellEnd"/>
      <w:r w:rsidRPr="00906668">
        <w:rPr>
          <w:sz w:val="24"/>
          <w:shd w:val="clear" w:color="auto" w:fill="FFFFFF"/>
          <w:lang w:val="bg-BG"/>
        </w:rPr>
        <w:t xml:space="preserve">: </w:t>
      </w:r>
      <w:proofErr w:type="spellStart"/>
      <w:r w:rsidRPr="00906668">
        <w:rPr>
          <w:sz w:val="24"/>
          <w:shd w:val="clear" w:color="auto" w:fill="FFFFFF"/>
          <w:lang w:val="bg-BG"/>
        </w:rPr>
        <w:t>Overview</w:t>
      </w:r>
      <w:proofErr w:type="spellEnd"/>
      <w:r w:rsidRPr="00906668">
        <w:rPr>
          <w:sz w:val="24"/>
          <w:shd w:val="clear" w:color="auto" w:fill="FFFFFF"/>
          <w:lang w:val="bg-BG"/>
        </w:rPr>
        <w:t xml:space="preserve"> </w:t>
      </w:r>
      <w:proofErr w:type="spellStart"/>
      <w:r w:rsidRPr="00906668">
        <w:rPr>
          <w:sz w:val="24"/>
          <w:shd w:val="clear" w:color="auto" w:fill="FFFFFF"/>
          <w:lang w:val="bg-BG"/>
        </w:rPr>
        <w:t>and</w:t>
      </w:r>
      <w:proofErr w:type="spellEnd"/>
      <w:r w:rsidRPr="00906668">
        <w:rPr>
          <w:sz w:val="24"/>
          <w:shd w:val="clear" w:color="auto" w:fill="FFFFFF"/>
          <w:lang w:val="bg-BG"/>
        </w:rPr>
        <w:t xml:space="preserve"> </w:t>
      </w:r>
      <w:proofErr w:type="spellStart"/>
      <w:r w:rsidRPr="00906668">
        <w:rPr>
          <w:sz w:val="24"/>
          <w:shd w:val="clear" w:color="auto" w:fill="FFFFFF"/>
          <w:lang w:val="bg-BG"/>
        </w:rPr>
        <w:t>Impact</w:t>
      </w:r>
      <w:proofErr w:type="spellEnd"/>
      <w:r w:rsidRPr="00906668">
        <w:rPr>
          <w:sz w:val="24"/>
          <w:shd w:val="clear" w:color="auto" w:fill="FFFFFF"/>
          <w:lang w:val="bg-BG"/>
        </w:rPr>
        <w:t xml:space="preserve">“ (Устойчиви на хербициди генетично модифицирани култури, плевели и хербициди: преглед и въздействие), </w:t>
      </w:r>
      <w:proofErr w:type="spellStart"/>
      <w:r w:rsidRPr="00906668">
        <w:rPr>
          <w:sz w:val="24"/>
          <w:shd w:val="clear" w:color="auto" w:fill="FFFFFF"/>
          <w:lang w:val="bg-BG"/>
        </w:rPr>
        <w:t>Environmental</w:t>
      </w:r>
      <w:proofErr w:type="spellEnd"/>
      <w:r w:rsidRPr="00906668">
        <w:rPr>
          <w:sz w:val="24"/>
          <w:shd w:val="clear" w:color="auto" w:fill="FFFFFF"/>
          <w:lang w:val="bg-BG"/>
        </w:rPr>
        <w:t xml:space="preserve"> </w:t>
      </w:r>
      <w:proofErr w:type="spellStart"/>
      <w:r w:rsidRPr="00906668">
        <w:rPr>
          <w:sz w:val="24"/>
          <w:shd w:val="clear" w:color="auto" w:fill="FFFFFF"/>
          <w:lang w:val="bg-BG"/>
        </w:rPr>
        <w:t>Management</w:t>
      </w:r>
      <w:proofErr w:type="spellEnd"/>
      <w:r w:rsidRPr="00906668">
        <w:rPr>
          <w:sz w:val="24"/>
          <w:shd w:val="clear" w:color="auto" w:fill="FFFFFF"/>
          <w:lang w:val="bg-BG"/>
        </w:rPr>
        <w:t xml:space="preserve">, януари 2016 г.; 57(1), стр. 31 – 48, </w:t>
      </w:r>
      <w:hyperlink r:id="rId14" w:history="1">
        <w:r w:rsidRPr="00906668">
          <w:rPr>
            <w:rStyle w:val="Hyperlink"/>
            <w:sz w:val="24"/>
            <w:shd w:val="clear" w:color="auto" w:fill="FFFFFF"/>
            <w:lang w:val="bg-BG"/>
          </w:rPr>
          <w:t>https://doi.org/10.1007/s00267-015-0589-7</w:t>
        </w:r>
      </w:hyperlink>
      <w:r w:rsidRPr="00906668">
        <w:rPr>
          <w:sz w:val="24"/>
          <w:shd w:val="clear" w:color="auto" w:fill="FFFFFF"/>
          <w:lang w:val="bg-BG"/>
        </w:rPr>
        <w:t xml:space="preserve">, и </w:t>
      </w:r>
      <w:proofErr w:type="spellStart"/>
      <w:r w:rsidRPr="00906668">
        <w:rPr>
          <w:sz w:val="24"/>
          <w:shd w:val="clear" w:color="auto" w:fill="FFFFFF"/>
          <w:lang w:val="bg-BG"/>
        </w:rPr>
        <w:t>Benbrook</w:t>
      </w:r>
      <w:proofErr w:type="spellEnd"/>
      <w:r w:rsidRPr="00906668">
        <w:rPr>
          <w:sz w:val="24"/>
          <w:shd w:val="clear" w:color="auto" w:fill="FFFFFF"/>
          <w:lang w:val="bg-BG"/>
        </w:rPr>
        <w:t>, C. M., „</w:t>
      </w:r>
      <w:proofErr w:type="spellStart"/>
      <w:r w:rsidRPr="00906668">
        <w:rPr>
          <w:sz w:val="24"/>
          <w:shd w:val="clear" w:color="auto" w:fill="FFFFFF"/>
          <w:lang w:val="bg-BG"/>
        </w:rPr>
        <w:t>Impacts</w:t>
      </w:r>
      <w:proofErr w:type="spellEnd"/>
      <w:r w:rsidRPr="00906668">
        <w:rPr>
          <w:sz w:val="24"/>
          <w:shd w:val="clear" w:color="auto" w:fill="FFFFFF"/>
          <w:lang w:val="bg-BG"/>
        </w:rPr>
        <w:t xml:space="preserve"> </w:t>
      </w:r>
      <w:proofErr w:type="spellStart"/>
      <w:r w:rsidRPr="00906668">
        <w:rPr>
          <w:sz w:val="24"/>
          <w:shd w:val="clear" w:color="auto" w:fill="FFFFFF"/>
          <w:lang w:val="bg-BG"/>
        </w:rPr>
        <w:t>of</w:t>
      </w:r>
      <w:proofErr w:type="spellEnd"/>
      <w:r w:rsidRPr="00906668">
        <w:rPr>
          <w:sz w:val="24"/>
          <w:shd w:val="clear" w:color="auto" w:fill="FFFFFF"/>
          <w:lang w:val="bg-BG"/>
        </w:rPr>
        <w:t xml:space="preserve"> </w:t>
      </w:r>
      <w:proofErr w:type="spellStart"/>
      <w:r w:rsidRPr="00906668">
        <w:rPr>
          <w:sz w:val="24"/>
          <w:shd w:val="clear" w:color="auto" w:fill="FFFFFF"/>
          <w:lang w:val="bg-BG"/>
        </w:rPr>
        <w:t>genetically</w:t>
      </w:r>
      <w:proofErr w:type="spellEnd"/>
      <w:r w:rsidRPr="00906668">
        <w:rPr>
          <w:sz w:val="24"/>
          <w:shd w:val="clear" w:color="auto" w:fill="FFFFFF"/>
          <w:lang w:val="bg-BG"/>
        </w:rPr>
        <w:t xml:space="preserve"> </w:t>
      </w:r>
      <w:proofErr w:type="spellStart"/>
      <w:r w:rsidRPr="00906668">
        <w:rPr>
          <w:sz w:val="24"/>
          <w:shd w:val="clear" w:color="auto" w:fill="FFFFFF"/>
          <w:lang w:val="bg-BG"/>
        </w:rPr>
        <w:t>enginered</w:t>
      </w:r>
      <w:proofErr w:type="spellEnd"/>
      <w:r w:rsidRPr="00906668">
        <w:rPr>
          <w:sz w:val="24"/>
          <w:shd w:val="clear" w:color="auto" w:fill="FFFFFF"/>
          <w:lang w:val="bg-BG"/>
        </w:rPr>
        <w:t xml:space="preserve"> </w:t>
      </w:r>
      <w:proofErr w:type="spellStart"/>
      <w:r w:rsidRPr="00906668">
        <w:rPr>
          <w:sz w:val="24"/>
          <w:shd w:val="clear" w:color="auto" w:fill="FFFFFF"/>
          <w:lang w:val="bg-BG"/>
        </w:rPr>
        <w:t>crops</w:t>
      </w:r>
      <w:proofErr w:type="spellEnd"/>
      <w:r w:rsidRPr="00906668">
        <w:rPr>
          <w:sz w:val="24"/>
          <w:shd w:val="clear" w:color="auto" w:fill="FFFFFF"/>
          <w:lang w:val="bg-BG"/>
        </w:rPr>
        <w:t xml:space="preserve"> </w:t>
      </w:r>
      <w:proofErr w:type="spellStart"/>
      <w:r w:rsidRPr="00906668">
        <w:rPr>
          <w:sz w:val="24"/>
          <w:shd w:val="clear" w:color="auto" w:fill="FFFFFF"/>
          <w:lang w:val="bg-BG"/>
        </w:rPr>
        <w:t>on</w:t>
      </w:r>
      <w:proofErr w:type="spellEnd"/>
      <w:r w:rsidRPr="00906668">
        <w:rPr>
          <w:sz w:val="24"/>
          <w:shd w:val="clear" w:color="auto" w:fill="FFFFFF"/>
          <w:lang w:val="bg-BG"/>
        </w:rPr>
        <w:t xml:space="preserve"> </w:t>
      </w:r>
      <w:proofErr w:type="spellStart"/>
      <w:r w:rsidRPr="00906668">
        <w:rPr>
          <w:sz w:val="24"/>
          <w:shd w:val="clear" w:color="auto" w:fill="FFFFFF"/>
          <w:lang w:val="bg-BG"/>
        </w:rPr>
        <w:t>pesticide</w:t>
      </w:r>
      <w:proofErr w:type="spellEnd"/>
      <w:r w:rsidRPr="00906668">
        <w:rPr>
          <w:sz w:val="24"/>
          <w:shd w:val="clear" w:color="auto" w:fill="FFFFFF"/>
          <w:lang w:val="bg-BG"/>
        </w:rPr>
        <w:t xml:space="preserve"> </w:t>
      </w:r>
      <w:proofErr w:type="spellStart"/>
      <w:r w:rsidRPr="00906668">
        <w:rPr>
          <w:sz w:val="24"/>
          <w:shd w:val="clear" w:color="auto" w:fill="FFFFFF"/>
          <w:lang w:val="bg-BG"/>
        </w:rPr>
        <w:t>use</w:t>
      </w:r>
      <w:proofErr w:type="spellEnd"/>
      <w:r w:rsidRPr="00906668">
        <w:rPr>
          <w:sz w:val="24"/>
          <w:shd w:val="clear" w:color="auto" w:fill="FFFFFF"/>
          <w:lang w:val="bg-BG"/>
        </w:rPr>
        <w:t xml:space="preserve"> </w:t>
      </w:r>
      <w:proofErr w:type="spellStart"/>
      <w:r w:rsidRPr="00906668">
        <w:rPr>
          <w:sz w:val="24"/>
          <w:shd w:val="clear" w:color="auto" w:fill="FFFFFF"/>
          <w:lang w:val="bg-BG"/>
        </w:rPr>
        <w:t>in</w:t>
      </w:r>
      <w:proofErr w:type="spellEnd"/>
      <w:r w:rsidRPr="00906668">
        <w:rPr>
          <w:sz w:val="24"/>
          <w:shd w:val="clear" w:color="auto" w:fill="FFFFFF"/>
          <w:lang w:val="bg-BG"/>
        </w:rPr>
        <w:t xml:space="preserve"> </w:t>
      </w:r>
      <w:proofErr w:type="spellStart"/>
      <w:r w:rsidRPr="00906668">
        <w:rPr>
          <w:sz w:val="24"/>
          <w:shd w:val="clear" w:color="auto" w:fill="FFFFFF"/>
          <w:lang w:val="bg-BG"/>
        </w:rPr>
        <w:t>the</w:t>
      </w:r>
      <w:proofErr w:type="spellEnd"/>
      <w:r w:rsidRPr="00906668">
        <w:rPr>
          <w:sz w:val="24"/>
          <w:shd w:val="clear" w:color="auto" w:fill="FFFFFF"/>
          <w:lang w:val="bg-BG"/>
        </w:rPr>
        <w:t xml:space="preserve"> U.S. – </w:t>
      </w:r>
      <w:proofErr w:type="spellStart"/>
      <w:r w:rsidRPr="00906668">
        <w:rPr>
          <w:sz w:val="24"/>
          <w:shd w:val="clear" w:color="auto" w:fill="FFFFFF"/>
          <w:lang w:val="bg-BG"/>
        </w:rPr>
        <w:t>the</w:t>
      </w:r>
      <w:proofErr w:type="spellEnd"/>
      <w:r w:rsidRPr="00906668">
        <w:rPr>
          <w:sz w:val="24"/>
          <w:shd w:val="clear" w:color="auto" w:fill="FFFFFF"/>
          <w:lang w:val="bg-BG"/>
        </w:rPr>
        <w:t xml:space="preserve"> </w:t>
      </w:r>
      <w:proofErr w:type="spellStart"/>
      <w:r w:rsidRPr="00906668">
        <w:rPr>
          <w:sz w:val="24"/>
          <w:shd w:val="clear" w:color="auto" w:fill="FFFFFF"/>
          <w:lang w:val="bg-BG"/>
        </w:rPr>
        <w:t>first</w:t>
      </w:r>
      <w:proofErr w:type="spellEnd"/>
      <w:r w:rsidRPr="00906668">
        <w:rPr>
          <w:sz w:val="24"/>
          <w:shd w:val="clear" w:color="auto" w:fill="FFFFFF"/>
          <w:lang w:val="bg-BG"/>
        </w:rPr>
        <w:t xml:space="preserve"> </w:t>
      </w:r>
      <w:proofErr w:type="spellStart"/>
      <w:r w:rsidRPr="00906668">
        <w:rPr>
          <w:sz w:val="24"/>
          <w:shd w:val="clear" w:color="auto" w:fill="FFFFFF"/>
          <w:lang w:val="bg-BG"/>
        </w:rPr>
        <w:t>sixteen</w:t>
      </w:r>
      <w:proofErr w:type="spellEnd"/>
      <w:r w:rsidRPr="00906668">
        <w:rPr>
          <w:sz w:val="24"/>
          <w:shd w:val="clear" w:color="auto" w:fill="FFFFFF"/>
          <w:lang w:val="bg-BG"/>
        </w:rPr>
        <w:t xml:space="preserve"> </w:t>
      </w:r>
      <w:proofErr w:type="spellStart"/>
      <w:r w:rsidRPr="00906668">
        <w:rPr>
          <w:sz w:val="24"/>
          <w:shd w:val="clear" w:color="auto" w:fill="FFFFFF"/>
          <w:lang w:val="bg-BG"/>
        </w:rPr>
        <w:t>years</w:t>
      </w:r>
      <w:proofErr w:type="spellEnd"/>
      <w:r w:rsidRPr="00906668">
        <w:rPr>
          <w:sz w:val="24"/>
          <w:shd w:val="clear" w:color="auto" w:fill="FFFFFF"/>
          <w:lang w:val="bg-BG"/>
        </w:rPr>
        <w:t xml:space="preserve">“ (Въздействия на културите, продукт на генно инженерство, върху употребата на пестициди в САЩ – първите шестнадесет години), </w:t>
      </w:r>
      <w:proofErr w:type="spellStart"/>
      <w:r w:rsidRPr="00906668">
        <w:rPr>
          <w:sz w:val="24"/>
          <w:shd w:val="clear" w:color="auto" w:fill="FFFFFF"/>
          <w:lang w:val="bg-BG"/>
        </w:rPr>
        <w:t>Environmental</w:t>
      </w:r>
      <w:proofErr w:type="spellEnd"/>
      <w:r w:rsidRPr="00906668">
        <w:rPr>
          <w:sz w:val="24"/>
          <w:shd w:val="clear" w:color="auto" w:fill="FFFFFF"/>
          <w:lang w:val="bg-BG"/>
        </w:rPr>
        <w:t xml:space="preserve"> </w:t>
      </w:r>
      <w:proofErr w:type="spellStart"/>
      <w:r w:rsidRPr="00906668">
        <w:rPr>
          <w:sz w:val="24"/>
          <w:shd w:val="clear" w:color="auto" w:fill="FFFFFF"/>
          <w:lang w:val="bg-BG"/>
        </w:rPr>
        <w:t>Sciences</w:t>
      </w:r>
      <w:proofErr w:type="spellEnd"/>
      <w:r w:rsidRPr="00906668">
        <w:rPr>
          <w:sz w:val="24"/>
          <w:shd w:val="clear" w:color="auto" w:fill="FFFFFF"/>
          <w:lang w:val="bg-BG"/>
        </w:rPr>
        <w:t xml:space="preserve"> </w:t>
      </w:r>
      <w:proofErr w:type="spellStart"/>
      <w:r w:rsidRPr="00906668">
        <w:rPr>
          <w:sz w:val="24"/>
          <w:shd w:val="clear" w:color="auto" w:fill="FFFFFF"/>
          <w:lang w:val="bg-BG"/>
        </w:rPr>
        <w:t>Europe</w:t>
      </w:r>
      <w:proofErr w:type="spellEnd"/>
      <w:r w:rsidRPr="00906668">
        <w:rPr>
          <w:sz w:val="24"/>
          <w:shd w:val="clear" w:color="auto" w:fill="FFFFFF"/>
          <w:lang w:val="bg-BG"/>
        </w:rPr>
        <w:t xml:space="preserve">; 28 септември 2012 г., том 24(1), </w:t>
      </w:r>
      <w:hyperlink r:id="rId15" w:history="1">
        <w:r w:rsidRPr="00906668">
          <w:rPr>
            <w:rStyle w:val="Hyperlink"/>
            <w:sz w:val="24"/>
            <w:lang w:val="bg-BG"/>
          </w:rPr>
          <w:t>https://doi.org/10.1186/2190-4715-24-24</w:t>
        </w:r>
      </w:hyperlink>
      <w:r w:rsidRPr="00906668">
        <w:rPr>
          <w:sz w:val="24"/>
          <w:lang w:val="bg-BG"/>
        </w:rPr>
        <w:t>.</w:t>
      </w:r>
      <w:r w:rsidRPr="00906668">
        <w:rPr>
          <w:sz w:val="24"/>
          <w:shd w:val="clear" w:color="auto" w:fill="FFFFFF"/>
          <w:lang w:val="bg-BG"/>
        </w:rPr>
        <w:t xml:space="preserve"> </w:t>
      </w:r>
    </w:p>
  </w:footnote>
  <w:footnote w:id="6">
    <w:p w14:paraId="1F9FC357" w14:textId="305D2EFD" w:rsidR="00C31F20" w:rsidRPr="00906668" w:rsidRDefault="00C31F20" w:rsidP="00906668">
      <w:pPr>
        <w:pStyle w:val="FootnoteText"/>
        <w:ind w:left="567" w:hanging="567"/>
        <w:rPr>
          <w:sz w:val="24"/>
          <w:shd w:val="clear" w:color="auto" w:fill="FFFFFF"/>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 xml:space="preserve">Вж. например: </w:t>
      </w:r>
      <w:hyperlink r:id="rId16" w:history="1">
        <w:r w:rsidRPr="00906668">
          <w:rPr>
            <w:rStyle w:val="Hyperlink"/>
            <w:sz w:val="24"/>
            <w:lang w:val="bg-BG"/>
          </w:rPr>
          <w:t>https://doi.org/10.1002/ps.8105</w:t>
        </w:r>
      </w:hyperlink>
      <w:r w:rsidRPr="00906668">
        <w:rPr>
          <w:sz w:val="24"/>
          <w:shd w:val="clear" w:color="auto" w:fill="FFFFFF"/>
          <w:lang w:val="bg-BG"/>
        </w:rPr>
        <w:t xml:space="preserve"> и </w:t>
      </w:r>
      <w:hyperlink r:id="rId17" w:history="1">
        <w:r w:rsidRPr="00906668">
          <w:rPr>
            <w:rStyle w:val="Hyperlink"/>
            <w:sz w:val="24"/>
            <w:lang w:val="bg-BG"/>
          </w:rPr>
          <w:t>https://doi.org/10.1016/j.geoforum.2009.03.009</w:t>
        </w:r>
      </w:hyperlink>
      <w:r w:rsidRPr="00906668">
        <w:rPr>
          <w:sz w:val="24"/>
          <w:lang w:val="bg-BG"/>
        </w:rPr>
        <w:t>.</w:t>
      </w:r>
    </w:p>
  </w:footnote>
  <w:footnote w:id="7">
    <w:p w14:paraId="4F15A431" w14:textId="21D87755"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18" w:history="1">
        <w:r w:rsidRPr="00906668">
          <w:rPr>
            <w:rStyle w:val="Hyperlink"/>
            <w:sz w:val="24"/>
            <w:lang w:val="bg-BG"/>
          </w:rPr>
          <w:t>http://data.europa.eu/eli/reg/2009/1107/oj</w:t>
        </w:r>
      </w:hyperlink>
      <w:r w:rsidRPr="00906668">
        <w:rPr>
          <w:sz w:val="24"/>
          <w:lang w:val="bg-BG"/>
        </w:rPr>
        <w:t>).</w:t>
      </w:r>
    </w:p>
  </w:footnote>
  <w:footnote w:id="8">
    <w:p w14:paraId="0C48BF80" w14:textId="151E2350"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 xml:space="preserve">Вж. например: </w:t>
      </w:r>
      <w:hyperlink r:id="rId19" w:history="1">
        <w:r w:rsidRPr="00906668">
          <w:rPr>
            <w:rStyle w:val="Hyperlink"/>
            <w:sz w:val="24"/>
            <w:lang w:val="bg-BG"/>
          </w:rPr>
          <w:t>https://doi.org/10.1016/j.mrrev.2019.02.001</w:t>
        </w:r>
      </w:hyperlink>
      <w:r w:rsidRPr="00906668">
        <w:rPr>
          <w:sz w:val="24"/>
          <w:lang w:val="bg-BG"/>
        </w:rPr>
        <w:t xml:space="preserve">, </w:t>
      </w:r>
      <w:hyperlink r:id="rId20" w:history="1">
        <w:r w:rsidRPr="00906668">
          <w:rPr>
            <w:rStyle w:val="Hyperlink"/>
            <w:sz w:val="24"/>
            <w:lang w:val="bg-BG"/>
          </w:rPr>
          <w:t>https://doi.org/10.1093/ije/dyz017</w:t>
        </w:r>
      </w:hyperlink>
      <w:r w:rsidRPr="00906668">
        <w:rPr>
          <w:sz w:val="24"/>
          <w:lang w:val="bg-BG"/>
        </w:rPr>
        <w:t xml:space="preserve">, </w:t>
      </w:r>
      <w:hyperlink r:id="rId21" w:history="1">
        <w:r w:rsidRPr="00906668">
          <w:rPr>
            <w:rStyle w:val="Hyperlink"/>
            <w:sz w:val="24"/>
            <w:lang w:val="bg-BG"/>
          </w:rPr>
          <w:t>https://doi.org/10.1371/journal.pone.0219610</w:t>
        </w:r>
      </w:hyperlink>
      <w:r w:rsidRPr="00906668">
        <w:rPr>
          <w:color w:val="0563C1" w:themeColor="hyperlink"/>
          <w:sz w:val="24"/>
          <w:u w:val="single"/>
          <w:lang w:val="bg-BG"/>
        </w:rPr>
        <w:t>,</w:t>
      </w:r>
      <w:r w:rsidRPr="00906668">
        <w:rPr>
          <w:sz w:val="24"/>
          <w:lang w:val="bg-BG"/>
        </w:rPr>
        <w:t xml:space="preserve"> и </w:t>
      </w:r>
      <w:hyperlink r:id="rId22" w:history="1">
        <w:r w:rsidRPr="00906668">
          <w:rPr>
            <w:rStyle w:val="Hyperlink"/>
            <w:sz w:val="24"/>
            <w:lang w:val="bg-BG"/>
          </w:rPr>
          <w:t>https://doi.org/10.1186/s13045-019-0767-9</w:t>
        </w:r>
      </w:hyperlink>
      <w:r w:rsidRPr="00906668">
        <w:rPr>
          <w:sz w:val="24"/>
          <w:lang w:val="bg-BG"/>
        </w:rPr>
        <w:t>.</w:t>
      </w:r>
    </w:p>
  </w:footnote>
  <w:footnote w:id="9">
    <w:p w14:paraId="5DE740DA" w14:textId="0E2191AA"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hyperlink r:id="rId23" w:history="1">
        <w:r w:rsidRPr="00906668">
          <w:rPr>
            <w:rStyle w:val="Hyperlink"/>
            <w:sz w:val="24"/>
            <w:lang w:val="bg-BG"/>
          </w:rPr>
          <w:t>https://doi.org/10.1006/rtph.1999.1371</w:t>
        </w:r>
      </w:hyperlink>
      <w:r w:rsidRPr="00906668">
        <w:rPr>
          <w:sz w:val="24"/>
          <w:lang w:val="bg-BG"/>
        </w:rPr>
        <w:t xml:space="preserve">. </w:t>
      </w:r>
    </w:p>
  </w:footnote>
  <w:footnote w:id="10">
    <w:p w14:paraId="0BAFE39C" w14:textId="0E11C5CF"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През декември 2022 г. на 15-ата конференция на страните по Конвенцията на ООН за биологичното разнообразие беше договорена глобална рамка за биологичното разнообразие, която включва глобална цел за намаляване на риска от пестициди с най-малко 50% до 2030 г. (вж.:</w:t>
      </w:r>
      <w:r w:rsidRPr="00906668">
        <w:rPr>
          <w:color w:val="000000" w:themeColor="text1"/>
          <w:sz w:val="24"/>
          <w:lang w:val="bg-BG"/>
        </w:rPr>
        <w:t xml:space="preserve"> </w:t>
      </w:r>
      <w:hyperlink r:id="rId24" w:history="1">
        <w:r w:rsidRPr="00906668">
          <w:rPr>
            <w:rStyle w:val="Hyperlink"/>
            <w:sz w:val="24"/>
            <w:lang w:val="bg-BG"/>
          </w:rPr>
          <w:t>https://ec.europa.eu/commission/presscorner/detail/bg/ip_22_7834</w:t>
        </w:r>
      </w:hyperlink>
      <w:r w:rsidRPr="00906668">
        <w:rPr>
          <w:sz w:val="24"/>
          <w:lang w:val="bg-BG"/>
        </w:rPr>
        <w:t>).</w:t>
      </w:r>
    </w:p>
  </w:footnote>
  <w:footnote w:id="11">
    <w:p w14:paraId="75BB872C" w14:textId="66AE74CD"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hyperlink r:id="rId25" w:history="1">
        <w:r w:rsidRPr="00906668">
          <w:rPr>
            <w:rStyle w:val="Hyperlink"/>
            <w:sz w:val="24"/>
            <w:lang w:val="bg-BG"/>
          </w:rPr>
          <w:t>https://commission.europa.eu/strategy-and-policy/priorities-2019-2024/european-green-deal/agriculture-and-green-deal/strategic-dialogue-future-eu-agriculture_bg</w:t>
        </w:r>
      </w:hyperlink>
      <w:r w:rsidRPr="00906668">
        <w:rPr>
          <w:rStyle w:val="Hyperlink"/>
          <w:sz w:val="24"/>
          <w:lang w:val="bg-BG"/>
        </w:rPr>
        <w:t>.</w:t>
      </w:r>
      <w:r w:rsidRPr="00906668">
        <w:rPr>
          <w:sz w:val="24"/>
          <w:lang w:val="bg-BG"/>
        </w:rPr>
        <w:t xml:space="preserve"> </w:t>
      </w:r>
    </w:p>
  </w:footnote>
  <w:footnote w:id="12">
    <w:p w14:paraId="363DA955" w14:textId="0169531E" w:rsidR="00C31F20" w:rsidRPr="00906668" w:rsidRDefault="00C31F20" w:rsidP="00906668">
      <w:pPr>
        <w:pStyle w:val="FootnoteText"/>
        <w:ind w:left="567" w:hanging="567"/>
        <w:rPr>
          <w:sz w:val="24"/>
          <w:lang w:val="bg-BG"/>
        </w:rPr>
      </w:pPr>
      <w:r w:rsidRPr="00906668">
        <w:rPr>
          <w:rStyle w:val="FootnoteReference"/>
          <w:sz w:val="24"/>
          <w:lang w:val="bg-BG"/>
        </w:rPr>
        <w:footnoteRef/>
      </w:r>
      <w:r w:rsidR="00906668" w:rsidRPr="00906668">
        <w:rPr>
          <w:sz w:val="24"/>
          <w:lang w:val="bg-BG"/>
        </w:rPr>
        <w:t xml:space="preserve"> </w:t>
      </w:r>
      <w:r w:rsidR="00906668" w:rsidRPr="00906668">
        <w:rPr>
          <w:sz w:val="24"/>
          <w:lang w:val="bg-BG"/>
        </w:rPr>
        <w:tab/>
      </w:r>
      <w:r w:rsidRPr="00906668">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w:t>
      </w:r>
      <w:r w:rsidRPr="00906668">
        <w:rPr>
          <w:color w:val="000000" w:themeColor="text1"/>
          <w:sz w:val="24"/>
          <w:lang w:val="bg-BG"/>
        </w:rPr>
        <w:t> </w:t>
      </w:r>
      <w:hyperlink r:id="rId26" w:tgtFrame="Gives access to this document through its ELI URI." w:history="1">
        <w:r w:rsidRPr="00906668">
          <w:rPr>
            <w:rStyle w:val="Hyperlink"/>
            <w:color w:val="0070C0"/>
            <w:sz w:val="24"/>
            <w:lang w:val="bg-BG"/>
          </w:rPr>
          <w:t>http://data.europa.eu/eli/reg/2002/178/oj</w:t>
        </w:r>
      </w:hyperlink>
      <w:r w:rsidRPr="0090666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5289" w14:textId="77777777" w:rsidR="00064002" w:rsidRPr="009066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1A0B9" w14:textId="77777777" w:rsidR="00064002" w:rsidRPr="009066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AF2F" w14:textId="77777777" w:rsidR="00064002" w:rsidRPr="009066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7545879">
    <w:abstractNumId w:val="9"/>
  </w:num>
  <w:num w:numId="2" w16cid:durableId="1453981722">
    <w:abstractNumId w:val="9"/>
  </w:num>
  <w:num w:numId="3" w16cid:durableId="2097238526">
    <w:abstractNumId w:val="7"/>
  </w:num>
  <w:num w:numId="4" w16cid:durableId="1728256355">
    <w:abstractNumId w:val="7"/>
  </w:num>
  <w:num w:numId="5" w16cid:durableId="1327707010">
    <w:abstractNumId w:val="6"/>
  </w:num>
  <w:num w:numId="6" w16cid:durableId="1323196823">
    <w:abstractNumId w:val="6"/>
  </w:num>
  <w:num w:numId="7" w16cid:durableId="64304266">
    <w:abstractNumId w:val="5"/>
  </w:num>
  <w:num w:numId="8" w16cid:durableId="2099134695">
    <w:abstractNumId w:val="5"/>
  </w:num>
  <w:num w:numId="9" w16cid:durableId="1120031024">
    <w:abstractNumId w:val="4"/>
  </w:num>
  <w:num w:numId="10" w16cid:durableId="1092356170">
    <w:abstractNumId w:val="4"/>
  </w:num>
  <w:num w:numId="11" w16cid:durableId="303580572">
    <w:abstractNumId w:val="8"/>
  </w:num>
  <w:num w:numId="12" w16cid:durableId="1244024416">
    <w:abstractNumId w:val="8"/>
  </w:num>
  <w:num w:numId="13" w16cid:durableId="1978795035">
    <w:abstractNumId w:val="3"/>
  </w:num>
  <w:num w:numId="14" w16cid:durableId="1142580351">
    <w:abstractNumId w:val="3"/>
  </w:num>
  <w:num w:numId="15" w16cid:durableId="1788280916">
    <w:abstractNumId w:val="2"/>
  </w:num>
  <w:num w:numId="16" w16cid:durableId="1130901100">
    <w:abstractNumId w:val="2"/>
  </w:num>
  <w:num w:numId="17" w16cid:durableId="634262956">
    <w:abstractNumId w:val="1"/>
  </w:num>
  <w:num w:numId="18" w16cid:durableId="347222047">
    <w:abstractNumId w:val="1"/>
  </w:num>
  <w:num w:numId="19" w16cid:durableId="1362784850">
    <w:abstractNumId w:val="0"/>
  </w:num>
  <w:num w:numId="20" w16cid:durableId="1490248693">
    <w:abstractNumId w:val="0"/>
  </w:num>
  <w:num w:numId="21" w16cid:durableId="50812885">
    <w:abstractNumId w:val="9"/>
  </w:num>
  <w:num w:numId="22" w16cid:durableId="277564302">
    <w:abstractNumId w:val="7"/>
  </w:num>
  <w:num w:numId="23" w16cid:durableId="811407161">
    <w:abstractNumId w:val="6"/>
  </w:num>
  <w:num w:numId="24" w16cid:durableId="519514614">
    <w:abstractNumId w:val="5"/>
  </w:num>
  <w:num w:numId="25" w16cid:durableId="45302430">
    <w:abstractNumId w:val="4"/>
  </w:num>
  <w:num w:numId="26" w16cid:durableId="306983935">
    <w:abstractNumId w:val="8"/>
  </w:num>
  <w:num w:numId="27" w16cid:durableId="169876597">
    <w:abstractNumId w:val="3"/>
  </w:num>
  <w:num w:numId="28" w16cid:durableId="2025789866">
    <w:abstractNumId w:val="2"/>
  </w:num>
  <w:num w:numId="29" w16cid:durableId="842164788">
    <w:abstractNumId w:val="1"/>
  </w:num>
  <w:num w:numId="30" w16cid:durableId="2097632478">
    <w:abstractNumId w:val="0"/>
  </w:num>
  <w:num w:numId="31" w16cid:durableId="923103859">
    <w:abstractNumId w:val="9"/>
  </w:num>
  <w:num w:numId="32" w16cid:durableId="1051425019">
    <w:abstractNumId w:val="7"/>
  </w:num>
  <w:num w:numId="33" w16cid:durableId="335814335">
    <w:abstractNumId w:val="6"/>
  </w:num>
  <w:num w:numId="34" w16cid:durableId="1944342648">
    <w:abstractNumId w:val="5"/>
  </w:num>
  <w:num w:numId="35" w16cid:durableId="365838606">
    <w:abstractNumId w:val="4"/>
  </w:num>
  <w:num w:numId="36" w16cid:durableId="272052659">
    <w:abstractNumId w:val="8"/>
  </w:num>
  <w:num w:numId="37" w16cid:durableId="1461726255">
    <w:abstractNumId w:val="3"/>
  </w:num>
  <w:num w:numId="38" w16cid:durableId="1593125377">
    <w:abstractNumId w:val="2"/>
  </w:num>
  <w:num w:numId="39" w16cid:durableId="608975673">
    <w:abstractNumId w:val="1"/>
  </w:num>
  <w:num w:numId="40" w16cid:durableId="1690058888">
    <w:abstractNumId w:val="0"/>
  </w:num>
  <w:num w:numId="41" w16cid:durableId="1587421883">
    <w:abstractNumId w:val="10"/>
  </w:num>
  <w:num w:numId="42" w16cid:durableId="187565086">
    <w:abstractNumId w:val="10"/>
  </w:num>
  <w:num w:numId="43" w16cid:durableId="308874136">
    <w:abstractNumId w:val="10"/>
  </w:num>
  <w:num w:numId="44" w16cid:durableId="428937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BG"/>
    <w:docVar w:name="dvnumam" w:val="0"/>
    <w:docVar w:name="dvpe" w:val="782.192"/>
    <w:docVar w:name="dvtitre" w:val="Резолюция на Европейския парламент от ...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в съответствие с Регламент (ЕО) № 1829/2003 на Европейския парламент и на Съвета (D111472/02 – 2026/2523(RSP))"/>
  </w:docVars>
  <w:rsids>
    <w:rsidRoot w:val="00712997"/>
    <w:rsid w:val="00002272"/>
    <w:rsid w:val="00064002"/>
    <w:rsid w:val="000677B9"/>
    <w:rsid w:val="000831BA"/>
    <w:rsid w:val="000A42CC"/>
    <w:rsid w:val="000E7DD9"/>
    <w:rsid w:val="0010095E"/>
    <w:rsid w:val="00125B37"/>
    <w:rsid w:val="00187494"/>
    <w:rsid w:val="001F32AE"/>
    <w:rsid w:val="002767FF"/>
    <w:rsid w:val="002B18FE"/>
    <w:rsid w:val="002B5493"/>
    <w:rsid w:val="002F7EBD"/>
    <w:rsid w:val="003140BA"/>
    <w:rsid w:val="00343214"/>
    <w:rsid w:val="00361C00"/>
    <w:rsid w:val="00395FA1"/>
    <w:rsid w:val="003E15D4"/>
    <w:rsid w:val="00411CCE"/>
    <w:rsid w:val="0041666E"/>
    <w:rsid w:val="00421060"/>
    <w:rsid w:val="00471C19"/>
    <w:rsid w:val="004867E3"/>
    <w:rsid w:val="00494A28"/>
    <w:rsid w:val="004C0004"/>
    <w:rsid w:val="004C5D52"/>
    <w:rsid w:val="004E2DF9"/>
    <w:rsid w:val="0050519A"/>
    <w:rsid w:val="005072A1"/>
    <w:rsid w:val="00514517"/>
    <w:rsid w:val="00545827"/>
    <w:rsid w:val="00560270"/>
    <w:rsid w:val="005C2568"/>
    <w:rsid w:val="005F1B17"/>
    <w:rsid w:val="006037C0"/>
    <w:rsid w:val="006631B6"/>
    <w:rsid w:val="00680577"/>
    <w:rsid w:val="006F74FA"/>
    <w:rsid w:val="00712997"/>
    <w:rsid w:val="00731ADD"/>
    <w:rsid w:val="00734777"/>
    <w:rsid w:val="00747932"/>
    <w:rsid w:val="00751A4A"/>
    <w:rsid w:val="00756632"/>
    <w:rsid w:val="00762C74"/>
    <w:rsid w:val="00786EC0"/>
    <w:rsid w:val="007B1976"/>
    <w:rsid w:val="007D1690"/>
    <w:rsid w:val="007E22AD"/>
    <w:rsid w:val="00817416"/>
    <w:rsid w:val="00842779"/>
    <w:rsid w:val="00865F67"/>
    <w:rsid w:val="00881A7B"/>
    <w:rsid w:val="008840E5"/>
    <w:rsid w:val="00887B3E"/>
    <w:rsid w:val="008C2AC6"/>
    <w:rsid w:val="0090666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F20"/>
    <w:rsid w:val="00C61C0C"/>
    <w:rsid w:val="00C941CB"/>
    <w:rsid w:val="00CB6B4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52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2DC3F"/>
  <w15:chartTrackingRefBased/>
  <w15:docId w15:val="{C3D3AF3E-8882-4D89-A562-F1A17D95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31F20"/>
    <w:pPr>
      <w:spacing w:before="480" w:after="240"/>
    </w:pPr>
  </w:style>
  <w:style w:type="paragraph" w:customStyle="1" w:styleId="NormalHanging12a">
    <w:name w:val="NormalHanging12a"/>
    <w:basedOn w:val="Normal"/>
    <w:uiPriority w:val="99"/>
    <w:qFormat/>
    <w:rsid w:val="00C31F20"/>
    <w:pPr>
      <w:spacing w:after="240"/>
      <w:ind w:left="567" w:hanging="567"/>
    </w:pPr>
  </w:style>
  <w:style w:type="character" w:styleId="Hyperlink">
    <w:name w:val="Hyperlink"/>
    <w:basedOn w:val="DefaultParagraphFont"/>
    <w:uiPriority w:val="99"/>
    <w:rsid w:val="00C31F20"/>
    <w:rPr>
      <w:color w:val="0563C1" w:themeColor="hyperlink"/>
      <w:u w:val="single"/>
    </w:rPr>
  </w:style>
  <w:style w:type="paragraph" w:styleId="NormalWeb">
    <w:name w:val="Normal (Web)"/>
    <w:basedOn w:val="Normal"/>
    <w:uiPriority w:val="99"/>
    <w:unhideWhenUsed/>
    <w:rsid w:val="00C31F20"/>
    <w:pPr>
      <w:widowControl/>
      <w:spacing w:before="100" w:beforeAutospacing="1" w:after="100" w:afterAutospacing="1"/>
    </w:pPr>
    <w:rPr>
      <w:szCs w:val="24"/>
    </w:rPr>
  </w:style>
  <w:style w:type="paragraph" w:styleId="Revision">
    <w:name w:val="Revision"/>
    <w:hidden/>
    <w:uiPriority w:val="99"/>
    <w:semiHidden/>
    <w:rsid w:val="007B197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bg"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bg/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1795</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2026-02-11T11:35:00Z</dcterms:created>
  <dcterms:modified xsi:type="dcterms:W3CDTF">2026-02-11T11:35:00Z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B10-0107/2026</vt:lpwstr>
  </property>
  <property fmtid="{D5CDD505-2E9C-101B-9397-08002B2CF9AE}" pid="4" name="&lt;Type&gt;">
    <vt:lpwstr>RR</vt:lpwstr>
  </property>
</Properties>
</file>