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1EB8" w14:paraId="751BA01B" w14:textId="77777777" w:rsidTr="0010095E">
        <w:trPr>
          <w:trHeight w:hRule="exact" w:val="1418"/>
        </w:trPr>
        <w:tc>
          <w:tcPr>
            <w:tcW w:w="6804" w:type="dxa"/>
            <w:shd w:val="clear" w:color="auto" w:fill="auto"/>
            <w:vAlign w:val="center"/>
          </w:tcPr>
          <w:p w14:paraId="3CACAD1C" w14:textId="23994688" w:rsidR="00751A4A" w:rsidRPr="00DF1EB8" w:rsidRDefault="00C75806" w:rsidP="0010095E">
            <w:pPr>
              <w:pStyle w:val="EPName"/>
            </w:pPr>
            <w:r w:rsidRPr="00DF1EB8">
              <w:t>Evropský parlament</w:t>
            </w:r>
          </w:p>
          <w:p w14:paraId="4779CD1C" w14:textId="77777777" w:rsidR="00751A4A" w:rsidRPr="00DF1EB8" w:rsidRDefault="005F1B17" w:rsidP="005F1B17">
            <w:pPr>
              <w:pStyle w:val="EPTerm"/>
              <w:rPr>
                <w:rStyle w:val="HideTWBExt"/>
                <w:noProof w:val="0"/>
                <w:vanish w:val="0"/>
                <w:color w:val="auto"/>
              </w:rPr>
            </w:pPr>
            <w:r w:rsidRPr="00DF1EB8">
              <w:t>2024</w:t>
            </w:r>
            <w:r w:rsidR="00817416" w:rsidRPr="00DF1EB8">
              <w:t>-202</w:t>
            </w:r>
            <w:r w:rsidRPr="00DF1EB8">
              <w:t>9</w:t>
            </w:r>
          </w:p>
        </w:tc>
        <w:tc>
          <w:tcPr>
            <w:tcW w:w="2268" w:type="dxa"/>
            <w:shd w:val="clear" w:color="auto" w:fill="auto"/>
          </w:tcPr>
          <w:p w14:paraId="26BE7F05" w14:textId="77777777" w:rsidR="00751A4A" w:rsidRPr="00DF1EB8" w:rsidRDefault="00187494" w:rsidP="0010095E">
            <w:pPr>
              <w:pStyle w:val="EPLogo"/>
            </w:pPr>
            <w:r w:rsidRPr="00DF1EB8">
              <w:rPr>
                <w:noProof/>
                <w:lang w:eastAsia="ja-JP"/>
              </w:rPr>
              <w:drawing>
                <wp:inline distT="0" distB="0" distL="0" distR="0" wp14:anchorId="082840AC" wp14:editId="0B45C0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DA1BFA" w14:textId="77777777" w:rsidR="00D058B8" w:rsidRPr="00DF1EB8" w:rsidRDefault="00D058B8" w:rsidP="004C5D52">
      <w:pPr>
        <w:pStyle w:val="LineTop"/>
      </w:pPr>
    </w:p>
    <w:p w14:paraId="2D701C84" w14:textId="360B03F9" w:rsidR="00680577" w:rsidRPr="00DF1EB8" w:rsidRDefault="00C75806" w:rsidP="00680577">
      <w:pPr>
        <w:pStyle w:val="EPBodyTA1"/>
      </w:pPr>
      <w:r w:rsidRPr="00DF1EB8">
        <w:t>PŘIJATÉ TEXTY</w:t>
      </w:r>
    </w:p>
    <w:p w14:paraId="4102AD80" w14:textId="77777777" w:rsidR="00D058B8" w:rsidRPr="00DF1EB8" w:rsidRDefault="00D058B8" w:rsidP="00D058B8">
      <w:pPr>
        <w:pStyle w:val="LineBottom"/>
      </w:pPr>
    </w:p>
    <w:p w14:paraId="1CDBE41C" w14:textId="64D10EFD" w:rsidR="00C75806" w:rsidRPr="00DF1EB8" w:rsidRDefault="00C75806" w:rsidP="00C75806">
      <w:pPr>
        <w:pStyle w:val="ATHeading1"/>
      </w:pPr>
      <w:bookmarkStart w:id="0" w:name="TANumber"/>
      <w:r w:rsidRPr="00DF1EB8">
        <w:t>P10_TA(2026)00</w:t>
      </w:r>
      <w:r w:rsidR="006C088E">
        <w:t>41</w:t>
      </w:r>
      <w:bookmarkEnd w:id="0"/>
    </w:p>
    <w:p w14:paraId="3746A8A0" w14:textId="2B257E19" w:rsidR="00C75806" w:rsidRPr="00DF1EB8" w:rsidRDefault="00977014" w:rsidP="00C75806">
      <w:pPr>
        <w:pStyle w:val="ATHeading2"/>
      </w:pPr>
      <w:bookmarkStart w:id="1" w:name="title"/>
      <w:r>
        <w:t>G</w:t>
      </w:r>
      <w:r w:rsidR="00C75806" w:rsidRPr="00DF1EB8">
        <w:t>eneticky modifikovaná sója DBN-09004-6</w:t>
      </w:r>
      <w:bookmarkEnd w:id="1"/>
    </w:p>
    <w:p w14:paraId="5DCDA283" w14:textId="77777777" w:rsidR="00C75806" w:rsidRPr="00DF1EB8" w:rsidRDefault="00C75806" w:rsidP="00C75806">
      <w:pPr>
        <w:rPr>
          <w:i/>
          <w:vanish/>
        </w:rPr>
      </w:pPr>
      <w:r w:rsidRPr="00DF1EB8">
        <w:rPr>
          <w:i/>
        </w:rPr>
        <w:fldChar w:fldCharType="begin"/>
      </w:r>
      <w:r w:rsidRPr="00DF1EB8">
        <w:rPr>
          <w:i/>
        </w:rPr>
        <w:instrText xml:space="preserve"> TC"(</w:instrText>
      </w:r>
      <w:bookmarkStart w:id="2" w:name="DocNumber"/>
      <w:r w:rsidRPr="00DF1EB8">
        <w:rPr>
          <w:i/>
        </w:rPr>
        <w:instrText>B10-0107/2026</w:instrText>
      </w:r>
      <w:bookmarkEnd w:id="2"/>
      <w:r w:rsidRPr="00DF1EB8">
        <w:rPr>
          <w:i/>
        </w:rPr>
        <w:instrText xml:space="preserve">)"\l3 \n&gt; \* MERGEFORMAT </w:instrText>
      </w:r>
      <w:r w:rsidRPr="00DF1EB8">
        <w:rPr>
          <w:i/>
        </w:rPr>
        <w:fldChar w:fldCharType="end"/>
      </w:r>
    </w:p>
    <w:p w14:paraId="7AE76E95" w14:textId="77777777" w:rsidR="00C75806" w:rsidRPr="00DF1EB8" w:rsidRDefault="00C75806" w:rsidP="00C75806">
      <w:pPr>
        <w:rPr>
          <w:vanish/>
        </w:rPr>
      </w:pPr>
      <w:bookmarkStart w:id="3" w:name="PE"/>
      <w:r w:rsidRPr="00DF1EB8">
        <w:rPr>
          <w:vanish/>
        </w:rPr>
        <w:t>PE782.192</w:t>
      </w:r>
      <w:bookmarkEnd w:id="3"/>
    </w:p>
    <w:p w14:paraId="455626F2" w14:textId="53756467" w:rsidR="00C75806" w:rsidRPr="00DF1EB8" w:rsidRDefault="00C75806" w:rsidP="00C75806">
      <w:pPr>
        <w:pStyle w:val="ATHeading3"/>
      </w:pPr>
      <w:bookmarkStart w:id="4" w:name="Sujet"/>
      <w:r w:rsidRPr="00DF1EB8">
        <w:t>Usnesení Evropského parlamentu ze dne</w:t>
      </w:r>
      <w:r w:rsidR="001F161B">
        <w:t xml:space="preserve"> </w:t>
      </w:r>
      <w:r w:rsidR="00977014">
        <w:t>11</w:t>
      </w:r>
      <w:r w:rsidR="001F161B">
        <w:t>. února</w:t>
      </w:r>
      <w:r w:rsidRPr="00DF1EB8">
        <w:t xml:space="preserve"> 2026 o návrhu prováděcího rozhodnutí Komise o povolení uvedení produktů, které obsahují geneticky modifikovanou sóju DBN-09004-6, sestávají z ní nebo jsou z ní vyrobeny, na trh podle nařízení Evropského parlamentu a Rady (ES) č. 1829/2003 </w:t>
      </w:r>
      <w:bookmarkStart w:id="5" w:name="References"/>
      <w:bookmarkEnd w:id="4"/>
      <w:r w:rsidRPr="00DF1EB8">
        <w:t>(D111472/</w:t>
      </w:r>
      <w:proofErr w:type="gramStart"/>
      <w:r w:rsidRPr="00DF1EB8">
        <w:t>02 – 2026</w:t>
      </w:r>
      <w:proofErr w:type="gramEnd"/>
      <w:r w:rsidRPr="00DF1EB8">
        <w:t>/2523(RSP))</w:t>
      </w:r>
      <w:bookmarkEnd w:id="5"/>
    </w:p>
    <w:p w14:paraId="61180A40" w14:textId="77777777" w:rsidR="00D2267B" w:rsidRPr="00DF1EB8" w:rsidRDefault="00D2267B" w:rsidP="00D2267B">
      <w:pPr>
        <w:pStyle w:val="EPComma"/>
      </w:pPr>
      <w:bookmarkStart w:id="6" w:name="TextBodyBegin"/>
      <w:bookmarkEnd w:id="6"/>
      <w:r w:rsidRPr="00DF1EB8">
        <w:rPr>
          <w:i/>
          <w:iCs/>
        </w:rPr>
        <w:t>Evropský parlament</w:t>
      </w:r>
      <w:r w:rsidRPr="00DF1EB8">
        <w:t>,</w:t>
      </w:r>
    </w:p>
    <w:p w14:paraId="724E1C9A" w14:textId="77777777" w:rsidR="00D2267B" w:rsidRPr="00DF1EB8" w:rsidRDefault="00D2267B" w:rsidP="00D2267B">
      <w:pPr>
        <w:pStyle w:val="NormalHanging12a"/>
      </w:pPr>
      <w:r w:rsidRPr="00DF1EB8">
        <w:t>–</w:t>
      </w:r>
      <w:r w:rsidRPr="00DF1EB8">
        <w:tab/>
        <w:t>s ohledem na návrh prováděcího rozhodnutí Komise o povolení uvedení produktů, které obsahují geneticky modifikovanou sóju DBN-09004-6, sestávají z ní nebo jsou z ní vyrobeny, na trh podle nařízení Evropského parlamentu a Rady (ES) č. 1829/2003 (D111472/02),</w:t>
      </w:r>
    </w:p>
    <w:p w14:paraId="39AC3A9B" w14:textId="77777777" w:rsidR="00D2267B" w:rsidRPr="00DF1EB8" w:rsidRDefault="00D2267B" w:rsidP="00D2267B">
      <w:pPr>
        <w:pStyle w:val="NormalHanging12a"/>
      </w:pPr>
      <w:r w:rsidRPr="00DF1EB8">
        <w:t>–</w:t>
      </w:r>
      <w:r w:rsidRPr="00DF1EB8">
        <w:tab/>
        <w:t>s ohledem na nařízení Evropského parlamentu a Rady (ES) č. 1829/2003 ze dne 22. září 2003 o geneticky modifikovaných potravinách a krmivech</w:t>
      </w:r>
      <w:r w:rsidRPr="00DF1EB8">
        <w:rPr>
          <w:rStyle w:val="FootnoteReference"/>
        </w:rPr>
        <w:footnoteReference w:id="1"/>
      </w:r>
      <w:r w:rsidRPr="00DF1EB8">
        <w:t>, a zejména na čl. 7 odst. 3 a čl. 19 odst. 3 uvedeného nařízení,</w:t>
      </w:r>
    </w:p>
    <w:p w14:paraId="1F510D20" w14:textId="64A7A753" w:rsidR="00D2267B" w:rsidRPr="00DF1EB8" w:rsidRDefault="00D2267B" w:rsidP="00D2267B">
      <w:pPr>
        <w:pStyle w:val="NormalHanging12a"/>
      </w:pPr>
      <w:r w:rsidRPr="00DF1EB8">
        <w:t>–</w:t>
      </w:r>
      <w:r w:rsidRPr="00DF1EB8">
        <w:tab/>
        <w:t>s ohledem na hlasování Stálého výboru pro rostliny, zvířata, potraviny a krmiva uvedeného v článku 35 nařízení (ES) č. 1829/2003, které proběhlo dne 12. prosince 2025 a na němž nebylo přijato žádné stanovisko</w:t>
      </w:r>
      <w:bookmarkStart w:id="7" w:name="_Hlk219206484"/>
      <w:r w:rsidRPr="00DF1EB8">
        <w:t>,</w:t>
      </w:r>
      <w:bookmarkEnd w:id="7"/>
      <w:r w:rsidR="00977014">
        <w:t xml:space="preserve"> a </w:t>
      </w:r>
      <w:r w:rsidR="00977014" w:rsidRPr="00977014">
        <w:t xml:space="preserve">na hlasování odvolacího výboru ze dne </w:t>
      </w:r>
      <w:r w:rsidR="00977014">
        <w:t>27</w:t>
      </w:r>
      <w:r w:rsidR="00977014" w:rsidRPr="00977014">
        <w:t xml:space="preserve">. </w:t>
      </w:r>
      <w:r w:rsidR="00977014">
        <w:t>ledna</w:t>
      </w:r>
      <w:r w:rsidR="00977014" w:rsidRPr="00977014">
        <w:t xml:space="preserve"> 202</w:t>
      </w:r>
      <w:r w:rsidR="00977014">
        <w:t>6</w:t>
      </w:r>
      <w:r w:rsidR="00977014" w:rsidRPr="00977014">
        <w:t>, kdy opět nebylo vydáno žádné stanovisko,</w:t>
      </w:r>
    </w:p>
    <w:p w14:paraId="03713CAD" w14:textId="77777777" w:rsidR="00D2267B" w:rsidRPr="00DF1EB8" w:rsidRDefault="00D2267B" w:rsidP="00D2267B">
      <w:pPr>
        <w:pStyle w:val="NormalHanging12a"/>
      </w:pPr>
      <w:r w:rsidRPr="00DF1EB8">
        <w:t>–</w:t>
      </w:r>
      <w:r w:rsidRPr="00DF1EB8">
        <w:tab/>
        <w:t>s ohledem na článek 11 nařízení Evropského parlamentu a Rady (EU) č. 182/2011 ze dne 16. února 2011, kterým se stanoví pravidla a obecné zásady způsobu, jakým členské státy kontrolují Komisi při výkonu prováděcích pravomocí</w:t>
      </w:r>
      <w:r w:rsidRPr="00DF1EB8">
        <w:rPr>
          <w:rStyle w:val="FootnoteReference"/>
        </w:rPr>
        <w:footnoteReference w:id="2"/>
      </w:r>
      <w:r w:rsidRPr="00DF1EB8">
        <w:t>,</w:t>
      </w:r>
    </w:p>
    <w:p w14:paraId="2A31673B" w14:textId="71E2C0A4" w:rsidR="00D2267B" w:rsidRPr="00DF1EB8" w:rsidRDefault="00D2267B" w:rsidP="00D2267B">
      <w:pPr>
        <w:pStyle w:val="NormalHanging12a"/>
      </w:pPr>
      <w:r w:rsidRPr="00DF1EB8">
        <w:t>–</w:t>
      </w:r>
      <w:r w:rsidRPr="00DF1EB8">
        <w:tab/>
        <w:t>s ohledem na stanovisko Evropského úřadu pro bezpečnost potravin (EFSA) ze dne 21.</w:t>
      </w:r>
      <w:r w:rsidR="004E6B31">
        <w:t> </w:t>
      </w:r>
      <w:r w:rsidRPr="00DF1EB8">
        <w:t>května 2025, které bylo zveřejněno dne 7. července 2025</w:t>
      </w:r>
      <w:r w:rsidRPr="00DF1EB8">
        <w:rPr>
          <w:vertAlign w:val="superscript"/>
        </w:rPr>
        <w:footnoteReference w:id="3"/>
      </w:r>
      <w:r w:rsidRPr="00DF1EB8">
        <w:t>,</w:t>
      </w:r>
    </w:p>
    <w:p w14:paraId="4452069E" w14:textId="77777777" w:rsidR="00D2267B" w:rsidRPr="00DF1EB8" w:rsidRDefault="00D2267B" w:rsidP="00D2267B">
      <w:pPr>
        <w:pStyle w:val="NormalHanging12a"/>
      </w:pPr>
      <w:r w:rsidRPr="00DF1EB8">
        <w:lastRenderedPageBreak/>
        <w:t>–</w:t>
      </w:r>
      <w:r w:rsidRPr="00DF1EB8">
        <w:tab/>
        <w:t>s ohledem na svá předchozí usnesení, v nichž vyslovil námitku vůči povolení geneticky modifikovaných organismů (dále jen „GMO“)</w:t>
      </w:r>
      <w:r w:rsidRPr="00DF1EB8">
        <w:rPr>
          <w:vertAlign w:val="superscript"/>
        </w:rPr>
        <w:footnoteReference w:id="4"/>
      </w:r>
      <w:r w:rsidRPr="00DF1EB8">
        <w:t>,</w:t>
      </w:r>
    </w:p>
    <w:p w14:paraId="19D4C07B" w14:textId="77777777" w:rsidR="00D2267B" w:rsidRPr="00DF1EB8" w:rsidRDefault="00D2267B" w:rsidP="00D2267B">
      <w:pPr>
        <w:pStyle w:val="NormalHanging12a"/>
      </w:pPr>
      <w:r w:rsidRPr="00DF1EB8">
        <w:lastRenderedPageBreak/>
        <w:t>–</w:t>
      </w:r>
      <w:r w:rsidRPr="00DF1EB8">
        <w:tab/>
        <w:t>s ohledem na čl. 115 odst. 2 a 3 jednacího řádu,</w:t>
      </w:r>
    </w:p>
    <w:p w14:paraId="11E8E370" w14:textId="77777777" w:rsidR="00D2267B" w:rsidRPr="00DF1EB8" w:rsidRDefault="00D2267B" w:rsidP="00D2267B">
      <w:pPr>
        <w:pStyle w:val="NormalHanging12a"/>
      </w:pPr>
      <w:r w:rsidRPr="00DF1EB8">
        <w:t>–</w:t>
      </w:r>
      <w:r w:rsidRPr="00DF1EB8">
        <w:tab/>
        <w:t>s ohledem na návrh usnesení Výboru pro životní prostředí, klima a bezpečnost potravin,</w:t>
      </w:r>
    </w:p>
    <w:p w14:paraId="2E69EE5F" w14:textId="77777777" w:rsidR="00D2267B" w:rsidRPr="00DF1EB8" w:rsidRDefault="00D2267B" w:rsidP="00D2267B">
      <w:pPr>
        <w:pStyle w:val="NormalHanging12a"/>
        <w:ind w:hanging="570"/>
      </w:pPr>
      <w:r w:rsidRPr="00DF1EB8">
        <w:t>A.</w:t>
      </w:r>
      <w:r w:rsidRPr="00DF1EB8">
        <w:tab/>
        <w:t xml:space="preserve">vzhledem k tomu, že dne 20. prosince 2019 podala společnost Perseus BV se sídlem v Belgii jménem společnosti Beijing DaBeiNong Biotechnology Co., Ltd. se sídlem v Číně </w:t>
      </w:r>
      <w:r w:rsidRPr="00DF1EB8">
        <w:rPr>
          <w:snapToGrid w:val="0"/>
        </w:rPr>
        <w:t>žádost příslušnému vnitrostátnímu orgánu Belgie</w:t>
      </w:r>
      <w:r w:rsidRPr="00DF1EB8">
        <w:t xml:space="preserve"> o uvedení potravin, složek potravin a krmiv, které obsahují geneticky modifikovanou sóju DBN-09004-6 (dále jen „geneticky modifikovaná sója“), sestávají z ní nebo jsou z ní vyrobeny, na trh v souladu s články 5 a 17 nařízení (ES) č. 1829/2003; vzhledem k tomu, že žádost se rovněž vztahovala na uvedení produktů, které obsahují geneticky modifikovanou sóju nebo z ní sestávají, na trh pro jakákoli jiná použití než v potravinách a krmivech, s výjimkou pěstování;</w:t>
      </w:r>
    </w:p>
    <w:p w14:paraId="30EA6C35" w14:textId="77777777" w:rsidR="00D2267B" w:rsidRPr="00DF1EB8" w:rsidRDefault="00D2267B" w:rsidP="00D2267B">
      <w:pPr>
        <w:pStyle w:val="NormalHanging12a"/>
        <w:ind w:hanging="570"/>
      </w:pPr>
      <w:bookmarkStart w:id="8" w:name="_Hlk218675754"/>
      <w:r w:rsidRPr="00DF1EB8">
        <w:t>B.</w:t>
      </w:r>
      <w:r w:rsidRPr="00DF1EB8">
        <w:tab/>
        <w:t>vzhledem k tomu, že dne 7. července 2025 vydal úřad EFSA v souladu s články 6 a 18 nařízení (ES) č. 1829/2003 příznivé vědecké stanovisko, v němž dospěl k závěru, že geneticky modifikovaná sója popsaná v žádosti je z hlediska možných účinků na zdraví lidí a zvířat a na životní prostředí stejně bezpečná jako její konvenční protějšek a testované referenční odrůdy geneticky nemodifikované sóji; vzhledem k tomu, že úřad EFSA se ve svém stanovisku nezabýval několika širšími environmentálními, socioekonomickými a kumulativními dopady, které podle jeho názoru nespadají do jeho působnosti;</w:t>
      </w:r>
    </w:p>
    <w:p w14:paraId="2C4601D9" w14:textId="77777777" w:rsidR="00D2267B" w:rsidRPr="00DF1EB8" w:rsidRDefault="00D2267B" w:rsidP="00D2267B">
      <w:pPr>
        <w:pStyle w:val="NormalHanging12a"/>
        <w:ind w:hanging="570"/>
      </w:pPr>
      <w:r w:rsidRPr="00DF1EB8">
        <w:t>C.</w:t>
      </w:r>
      <w:r w:rsidRPr="00DF1EB8">
        <w:tab/>
        <w:t>vzhledem k tomu, že geneticky modifikovaná sója byla vyvinuta tak, aby propůjčovala toleranci vůči glufosinátu a glyfosátu;</w:t>
      </w:r>
    </w:p>
    <w:bookmarkEnd w:id="8"/>
    <w:p w14:paraId="14C1BE72" w14:textId="77777777" w:rsidR="00D2267B" w:rsidRPr="00DF1EB8" w:rsidRDefault="00D2267B" w:rsidP="00D2267B">
      <w:pPr>
        <w:pStyle w:val="NormalHanging12a"/>
      </w:pPr>
      <w:r w:rsidRPr="00DF1EB8">
        <w:t>D.</w:t>
      </w:r>
      <w:r w:rsidRPr="00DF1EB8">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sóji;</w:t>
      </w:r>
    </w:p>
    <w:p w14:paraId="67B3E25E" w14:textId="77777777" w:rsidR="00D2267B" w:rsidRPr="00DF1EB8" w:rsidRDefault="00D2267B" w:rsidP="00D2267B">
      <w:pPr>
        <w:pStyle w:val="NormalHanging12a"/>
        <w:rPr>
          <w:color w:val="000000" w:themeColor="text1"/>
          <w:szCs w:val="24"/>
        </w:rPr>
      </w:pPr>
      <w:r w:rsidRPr="00DF1EB8">
        <w:rPr>
          <w:color w:val="000000" w:themeColor="text1"/>
        </w:rPr>
        <w:t>E.</w:t>
      </w:r>
      <w:r w:rsidRPr="00DF1EB8">
        <w:rPr>
          <w:color w:val="000000" w:themeColor="text1"/>
        </w:rPr>
        <w:tab/>
      </w:r>
      <w:r w:rsidRPr="00DF1EB8">
        <w:t xml:space="preserve">vzhledem k tomu, že naprostá většina geneticky modifikovaných plodin, včetně geneticky modifikované sóji, je geneticky upravena tak, aby byla tolerantní vůči jednomu či více „doplňkovým“ herbicidům, které lze použít po celou dobu jejich pěstování, aniž by plodiny uhynuly, jak by tomu bylo v případě, kdyby nebyly vůči herbicidům tolerantní; </w:t>
      </w:r>
      <w:r w:rsidRPr="00DF1EB8">
        <w:rPr>
          <w:color w:val="000000" w:themeColor="text1"/>
        </w:rPr>
        <w:t xml:space="preserve">vzhledem k tomu, že z řady studií vyplývá, že geneticky modifikované plodiny, které jsou tolerantní vůči herbicidům, vedou k vyššímu používání doplňkových herbicidů, zejména kvůli častějšímu výskytu plevele odolného </w:t>
      </w:r>
      <w:r w:rsidRPr="00DF1EB8">
        <w:rPr>
          <w:color w:val="000000" w:themeColor="text1"/>
        </w:rPr>
        <w:lastRenderedPageBreak/>
        <w:t>vůči herbicidům</w:t>
      </w:r>
      <w:r w:rsidRPr="00DF1EB8">
        <w:rPr>
          <w:rStyle w:val="FootnoteReference"/>
          <w:color w:val="000000" w:themeColor="text1"/>
          <w:szCs w:val="24"/>
        </w:rPr>
        <w:footnoteReference w:id="5"/>
      </w:r>
      <w:r w:rsidRPr="00DF1EB8">
        <w:rPr>
          <w:color w:val="000000" w:themeColor="text1"/>
        </w:rPr>
        <w:t>;</w:t>
      </w:r>
    </w:p>
    <w:p w14:paraId="7B0030DF" w14:textId="77777777" w:rsidR="00D2267B" w:rsidRPr="00DF1EB8" w:rsidRDefault="00D2267B" w:rsidP="00D2267B">
      <w:pPr>
        <w:spacing w:after="240"/>
        <w:ind w:left="567" w:hanging="567"/>
        <w:rPr>
          <w:color w:val="000000" w:themeColor="text1"/>
          <w:szCs w:val="24"/>
        </w:rPr>
      </w:pPr>
      <w:r w:rsidRPr="00DF1EB8">
        <w:t>F.</w:t>
      </w:r>
      <w:r w:rsidRPr="00DF1EB8">
        <w:tab/>
        <w:t xml:space="preserve">vzhledem k tomu, že </w:t>
      </w:r>
      <w:r w:rsidRPr="00DF1EB8">
        <w:rPr>
          <w:color w:val="000000" w:themeColor="text1"/>
        </w:rPr>
        <w:t>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 vzhledem k tomu, že větší závislost zemědělských podniků, které pěstují geneticky modifikovanou sóju, na doplňkových herbicidech povede k tomu, že se rychleji objevuje a šíří 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r w:rsidRPr="00DF1EB8">
        <w:rPr>
          <w:rStyle w:val="FootnoteReference"/>
          <w:color w:val="000000" w:themeColor="text1"/>
          <w:szCs w:val="24"/>
        </w:rPr>
        <w:footnoteReference w:id="6"/>
      </w:r>
      <w:r w:rsidRPr="00DF1EB8">
        <w:rPr>
          <w:color w:val="000000" w:themeColor="text1"/>
        </w:rPr>
        <w:t>;</w:t>
      </w:r>
    </w:p>
    <w:p w14:paraId="515FDD76" w14:textId="77777777" w:rsidR="00D2267B" w:rsidRPr="00DF1EB8" w:rsidRDefault="00D2267B" w:rsidP="00D2267B">
      <w:pPr>
        <w:pStyle w:val="NormalWeb"/>
        <w:widowControl w:val="0"/>
        <w:spacing w:before="0" w:beforeAutospacing="0" w:after="240" w:afterAutospacing="0"/>
        <w:ind w:left="567" w:hanging="567"/>
      </w:pPr>
      <w:r w:rsidRPr="00DF1EB8">
        <w:t>G.</w:t>
      </w:r>
      <w:r w:rsidRPr="00DF1EB8">
        <w:tab/>
        <w:t>vzhledem k tomu, že glufosinát je klasifikován jako látka toxická pro reprodukci (</w:t>
      </w:r>
      <w:proofErr w:type="gramStart"/>
      <w:r w:rsidRPr="00DF1EB8">
        <w:t>1B</w:t>
      </w:r>
      <w:proofErr w:type="gramEnd"/>
      <w:r w:rsidRPr="00DF1EB8">
        <w:t>), a splňuje proto kritéria pro vyloučení vymezená v nařízení Evropského parlamentu a Rady (ES) č. 1107/2009</w:t>
      </w:r>
      <w:r w:rsidRPr="00DF1EB8">
        <w:rPr>
          <w:rStyle w:val="FootnoteReference"/>
        </w:rPr>
        <w:footnoteReference w:id="7"/>
      </w:r>
      <w:r w:rsidRPr="00DF1EB8">
        <w:t>; vzhledem k tomu, že platnost povolení pro používání glufosinátu v Unii skončila dne 31. července 2018;</w:t>
      </w:r>
    </w:p>
    <w:p w14:paraId="65BFDAD8" w14:textId="77777777" w:rsidR="00D2267B" w:rsidRPr="00DF1EB8" w:rsidRDefault="00D2267B" w:rsidP="00D2267B">
      <w:pPr>
        <w:pStyle w:val="NormalHanging12a"/>
      </w:pPr>
      <w:r w:rsidRPr="00DF1EB8">
        <w:t>H.</w:t>
      </w:r>
      <w:r w:rsidRPr="00DF1EB8">
        <w:tab/>
        <w:t>vzhledem k tomu, že stále přetrvávají závažné otázky ohledně karcinogenity glyfosátu; vzhledem k tomu, že úřad EFSA dospěl v listopadu 2015 k závěru, že glyfosát pravděpodobně není karcinogenní, a Evropská agentura pro chemické látky došla v březnu 2017 k závěru, že jeho klasifikace není nutná; vzhledem k tomu, že Mezinárodní agentura pro výzkum rakoviny (specializovaná agentura Světové zdravotnické organizace zabývající se nádorovými onemocněními) v roce 2015 naopak glyfosát označila za látku, která u člověka pravděpodobně působí karcinogenně; vzhledem k tomu, že možná karcinogenita glyfosátu byla potvrzena v řadě nejnovějších odborně recenzovaných vědeckých studií</w:t>
      </w:r>
      <w:r w:rsidRPr="00DF1EB8">
        <w:rPr>
          <w:rStyle w:val="FootnoteReference"/>
        </w:rPr>
        <w:footnoteReference w:id="8"/>
      </w:r>
      <w:r w:rsidRPr="00DF1EB8">
        <w:t xml:space="preserve">; vzhledem k tomu, že časopis „Regulatory Toxicology and Pharmacology“ formálně stáhl vědeckou studii s názvem „Safety Evaluation and Risk Assessment of the Herbicide Roundup and Its Active Ingredient, Glyphosate, for Humans“ (Hodnocení bezpečnosti a posouzení rizik herbicidu Roundup a jeho účinné složky glyfosátu na člověka), která byla publikována v roce 2000 a která byla použita k obhajobě bezpečnosti glyfosátu v mnoha posouzeních rizik, protože </w:t>
      </w:r>
      <w:r w:rsidRPr="00DF1EB8">
        <w:lastRenderedPageBreak/>
        <w:t>„byly vzneseny obavy ohledně jejího autorství, platnosti výsledků výzkumu v kontextu nepravdivosti příspěvků autorů a zadavatele studie a možného střetu zájmů autorů“</w:t>
      </w:r>
      <w:r w:rsidRPr="00DF1EB8">
        <w:rPr>
          <w:rStyle w:val="FootnoteReference"/>
        </w:rPr>
        <w:footnoteReference w:id="9"/>
      </w:r>
      <w:r w:rsidRPr="00DF1EB8">
        <w:t>;</w:t>
      </w:r>
    </w:p>
    <w:p w14:paraId="0C3B8EA7" w14:textId="77777777" w:rsidR="00D2267B" w:rsidRPr="00DF1EB8" w:rsidRDefault="00D2267B" w:rsidP="00D2267B">
      <w:pPr>
        <w:pStyle w:val="NormalHanging12a"/>
      </w:pPr>
      <w:r w:rsidRPr="00DF1EB8">
        <w:t>I.</w:t>
      </w:r>
      <w:r w:rsidRPr="00DF1EB8">
        <w:tab/>
        <w:t>vzhledem k tomu, že nezávislé monitorování a dohled nad možnými nepříznivými účinky na biologickou rozmanitost, zdraví půdy, opylovače a necílové organismy stále nejsou dostatečně zaručeny;</w:t>
      </w:r>
    </w:p>
    <w:p w14:paraId="63DC4BA5" w14:textId="77777777" w:rsidR="00D2267B" w:rsidRPr="00DF1EB8" w:rsidRDefault="00D2267B" w:rsidP="00D2267B">
      <w:pPr>
        <w:spacing w:after="240"/>
        <w:ind w:left="567" w:hanging="567"/>
      </w:pPr>
      <w:r w:rsidRPr="00DF1EB8">
        <w:t>J.</w:t>
      </w:r>
      <w:r w:rsidRPr="00DF1EB8">
        <w:tab/>
        <w:t>vzhledem k tomu, že v případech vědecké nejistoty by se měla uplatňovat zásada obezřetnosti zakotvená v článku 191 Smlouvy o fungování Evropské unie;</w:t>
      </w:r>
    </w:p>
    <w:p w14:paraId="154EF4E0" w14:textId="77777777" w:rsidR="00D2267B" w:rsidRPr="00DF1EB8" w:rsidRDefault="00D2267B" w:rsidP="00D2267B">
      <w:pPr>
        <w:spacing w:after="240"/>
        <w:ind w:left="567" w:hanging="567"/>
      </w:pPr>
      <w:r w:rsidRPr="00DF1EB8">
        <w:t>K.</w:t>
      </w:r>
      <w:r w:rsidRPr="00DF1EB8">
        <w:tab/>
        <w:t>vzhledem k tomu, že nařízení (ES) č. 1829/2003 stanoví, že geneticky modifikované potraviny a krmiva nesmí mít nepříznivé účinky na lidské zdraví, zdraví zvířat nebo životní prostředí;</w:t>
      </w:r>
    </w:p>
    <w:p w14:paraId="1114F97D" w14:textId="77777777" w:rsidR="00D2267B" w:rsidRPr="00DF1EB8" w:rsidRDefault="00D2267B" w:rsidP="00D2267B">
      <w:pPr>
        <w:pStyle w:val="NormalWeb"/>
        <w:widowControl w:val="0"/>
        <w:spacing w:before="0" w:beforeAutospacing="0" w:after="240" w:afterAutospacing="0"/>
        <w:ind w:left="567" w:hanging="567"/>
      </w:pPr>
      <w:r w:rsidRPr="00DF1EB8">
        <w:t>L.</w:t>
      </w:r>
      <w:r w:rsidRPr="00DF1EB8">
        <w:tab/>
        <w:t>vzhledem k tomu, že povolení geneticky modifikované sóji ze strany Unie by nebylo v souladu s mezinárodními závazky týkajícími se snižování pesticidů</w:t>
      </w:r>
      <w:r w:rsidRPr="00DF1EB8">
        <w:rPr>
          <w:vertAlign w:val="superscript"/>
        </w:rPr>
        <w:footnoteReference w:id="10"/>
      </w:r>
      <w:r w:rsidRPr="00DF1EB8">
        <w:t>, a to vzhledem ke zvýšené expozici lidí, zvířat a životního prostředí glyfosátu a glufosinátu v zemích, které pěstují tuto geneticky modifikovanou plodinu tolerantní k herbicidům, a s tím souvisejícím možným závažným zdravotním dopadům;</w:t>
      </w:r>
    </w:p>
    <w:p w14:paraId="6CB3E828" w14:textId="77777777" w:rsidR="00D2267B" w:rsidRPr="00DF1EB8" w:rsidRDefault="00D2267B" w:rsidP="00D2267B">
      <w:pPr>
        <w:spacing w:after="240"/>
        <w:ind w:left="567" w:hanging="567"/>
      </w:pPr>
      <w:r w:rsidRPr="00DF1EB8">
        <w:t>M.</w:t>
      </w:r>
      <w:r w:rsidRPr="00DF1EB8">
        <w:tab/>
        <w:t>vzhledem k tomu, že návrh prováděcího rozhodnutí Komise by umožňoval dovoz do Unie, který by nesplňoval normy dodržované zemědělci v Unii, což by je znevýhodnilo v hospodářské soutěži;</w:t>
      </w:r>
    </w:p>
    <w:p w14:paraId="4CDE25C4" w14:textId="77777777" w:rsidR="00D2267B" w:rsidRPr="00DF1EB8" w:rsidRDefault="00D2267B" w:rsidP="00D2267B">
      <w:pPr>
        <w:spacing w:after="240"/>
        <w:ind w:left="567" w:hanging="567"/>
      </w:pPr>
      <w:r w:rsidRPr="00DF1EB8">
        <w:t>N.</w:t>
      </w:r>
      <w:r w:rsidRPr="00DF1EB8">
        <w:tab/>
        <w:t>vzhledem k tomu, že v závěrech strategického dialogu o budoucnosti zemědělství v EU</w:t>
      </w:r>
      <w:r w:rsidRPr="00DF1EB8">
        <w:rPr>
          <w:rStyle w:val="FootnoteReference"/>
        </w:rPr>
        <w:footnoteReference w:id="11"/>
      </w:r>
      <w:r w:rsidRPr="00DF1EB8">
        <w:t xml:space="preserve"> byla Komise vyzvána, aby přehodnotila svůj postoj k uvádění dovážených zemědělsko-potravinářských produktů na trh a k jejich vývozu vzhledem k problémům, které jsou způsobeny rozdílnými normami v Unii a normami jejích obchodních partnerů; vzhledem k tomu, že spravedlivější obchodní vztahy na celosvětové úrovni v souladu s cíli pro zdravé životní prostředí byly jedním z hlavních požadavků zemědělců během demonstrací v letech 2023, 2024 a 2025;</w:t>
      </w:r>
    </w:p>
    <w:p w14:paraId="015BA4F4" w14:textId="77777777" w:rsidR="00D2267B" w:rsidRPr="00DF1EB8" w:rsidRDefault="00D2267B" w:rsidP="00D2267B">
      <w:pPr>
        <w:spacing w:after="240"/>
        <w:ind w:left="567" w:hanging="567"/>
      </w:pPr>
      <w:r w:rsidRPr="00DF1EB8">
        <w:t>O.</w:t>
      </w:r>
      <w:r w:rsidRPr="00DF1EB8">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14:paraId="33D3C277" w14:textId="77777777" w:rsidR="00D2267B" w:rsidRPr="00DF1EB8" w:rsidRDefault="00D2267B" w:rsidP="00D2267B">
      <w:pPr>
        <w:pStyle w:val="NormalWeb"/>
        <w:widowControl w:val="0"/>
        <w:shd w:val="clear" w:color="auto" w:fill="FFFFFF"/>
        <w:spacing w:before="0" w:beforeAutospacing="0" w:after="240" w:afterAutospacing="0"/>
        <w:ind w:left="567" w:hanging="567"/>
        <w:rPr>
          <w:color w:val="000000" w:themeColor="text1"/>
        </w:rPr>
      </w:pPr>
      <w:r w:rsidRPr="00DF1EB8">
        <w:rPr>
          <w:color w:val="000000" w:themeColor="text1"/>
        </w:rPr>
        <w:t>P.</w:t>
      </w:r>
      <w:r w:rsidRPr="00DF1EB8">
        <w:rPr>
          <w:color w:val="000000" w:themeColor="text1"/>
        </w:rPr>
        <w:tab/>
        <w:t>vzhledem k tomu, že Komise geneticky modifikované organismy nadále povoluje, ačkoli sama uznává, že v této oblasti existuje demokratický deficit, chybí podpora členských států a Parlament vyslovuje námitky;</w:t>
      </w:r>
    </w:p>
    <w:p w14:paraId="5DD80DF2" w14:textId="77777777" w:rsidR="00D2267B" w:rsidRPr="00DF1EB8" w:rsidRDefault="00D2267B" w:rsidP="00D2267B">
      <w:pPr>
        <w:spacing w:after="240"/>
        <w:ind w:left="567" w:hanging="567"/>
      </w:pPr>
      <w:r w:rsidRPr="00DF1EB8">
        <w:t>Q.</w:t>
      </w:r>
      <w:r w:rsidRPr="00DF1EB8">
        <w:tab/>
        <w:t xml:space="preserve">vzhledem k tomu, že přístup „jedno zdraví“ vyžaduje, aby při posuzování dlouhodobé udržitelnosti a bezpečnosti geneticky modifikovaných organismů byla zohledňována </w:t>
      </w:r>
      <w:r w:rsidRPr="00DF1EB8">
        <w:lastRenderedPageBreak/>
        <w:t>provázanost zdraví lidí, zvířat, rostlin a životního prostředí;</w:t>
      </w:r>
    </w:p>
    <w:p w14:paraId="449BE387" w14:textId="7A233B34" w:rsidR="00D2267B" w:rsidRPr="00DF1EB8" w:rsidRDefault="00D2267B" w:rsidP="00D2267B">
      <w:pPr>
        <w:spacing w:after="240"/>
        <w:ind w:left="567" w:hanging="567"/>
      </w:pPr>
      <w:r w:rsidRPr="00DF1EB8">
        <w:t>R.</w:t>
      </w:r>
      <w:r w:rsidRPr="00DF1EB8">
        <w:tab/>
        <w:t xml:space="preserve">vzhledem k tomu, že toto usnesení bude </w:t>
      </w:r>
      <w:r w:rsidR="00122BD2">
        <w:t xml:space="preserve">téměř </w:t>
      </w:r>
      <w:r w:rsidRPr="00DF1EB8">
        <w:t xml:space="preserve">stým usnesením, kterým Evropský parlament vyslovuje námitky proti povolení dovozu geneticky modifikovaných plodin; </w:t>
      </w:r>
    </w:p>
    <w:p w14:paraId="2B7495B3" w14:textId="77777777" w:rsidR="00D2267B" w:rsidRPr="00DF1EB8" w:rsidRDefault="00D2267B" w:rsidP="00D2267B">
      <w:pPr>
        <w:pStyle w:val="NormalHanging12a"/>
      </w:pPr>
      <w:r w:rsidRPr="00DF1EB8">
        <w:t>1.</w:t>
      </w:r>
      <w:r w:rsidRPr="00DF1EB8">
        <w:tab/>
        <w:t>domnívá se, že návrh prováděcího rozhodnutí Komise překračuje prováděcí pravomoci stanovené v nařízení (ES) č. 1829/2003;</w:t>
      </w:r>
    </w:p>
    <w:p w14:paraId="329FBDD5" w14:textId="77777777" w:rsidR="00D2267B" w:rsidRPr="00DF1EB8" w:rsidRDefault="00D2267B" w:rsidP="00D2267B">
      <w:pPr>
        <w:pStyle w:val="NormalHanging12a"/>
      </w:pPr>
      <w:bookmarkStart w:id="9" w:name="_Hlk218675825"/>
      <w:r w:rsidRPr="00DF1EB8">
        <w:t>2.</w:t>
      </w:r>
      <w:r w:rsidRPr="00DF1EB8">
        <w:tab/>
        <w:t>domnívá se, že návrh prováděcího rozhodnutí Komise není v souladu s právními předpisy Unie, neboť není slučitelný s cílem nařízení (ES) č. 1829/2003, který podle obecných zásad, jež jsou stanoveny v nařízení Evropského parlamentu a Rady (ES) č. 178/2002</w:t>
      </w:r>
      <w:r w:rsidRPr="00DF1EB8">
        <w:rPr>
          <w:vertAlign w:val="superscript"/>
        </w:rPr>
        <w:footnoteReference w:id="12"/>
      </w:r>
      <w:r w:rsidRPr="00DF1EB8">
        <w:t xml:space="preserve">,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vnitřního trhu; </w:t>
      </w:r>
    </w:p>
    <w:bookmarkEnd w:id="9"/>
    <w:p w14:paraId="35426AFF" w14:textId="77777777" w:rsidR="00D2267B" w:rsidRPr="00DF1EB8" w:rsidRDefault="00D2267B" w:rsidP="00D2267B">
      <w:pPr>
        <w:pStyle w:val="NormalHanging12a"/>
      </w:pPr>
      <w:r w:rsidRPr="00DF1EB8">
        <w:t>3.</w:t>
      </w:r>
      <w:r w:rsidRPr="00DF1EB8">
        <w:tab/>
        <w:t>vyzývá Komisi, aby vzala zpět návrh prováděcího rozhodnutí;</w:t>
      </w:r>
    </w:p>
    <w:p w14:paraId="500F9193" w14:textId="77777777" w:rsidR="00D2267B" w:rsidRPr="00DF1EB8" w:rsidRDefault="00D2267B" w:rsidP="00D2267B">
      <w:pPr>
        <w:spacing w:after="240"/>
        <w:ind w:left="567" w:hanging="567"/>
      </w:pPr>
      <w:r w:rsidRPr="00DF1EB8">
        <w:t>4.</w:t>
      </w:r>
      <w:r w:rsidRPr="00DF1EB8">
        <w:tab/>
        <w:t>vyzývá Komisi, aby nepovolovala geneticky modifikovanou sóju kvůli nedostatku dostatečných důkazů o dlouhodobých dopadech na biologickou rozmanitost, bezpečnost potravin, živobytí zemědělců a zdraví zvířat v souladu s přístupem „jedno zdraví“;</w:t>
      </w:r>
    </w:p>
    <w:p w14:paraId="0050A58C" w14:textId="77777777" w:rsidR="00D2267B" w:rsidRPr="00DF1EB8" w:rsidRDefault="00D2267B" w:rsidP="00D2267B">
      <w:pPr>
        <w:spacing w:after="240"/>
        <w:ind w:left="567" w:hanging="567"/>
      </w:pPr>
      <w:bookmarkStart w:id="10" w:name="_Hlk210900300"/>
      <w:r w:rsidRPr="00DF1EB8">
        <w:t>5.</w:t>
      </w:r>
      <w:r w:rsidRPr="00DF1EB8">
        <w:tab/>
        <w:t>vyzývá Komisi, aby neprodleně předložila legislativní návrh na změnu postupu rozhodování o geneticky modifikovaných organismech, který by zohlednil soustavné námitky Parlamentu a chybějící podporu kvalifikované většiny členských států</w:t>
      </w:r>
      <w:bookmarkEnd w:id="10"/>
      <w:r w:rsidRPr="00DF1EB8">
        <w:t>;</w:t>
      </w:r>
    </w:p>
    <w:p w14:paraId="30EBA9FA" w14:textId="77777777" w:rsidR="00D2267B" w:rsidRPr="00DF1EB8" w:rsidRDefault="00D2267B" w:rsidP="00D2267B">
      <w:pPr>
        <w:spacing w:after="240"/>
        <w:ind w:left="567" w:hanging="567"/>
      </w:pPr>
      <w:bookmarkStart w:id="11" w:name="_Hlk210900241"/>
      <w:r w:rsidRPr="00DF1EB8">
        <w:t>6.</w:t>
      </w:r>
      <w:r w:rsidRPr="00DF1EB8">
        <w:tab/>
        <w:t xml:space="preserve">v této souvislosti zdůrazňuje, že povolení dovozu jakýchkoli potravin, krmiv nebo produktů z jakýchkoliv geneticky modifikovaných rostlin, které jsou tolerantní vůči herbicidům, jež jsou v Unii zakázány, jako je glufosinát, je v rozporu s mezinárodními závazky Unie, které vyplývají mimo jiné z Úmluvy Organizace spojených národů (OSN) o biologické rozmanitosti a cílů udržitelného rozvoje OSN, včetně rámce z Kchun-mingu a Montrealu, a že </w:t>
      </w:r>
      <w:proofErr w:type="gramStart"/>
      <w:r w:rsidRPr="00DF1EB8">
        <w:t>vytváří</w:t>
      </w:r>
      <w:proofErr w:type="gramEnd"/>
      <w:r w:rsidRPr="00DF1EB8">
        <w:t xml:space="preserve"> nerovné podmínky pro zemědělce v Unii;</w:t>
      </w:r>
      <w:bookmarkEnd w:id="11"/>
    </w:p>
    <w:p w14:paraId="5BE4A58D" w14:textId="412F5755" w:rsidR="00DF1EB8" w:rsidRPr="00DF1EB8" w:rsidRDefault="00D2267B" w:rsidP="00DF1EB8">
      <w:pPr>
        <w:pStyle w:val="NormalHanging12a"/>
      </w:pPr>
      <w:r w:rsidRPr="00DF1EB8">
        <w:t>7.</w:t>
      </w:r>
      <w:r w:rsidRPr="00DF1EB8">
        <w:tab/>
        <w:t>pověřuje svou předsedkyni, aby předala toto usnesení Radě a Komisi, jakož i vládám a parlamentům členských států.</w:t>
      </w:r>
    </w:p>
    <w:p w14:paraId="78FB4881" w14:textId="75714E52" w:rsidR="00E365E1" w:rsidRPr="00DF1EB8" w:rsidRDefault="00E365E1" w:rsidP="00C75806"/>
    <w:sectPr w:rsidR="00E365E1" w:rsidRPr="00DF1EB8" w:rsidSect="00DF1E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B1E85" w14:textId="77777777" w:rsidR="00C75806" w:rsidRPr="00DF1EB8" w:rsidRDefault="00C75806">
      <w:r w:rsidRPr="00DF1EB8">
        <w:separator/>
      </w:r>
    </w:p>
  </w:endnote>
  <w:endnote w:type="continuationSeparator" w:id="0">
    <w:p w14:paraId="06C64AB8" w14:textId="77777777" w:rsidR="00C75806" w:rsidRPr="00DF1EB8" w:rsidRDefault="00C75806">
      <w:r w:rsidRPr="00DF1E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F252" w14:textId="77777777" w:rsidR="00064002" w:rsidRPr="00DF1E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E0FD2" w14:textId="77777777" w:rsidR="00064002" w:rsidRPr="00DF1E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E0E96" w14:textId="77777777" w:rsidR="00064002" w:rsidRPr="00DF1E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62983" w14:textId="77777777" w:rsidR="00C75806" w:rsidRPr="00DF1EB8" w:rsidRDefault="00C75806">
      <w:r w:rsidRPr="00DF1EB8">
        <w:separator/>
      </w:r>
    </w:p>
  </w:footnote>
  <w:footnote w:type="continuationSeparator" w:id="0">
    <w:p w14:paraId="6C7C4BA2" w14:textId="77777777" w:rsidR="00C75806" w:rsidRPr="00DF1EB8" w:rsidRDefault="00C75806">
      <w:r w:rsidRPr="00DF1EB8">
        <w:continuationSeparator/>
      </w:r>
    </w:p>
  </w:footnote>
  <w:footnote w:id="1">
    <w:p w14:paraId="11A0EC3F" w14:textId="21AA5E08"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Úř. věst. L 268, 18.10.2003, s. 1, ELI: </w:t>
      </w:r>
      <w:hyperlink r:id="rId1" w:history="1">
        <w:r w:rsidRPr="00DF1EB8">
          <w:rPr>
            <w:rStyle w:val="Hyperlink"/>
            <w:sz w:val="24"/>
            <w:lang w:val="cs-CZ"/>
          </w:rPr>
          <w:t>http://data.europa.eu/eli/reg/2003/1829/oj</w:t>
        </w:r>
      </w:hyperlink>
      <w:r w:rsidRPr="00DF1EB8">
        <w:rPr>
          <w:sz w:val="24"/>
          <w:u w:val="single"/>
          <w:lang w:val="cs-CZ"/>
        </w:rPr>
        <w:t>.</w:t>
      </w:r>
    </w:p>
  </w:footnote>
  <w:footnote w:id="2">
    <w:p w14:paraId="6593DF76" w14:textId="39FF3837"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Úř. věst. L 55, 28.2.2011, s. 13, ELI: </w:t>
      </w:r>
      <w:hyperlink r:id="rId2" w:history="1">
        <w:r w:rsidRPr="00DF1EB8">
          <w:rPr>
            <w:rStyle w:val="Hyperlink"/>
            <w:sz w:val="24"/>
            <w:lang w:val="cs-CZ"/>
          </w:rPr>
          <w:t>http://data.europa.eu/eli/reg/2011/182/oj</w:t>
        </w:r>
      </w:hyperlink>
      <w:r w:rsidRPr="00DF1EB8">
        <w:rPr>
          <w:rStyle w:val="Hyperlink"/>
          <w:sz w:val="24"/>
          <w:lang w:val="cs-CZ"/>
        </w:rPr>
        <w:t>.</w:t>
      </w:r>
    </w:p>
  </w:footnote>
  <w:footnote w:id="3">
    <w:p w14:paraId="74F0A302" w14:textId="2B5977AB"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 xml:space="preserve">Vědecké stanovisko vědecké komise úřadu EFSA pro geneticky modifikované organismy s názvem „Posouzení geneticky modifikované sóji DBN9004 (žádost EFSA-GMO-BE-2019-165)“, </w:t>
      </w:r>
      <w:r w:rsidRPr="00DF1EB8">
        <w:rPr>
          <w:i/>
          <w:sz w:val="24"/>
          <w:lang w:val="cs-CZ"/>
        </w:rPr>
        <w:t>EFSA Journal</w:t>
      </w:r>
      <w:r w:rsidRPr="00DF1EB8">
        <w:rPr>
          <w:sz w:val="24"/>
          <w:lang w:val="cs-CZ"/>
        </w:rPr>
        <w:t xml:space="preserve"> 2025, 23(7):e9503, </w:t>
      </w:r>
      <w:hyperlink r:id="rId3" w:history="1">
        <w:r w:rsidRPr="00DF1EB8">
          <w:rPr>
            <w:rStyle w:val="Hyperlink"/>
            <w:sz w:val="24"/>
            <w:lang w:val="cs-CZ"/>
          </w:rPr>
          <w:t>https://doi.org/10.2903/j.efsa.2025.9503</w:t>
        </w:r>
      </w:hyperlink>
      <w:r w:rsidRPr="00DF1EB8">
        <w:rPr>
          <w:sz w:val="24"/>
          <w:lang w:val="cs-CZ"/>
        </w:rPr>
        <w:t xml:space="preserve">. </w:t>
      </w:r>
    </w:p>
  </w:footnote>
  <w:footnote w:id="4">
    <w:p w14:paraId="4EAA6834" w14:textId="16A9C383" w:rsidR="00D2267B" w:rsidRPr="00DF1EB8" w:rsidRDefault="00D2267B" w:rsidP="00DF1EB8">
      <w:pPr>
        <w:pStyle w:val="FootnoteText"/>
        <w:ind w:left="567" w:hanging="567"/>
        <w:rPr>
          <w:sz w:val="24"/>
          <w:vertAlign w:val="superscript"/>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Ve svém osmém volebním období přijal Parlament 36 usnesení a ve svém devátém volebním období 38 usnesení, v nichž vyslovil námitky proti povolení GMO. V desátém volebním období pak přijal tato usnesení:</w:t>
      </w:r>
    </w:p>
    <w:p w14:paraId="7A6C830E" w14:textId="5F3A5F05"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(Úř. věst. C, C/2025/1797, 4.4.2025, ELI: </w:t>
      </w:r>
      <w:hyperlink r:id="rId4" w:history="1">
        <w:r w:rsidR="00D2267B" w:rsidRPr="00DF1EB8">
          <w:rPr>
            <w:rStyle w:val="Hyperlink"/>
            <w:sz w:val="24"/>
            <w:lang w:val="cs-CZ"/>
          </w:rPr>
          <w:t>http://data.europa.eu/eli/C/2025/1797/oj</w:t>
        </w:r>
      </w:hyperlink>
      <w:r w:rsidR="00D2267B" w:rsidRPr="00DF1EB8">
        <w:rPr>
          <w:sz w:val="24"/>
          <w:lang w:val="cs-CZ"/>
        </w:rPr>
        <w:t>),</w:t>
      </w:r>
    </w:p>
    <w:p w14:paraId="2FECAD11" w14:textId="3367D7D3" w:rsidR="00D2267B" w:rsidRPr="00DF1EB8" w:rsidRDefault="00DF1EB8" w:rsidP="00DF1EB8">
      <w:pPr>
        <w:pStyle w:val="FootnoteText"/>
        <w:keepN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(Úř. věst. C, C/2025/1798, 4.4.2025, ELI: </w:t>
      </w:r>
      <w:hyperlink r:id="rId5" w:history="1">
        <w:r w:rsidR="00D2267B" w:rsidRPr="00DF1EB8">
          <w:rPr>
            <w:rStyle w:val="Hyperlink"/>
            <w:sz w:val="24"/>
            <w:lang w:val="cs-CZ"/>
          </w:rPr>
          <w:t>http://data.europa.eu/eli/C/2025/1798/oj</w:t>
        </w:r>
      </w:hyperlink>
      <w:r w:rsidR="00D2267B" w:rsidRPr="00DF1EB8">
        <w:rPr>
          <w:sz w:val="24"/>
          <w:lang w:val="cs-CZ"/>
        </w:rPr>
        <w:t>),</w:t>
      </w:r>
    </w:p>
    <w:p w14:paraId="25B83E1E" w14:textId="7F5AC87B"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26. listopadu 2024 o prováděcím rozhodnutí Komise (EU) 2024/2629, kterým se obnovuje povolení uvedení produktů, které obsahují geneticky modifikovanou kukuřici MON 89034 × 1507 × MON 88017 × 59122 nebo osm z jejích podkombinací, sestávají z nich nebo jsou z nich vyrobeny, na trh, v souladu s nařízením Evropského parlamentu a Rady (ES) č. 1829/2003 (Úř. věst. C, C/2025/1799, 4.4.2025, ELI: </w:t>
      </w:r>
      <w:hyperlink r:id="rId6" w:history="1">
        <w:r w:rsidR="00D2267B" w:rsidRPr="00DF1EB8">
          <w:rPr>
            <w:rStyle w:val="Hyperlink"/>
            <w:sz w:val="24"/>
            <w:lang w:val="cs-CZ"/>
          </w:rPr>
          <w:t>http://data.europa.eu/eli/C/2025/1799/oj</w:t>
        </w:r>
      </w:hyperlink>
      <w:r w:rsidR="00D2267B" w:rsidRPr="00DF1EB8">
        <w:rPr>
          <w:sz w:val="24"/>
          <w:lang w:val="cs-CZ"/>
        </w:rPr>
        <w:t>),</w:t>
      </w:r>
    </w:p>
    <w:p w14:paraId="2833CFAE" w14:textId="5D3004F3"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 xml:space="preserve">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w:t>
      </w:r>
      <w:r w:rsidR="00D2267B" w:rsidRPr="00DF1EB8">
        <w:rPr>
          <w:sz w:val="24"/>
          <w:lang w:val="cs-CZ"/>
        </w:rPr>
        <w:br/>
        <w:t>(Úř. věst. C, C/2025/1800, 4.4.2025, ELI: </w:t>
      </w:r>
      <w:hyperlink r:id="rId7" w:history="1">
        <w:r w:rsidR="00D2267B" w:rsidRPr="00DF1EB8">
          <w:rPr>
            <w:rStyle w:val="Hyperlink"/>
            <w:sz w:val="24"/>
            <w:lang w:val="cs-CZ"/>
          </w:rPr>
          <w:t>http://data.europa.eu/eli/C/2025/1800/oj</w:t>
        </w:r>
      </w:hyperlink>
      <w:r w:rsidR="00D2267B" w:rsidRPr="00DF1EB8">
        <w:rPr>
          <w:sz w:val="24"/>
          <w:lang w:val="cs-CZ"/>
        </w:rPr>
        <w:t>),</w:t>
      </w:r>
    </w:p>
    <w:p w14:paraId="66B30453" w14:textId="688D67D9"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(Úř. věst. C, C/2025/1801, 4.4.2025, ELI: </w:t>
      </w:r>
      <w:hyperlink r:id="rId8" w:history="1">
        <w:r w:rsidR="00D2267B" w:rsidRPr="00DF1EB8">
          <w:rPr>
            <w:rStyle w:val="Hyperlink"/>
            <w:sz w:val="24"/>
            <w:lang w:val="cs-CZ"/>
          </w:rPr>
          <w:t>http://data.europa.eu/eli/C/2025/1801/oj</w:t>
        </w:r>
      </w:hyperlink>
      <w:r w:rsidR="00D2267B" w:rsidRPr="00DF1EB8">
        <w:rPr>
          <w:sz w:val="24"/>
          <w:lang w:val="cs-CZ"/>
        </w:rPr>
        <w:t>),</w:t>
      </w:r>
    </w:p>
    <w:p w14:paraId="7CB9D43E" w14:textId="104F877D"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26. listopadu 2024 o návrhu prováděcího rozhodnutí Komise (EU) 2024/1826 o povolení uvedení produktů, které obsahují geneticky modifikovanou kukuřici DP23211, sestávají z ní nebo jsou z ní vyrobeny, na trh podle nařízení Evropského parlamentu a Rady (ES) č. 1829/2003 (Úř. věst. C, C/2025/1802, 4.4.2025, ELI: </w:t>
      </w:r>
      <w:hyperlink r:id="rId9" w:history="1">
        <w:r w:rsidR="00D2267B" w:rsidRPr="00DF1EB8">
          <w:rPr>
            <w:rStyle w:val="Hyperlink"/>
            <w:sz w:val="24"/>
            <w:lang w:val="cs-CZ"/>
          </w:rPr>
          <w:t>http://data.europa.eu/eli/C/2025/1802/oj</w:t>
        </w:r>
      </w:hyperlink>
      <w:r w:rsidR="00D2267B" w:rsidRPr="00DF1EB8">
        <w:rPr>
          <w:sz w:val="24"/>
          <w:lang w:val="cs-CZ"/>
        </w:rPr>
        <w:t>),</w:t>
      </w:r>
    </w:p>
    <w:p w14:paraId="0010448A" w14:textId="6062901B"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(Úř. věst. C, C/2025/1803, 4.4.2025, ELI: </w:t>
      </w:r>
      <w:hyperlink r:id="rId10" w:history="1">
        <w:r w:rsidR="00D2267B" w:rsidRPr="00DF1EB8">
          <w:rPr>
            <w:rStyle w:val="Hyperlink"/>
            <w:sz w:val="24"/>
            <w:lang w:val="cs-CZ"/>
          </w:rPr>
          <w:t>http://data.europa.eu/eli/C/2025/1803/oj</w:t>
        </w:r>
      </w:hyperlink>
      <w:r w:rsidR="00D2267B" w:rsidRPr="00DF1EB8">
        <w:rPr>
          <w:sz w:val="24"/>
          <w:lang w:val="cs-CZ"/>
        </w:rPr>
        <w:t>),</w:t>
      </w:r>
    </w:p>
    <w:p w14:paraId="0B2218E9" w14:textId="27CC7C3D"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(Úř. věst. C, C/2025/1804, 4.4.2025, ELI: </w:t>
      </w:r>
      <w:hyperlink r:id="rId11" w:history="1">
        <w:r w:rsidR="00D2267B" w:rsidRPr="00DF1EB8">
          <w:rPr>
            <w:rStyle w:val="Hyperlink"/>
            <w:sz w:val="24"/>
            <w:lang w:val="cs-CZ"/>
          </w:rPr>
          <w:t>http://data.europa.eu/eli/C/2025/1804/oj</w:t>
        </w:r>
      </w:hyperlink>
      <w:r w:rsidR="00D2267B" w:rsidRPr="00DF1EB8">
        <w:rPr>
          <w:sz w:val="24"/>
          <w:lang w:val="cs-CZ"/>
        </w:rPr>
        <w:t>),</w:t>
      </w:r>
    </w:p>
    <w:p w14:paraId="36224DA8" w14:textId="00A137AD"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(Úř. věst. C, C/2025/2246, 29.4.2025, ELI: </w:t>
      </w:r>
      <w:hyperlink r:id="rId12" w:tooltip="Umožňuje přístup k tomuto dokumentu prostřednictvím jeho ELI URI." w:history="1">
        <w:r w:rsidR="00D2267B" w:rsidRPr="00DF1EB8">
          <w:rPr>
            <w:rStyle w:val="Hyperlink"/>
            <w:sz w:val="24"/>
            <w:lang w:val="cs-CZ"/>
          </w:rPr>
          <w:t>http://data.europa.eu/eli/C/2025/2246/oj</w:t>
        </w:r>
      </w:hyperlink>
      <w:r w:rsidR="00D2267B" w:rsidRPr="00DF1EB8">
        <w:rPr>
          <w:sz w:val="24"/>
          <w:lang w:val="cs-CZ"/>
        </w:rPr>
        <w:t>),</w:t>
      </w:r>
    </w:p>
    <w:p w14:paraId="5D09F134" w14:textId="4C2BAE7B"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(Úř. věst. C, C/2025/2247, 29.4.2025, ELI: </w:t>
      </w:r>
      <w:hyperlink r:id="rId13" w:history="1">
        <w:r w:rsidR="00D2267B" w:rsidRPr="00DF1EB8">
          <w:rPr>
            <w:rStyle w:val="Hyperlink"/>
            <w:sz w:val="24"/>
            <w:lang w:val="cs-CZ"/>
          </w:rPr>
          <w:t>http://data.europa.eu/eli/C/2025/2247/oj</w:t>
        </w:r>
      </w:hyperlink>
      <w:r w:rsidR="00D2267B" w:rsidRPr="00DF1EB8">
        <w:rPr>
          <w:sz w:val="24"/>
          <w:lang w:val="cs-CZ"/>
        </w:rPr>
        <w:t>),</w:t>
      </w:r>
    </w:p>
    <w:p w14:paraId="617730FB" w14:textId="6543A45C"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w:t>
      </w:r>
      <w:r w:rsidR="0039328E">
        <w:rPr>
          <w:sz w:val="24"/>
          <w:lang w:val="cs-CZ"/>
        </w:rPr>
        <w:t xml:space="preserve">Přijaté texty, </w:t>
      </w:r>
      <w:r w:rsidR="00D2267B" w:rsidRPr="00DF1EB8">
        <w:rPr>
          <w:sz w:val="24"/>
          <w:lang w:val="cs-CZ"/>
        </w:rPr>
        <w:t>P10_TA(2025)0106),</w:t>
      </w:r>
    </w:p>
    <w:p w14:paraId="349EE5E6" w14:textId="659F1DCB"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w:t>
      </w:r>
      <w:r w:rsidR="0039328E" w:rsidRPr="0039328E">
        <w:rPr>
          <w:sz w:val="24"/>
          <w:lang w:val="cs-CZ"/>
        </w:rPr>
        <w:t xml:space="preserve">Přijaté texty, </w:t>
      </w:r>
      <w:r w:rsidR="00D2267B" w:rsidRPr="00DF1EB8">
        <w:rPr>
          <w:sz w:val="24"/>
          <w:lang w:val="cs-CZ"/>
        </w:rPr>
        <w:t>P10_TA(2025)0222),</w:t>
      </w:r>
    </w:p>
    <w:p w14:paraId="4EE684CA" w14:textId="64134FA7"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w:t>
      </w:r>
      <w:r w:rsidR="0039328E" w:rsidRPr="0039328E">
        <w:rPr>
          <w:sz w:val="24"/>
          <w:lang w:val="cs-CZ"/>
        </w:rPr>
        <w:t xml:space="preserve">Přijaté texty, </w:t>
      </w:r>
      <w:r w:rsidR="00D2267B" w:rsidRPr="00DF1EB8">
        <w:rPr>
          <w:sz w:val="24"/>
          <w:lang w:val="cs-CZ"/>
        </w:rPr>
        <w:t>P10_TA(2025)0288),</w:t>
      </w:r>
    </w:p>
    <w:p w14:paraId="7C812A39" w14:textId="40CBC53B"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w:t>
      </w:r>
      <w:r w:rsidR="0039328E" w:rsidRPr="0039328E">
        <w:rPr>
          <w:sz w:val="24"/>
          <w:lang w:val="cs-CZ"/>
        </w:rPr>
        <w:t xml:space="preserve">Přijaté texty, </w:t>
      </w:r>
      <w:r w:rsidR="00D2267B" w:rsidRPr="00DF1EB8">
        <w:rPr>
          <w:sz w:val="24"/>
          <w:lang w:val="cs-CZ"/>
        </w:rPr>
        <w:t>P10_TA(2025)0289),</w:t>
      </w:r>
    </w:p>
    <w:p w14:paraId="023DBBAE" w14:textId="733E02B1"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25. listopadu 2025 o návrhu prováděcího rozhodnutí Komise, kterým se obnovuje povolení uvedení produktů, které obsahují geneticky modifikovanou řepku olejnou MON 88302, sestávají z ní nebo jsou z ní vyrobeny, na trh podle nařízení Evropského parlamentu a Rady (ES) č. 1829/2003 (</w:t>
      </w:r>
      <w:r w:rsidR="0039328E" w:rsidRPr="0039328E">
        <w:rPr>
          <w:sz w:val="24"/>
          <w:lang w:val="cs-CZ"/>
        </w:rPr>
        <w:t xml:space="preserve">Přijaté texty, </w:t>
      </w:r>
      <w:r w:rsidR="00D2267B" w:rsidRPr="00DF1EB8">
        <w:rPr>
          <w:sz w:val="24"/>
          <w:lang w:val="cs-CZ"/>
        </w:rPr>
        <w:t>P10_TA(2025)0290),</w:t>
      </w:r>
    </w:p>
    <w:p w14:paraId="1555B624" w14:textId="04C5D180"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w:t>
      </w:r>
      <w:r w:rsidR="0039328E" w:rsidRPr="0039328E">
        <w:rPr>
          <w:sz w:val="24"/>
          <w:lang w:val="cs-CZ"/>
        </w:rPr>
        <w:t xml:space="preserve">Přijaté texty, </w:t>
      </w:r>
      <w:r w:rsidR="00D2267B" w:rsidRPr="00DF1EB8">
        <w:rPr>
          <w:sz w:val="24"/>
          <w:lang w:val="cs-CZ"/>
        </w:rPr>
        <w:t>P10_TA(2025)0291),</w:t>
      </w:r>
    </w:p>
    <w:p w14:paraId="143931D7" w14:textId="6E60564E"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(ES) č. 1829/2003 (</w:t>
      </w:r>
      <w:r w:rsidR="0039328E" w:rsidRPr="0039328E">
        <w:rPr>
          <w:sz w:val="24"/>
          <w:lang w:val="cs-CZ"/>
        </w:rPr>
        <w:t xml:space="preserve">Přijaté texty, </w:t>
      </w:r>
      <w:r w:rsidR="00D2267B" w:rsidRPr="00DF1EB8">
        <w:rPr>
          <w:sz w:val="24"/>
          <w:lang w:val="cs-CZ"/>
        </w:rPr>
        <w:t>P10_TA(2025)0292),</w:t>
      </w:r>
    </w:p>
    <w:p w14:paraId="7139B668" w14:textId="4C0BEEB2" w:rsidR="00D2267B" w:rsidRPr="00DF1EB8" w:rsidRDefault="00DF1EB8" w:rsidP="00DF1EB8">
      <w:pPr>
        <w:pStyle w:val="FootnoteText"/>
        <w:ind w:left="567" w:hanging="567"/>
        <w:rPr>
          <w:sz w:val="24"/>
          <w:vertAlign w:val="superscript"/>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16. prosince 2025 o návrhu prováděcího rozhodnutí Komise, kterým se obnovuje povolení uvedení produktů, které obsahují geneticky modifikovanou kukuřici NK603, sestávají z ní nebo jsou z ní vyrobeny, na trh, podle nařízení Evropského parlamentu a Rady (ES) č. 1829/2003 (</w:t>
      </w:r>
      <w:r w:rsidR="0039328E" w:rsidRPr="0039328E">
        <w:rPr>
          <w:sz w:val="24"/>
          <w:lang w:val="cs-CZ"/>
        </w:rPr>
        <w:t xml:space="preserve">Přijaté texty, </w:t>
      </w:r>
      <w:r w:rsidR="00D2267B" w:rsidRPr="00DF1EB8">
        <w:rPr>
          <w:sz w:val="24"/>
          <w:lang w:val="cs-CZ"/>
        </w:rPr>
        <w:t>P10_TA(2025)0327),</w:t>
      </w:r>
    </w:p>
    <w:p w14:paraId="4E17A18D" w14:textId="02615C88" w:rsidR="00D2267B" w:rsidRPr="00DF1EB8" w:rsidRDefault="00DF1EB8" w:rsidP="00DF1EB8">
      <w:pPr>
        <w:pStyle w:val="FootnoteText"/>
        <w:ind w:left="567" w:hanging="567"/>
        <w:rPr>
          <w:sz w:val="24"/>
          <w:lang w:val="cs-CZ"/>
        </w:rPr>
      </w:pPr>
      <w:r w:rsidRPr="00DF1EB8">
        <w:rPr>
          <w:sz w:val="24"/>
          <w:lang w:val="cs-CZ"/>
        </w:rPr>
        <w:t xml:space="preserve"> </w:t>
      </w:r>
      <w:r w:rsidRPr="00DF1EB8">
        <w:rPr>
          <w:sz w:val="24"/>
          <w:lang w:val="cs-CZ"/>
        </w:rPr>
        <w:tab/>
      </w:r>
      <w:r w:rsidR="00D2267B" w:rsidRPr="00DF1EB8">
        <w:rPr>
          <w:sz w:val="24"/>
          <w:lang w:val="cs-CZ"/>
        </w:rPr>
        <w:t>–</w:t>
      </w:r>
      <w:r w:rsidR="00D2267B" w:rsidRPr="00DF1EB8">
        <w:rPr>
          <w:sz w:val="24"/>
          <w:lang w:val="cs-CZ"/>
        </w:rPr>
        <w:tab/>
        <w:t>usnesení Evropského parlamentu ze dne 16. prosince 2025 o návrhu prováděcího rozhodnutí Komise o povolení uvedení potravin, složek potravin a krmiv, které jsou vyrobeny z geneticky modifikované cukrovky KWS20-1, na trh podle nařízení Evropského parlamentu a Rady (ES) č. 1829/2003 (</w:t>
      </w:r>
      <w:r w:rsidR="0039328E" w:rsidRPr="0039328E">
        <w:rPr>
          <w:sz w:val="24"/>
          <w:lang w:val="cs-CZ"/>
        </w:rPr>
        <w:t xml:space="preserve">Přijaté texty, </w:t>
      </w:r>
      <w:r w:rsidR="00D2267B" w:rsidRPr="00DF1EB8">
        <w:rPr>
          <w:sz w:val="24"/>
          <w:lang w:val="cs-CZ"/>
        </w:rPr>
        <w:t>P10_TA(2025)0328),</w:t>
      </w:r>
    </w:p>
  </w:footnote>
  <w:footnote w:id="5">
    <w:p w14:paraId="7B9D7C1B" w14:textId="27634302"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shd w:val="clear" w:color="auto" w:fill="FFFFFF"/>
          <w:lang w:val="cs-CZ"/>
        </w:rPr>
        <w:t xml:space="preserve"> </w:t>
      </w:r>
      <w:r w:rsidR="00DF1EB8" w:rsidRPr="00DF1EB8">
        <w:rPr>
          <w:sz w:val="24"/>
          <w:shd w:val="clear" w:color="auto" w:fill="FFFFFF"/>
          <w:lang w:val="cs-CZ"/>
        </w:rPr>
        <w:tab/>
      </w:r>
      <w:r w:rsidRPr="00DF1EB8">
        <w:rPr>
          <w:sz w:val="24"/>
          <w:shd w:val="clear" w:color="auto" w:fill="FFFFFF"/>
          <w:lang w:val="cs-CZ"/>
        </w:rPr>
        <w:t xml:space="preserve">Viz například Bonny, S., „Genetically Modified Herbicide-Tolerant Crops, Weeds, and Herbicides: Overview and Impact“ (Geneticky modifikované plodiny odolné vůči herbicidům, plevel a herbicidy: přehled a vliv), </w:t>
      </w:r>
      <w:r w:rsidRPr="00DF1EB8">
        <w:rPr>
          <w:i/>
          <w:sz w:val="24"/>
          <w:shd w:val="clear" w:color="auto" w:fill="FFFFFF"/>
          <w:lang w:val="cs-CZ"/>
        </w:rPr>
        <w:t>Environmental Management</w:t>
      </w:r>
      <w:r w:rsidRPr="00DF1EB8">
        <w:rPr>
          <w:sz w:val="24"/>
          <w:shd w:val="clear" w:color="auto" w:fill="FFFFFF"/>
          <w:lang w:val="cs-CZ"/>
        </w:rPr>
        <w:t xml:space="preserve">, leden 2016, 57(1), s. 31–48, </w:t>
      </w:r>
      <w:hyperlink r:id="rId14" w:history="1">
        <w:r w:rsidRPr="00DF1EB8">
          <w:rPr>
            <w:rStyle w:val="Hyperlink"/>
            <w:sz w:val="24"/>
            <w:shd w:val="clear" w:color="auto" w:fill="FFFFFF"/>
            <w:lang w:val="cs-CZ"/>
          </w:rPr>
          <w:t>https://doi.org/10.1007/s00267-015-0589-7</w:t>
        </w:r>
      </w:hyperlink>
      <w:r w:rsidRPr="00DF1EB8">
        <w:rPr>
          <w:sz w:val="24"/>
          <w:shd w:val="clear" w:color="auto" w:fill="FFFFFF"/>
          <w:lang w:val="cs-CZ"/>
        </w:rPr>
        <w:t xml:space="preserve"> a Benbrook, C.M., „Impacts of genetically engineered crops on pesticide use in the U.S. - the first sixteen years“ (Vlivy geneticky upravených plodin na používání pesticidů v USA – prvních šestnáct let), </w:t>
      </w:r>
      <w:r w:rsidRPr="00DF1EB8">
        <w:rPr>
          <w:i/>
          <w:sz w:val="24"/>
          <w:shd w:val="clear" w:color="auto" w:fill="FFFFFF"/>
          <w:lang w:val="cs-CZ"/>
        </w:rPr>
        <w:t>Environmental Sciences Europe</w:t>
      </w:r>
      <w:r w:rsidRPr="00DF1EB8">
        <w:rPr>
          <w:sz w:val="24"/>
          <w:shd w:val="clear" w:color="auto" w:fill="FFFFFF"/>
          <w:lang w:val="cs-CZ"/>
        </w:rPr>
        <w:t xml:space="preserve">; 28. září 2012, sv. 24(1), </w:t>
      </w:r>
      <w:hyperlink r:id="rId15" w:history="1">
        <w:r w:rsidRPr="00DF1EB8">
          <w:rPr>
            <w:rStyle w:val="Hyperlink"/>
            <w:sz w:val="24"/>
            <w:lang w:val="cs-CZ"/>
          </w:rPr>
          <w:t>https://doi.org/10.1186/2190-4715-24-24</w:t>
        </w:r>
      </w:hyperlink>
      <w:r w:rsidRPr="00DF1EB8">
        <w:rPr>
          <w:sz w:val="24"/>
          <w:lang w:val="cs-CZ"/>
        </w:rPr>
        <w:t>.</w:t>
      </w:r>
      <w:r w:rsidRPr="00DF1EB8">
        <w:rPr>
          <w:sz w:val="24"/>
          <w:shd w:val="clear" w:color="auto" w:fill="FFFFFF"/>
          <w:lang w:val="cs-CZ"/>
        </w:rPr>
        <w:t xml:space="preserve"> </w:t>
      </w:r>
    </w:p>
  </w:footnote>
  <w:footnote w:id="6">
    <w:p w14:paraId="63AF0880" w14:textId="4AC4219C" w:rsidR="00D2267B" w:rsidRPr="00DF1EB8" w:rsidRDefault="00D2267B" w:rsidP="00DF1EB8">
      <w:pPr>
        <w:pStyle w:val="FootnoteText"/>
        <w:ind w:left="567" w:hanging="567"/>
        <w:rPr>
          <w:sz w:val="24"/>
          <w:shd w:val="clear" w:color="auto" w:fill="FFFFFF"/>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 xml:space="preserve">Viz například: </w:t>
      </w:r>
      <w:hyperlink r:id="rId16" w:history="1">
        <w:r w:rsidRPr="00DF1EB8">
          <w:rPr>
            <w:rStyle w:val="Hyperlink"/>
            <w:sz w:val="24"/>
            <w:lang w:val="cs-CZ"/>
          </w:rPr>
          <w:t>https://doi.org/10.1002/ps.8105</w:t>
        </w:r>
      </w:hyperlink>
      <w:r w:rsidRPr="00DF1EB8">
        <w:rPr>
          <w:sz w:val="24"/>
          <w:shd w:val="clear" w:color="auto" w:fill="FFFFFF"/>
          <w:lang w:val="cs-CZ"/>
        </w:rPr>
        <w:t xml:space="preserve"> a </w:t>
      </w:r>
      <w:hyperlink r:id="rId17" w:history="1">
        <w:r w:rsidRPr="00DF1EB8">
          <w:rPr>
            <w:rStyle w:val="Hyperlink"/>
            <w:sz w:val="24"/>
            <w:lang w:val="cs-CZ"/>
          </w:rPr>
          <w:t>https://doi.org/10.1016/j.geoforum.2009.03.009</w:t>
        </w:r>
      </w:hyperlink>
      <w:r w:rsidRPr="00DF1EB8">
        <w:rPr>
          <w:sz w:val="24"/>
          <w:lang w:val="cs-CZ"/>
        </w:rPr>
        <w:t>.</w:t>
      </w:r>
    </w:p>
  </w:footnote>
  <w:footnote w:id="7">
    <w:p w14:paraId="4CE5F788" w14:textId="15603924"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Nařízení Evropského parlamentu a Rady (ES) č. 1107/2009 ze dne 21. října 2009 o uvádění přípravků na ochranu rostlin na trh a o zrušení směrnic Rady 79/117/EHS a 91/414/EHS (Úř. věst. L 309, 24.11.2009, s. 1, ELI: </w:t>
      </w:r>
      <w:hyperlink r:id="rId18" w:history="1">
        <w:r w:rsidRPr="00DF1EB8">
          <w:rPr>
            <w:rStyle w:val="Hyperlink"/>
            <w:sz w:val="24"/>
            <w:lang w:val="cs-CZ"/>
          </w:rPr>
          <w:t>http://data.europa.eu/eli/reg/2009/1107/oj</w:t>
        </w:r>
      </w:hyperlink>
      <w:r w:rsidRPr="00DF1EB8">
        <w:rPr>
          <w:sz w:val="24"/>
          <w:lang w:val="cs-CZ"/>
        </w:rPr>
        <w:t>).</w:t>
      </w:r>
    </w:p>
  </w:footnote>
  <w:footnote w:id="8">
    <w:p w14:paraId="2D55FEDD" w14:textId="3CECF13E"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 xml:space="preserve">Viz například: </w:t>
      </w:r>
      <w:hyperlink r:id="rId19" w:history="1">
        <w:r w:rsidRPr="00DF1EB8">
          <w:rPr>
            <w:rStyle w:val="Hyperlink"/>
            <w:sz w:val="24"/>
            <w:lang w:val="cs-CZ"/>
          </w:rPr>
          <w:t>https://doi.org/10.1016/j.mrrev.2019.02.001</w:t>
        </w:r>
      </w:hyperlink>
      <w:r w:rsidRPr="00DF1EB8">
        <w:rPr>
          <w:sz w:val="24"/>
          <w:lang w:val="cs-CZ"/>
        </w:rPr>
        <w:t xml:space="preserve">, </w:t>
      </w:r>
      <w:hyperlink r:id="rId20" w:history="1">
        <w:r w:rsidRPr="00DF1EB8">
          <w:rPr>
            <w:rStyle w:val="Hyperlink"/>
            <w:sz w:val="24"/>
            <w:lang w:val="cs-CZ"/>
          </w:rPr>
          <w:t>https://doi.org/10.1093/ije/dyz017</w:t>
        </w:r>
      </w:hyperlink>
      <w:r w:rsidRPr="00DF1EB8">
        <w:rPr>
          <w:sz w:val="24"/>
          <w:lang w:val="cs-CZ"/>
        </w:rPr>
        <w:t xml:space="preserve">, </w:t>
      </w:r>
      <w:hyperlink r:id="rId21" w:history="1">
        <w:r w:rsidRPr="00DF1EB8">
          <w:rPr>
            <w:rStyle w:val="Hyperlink"/>
            <w:sz w:val="24"/>
            <w:lang w:val="cs-CZ"/>
          </w:rPr>
          <w:t>https://doi.org/10.1371/journal.pone.0219610</w:t>
        </w:r>
      </w:hyperlink>
      <w:r w:rsidRPr="00DF1EB8">
        <w:rPr>
          <w:sz w:val="24"/>
          <w:lang w:val="cs-CZ"/>
        </w:rPr>
        <w:t xml:space="preserve"> a </w:t>
      </w:r>
      <w:hyperlink r:id="rId22" w:history="1">
        <w:r w:rsidRPr="00DF1EB8">
          <w:rPr>
            <w:rStyle w:val="Hyperlink"/>
            <w:sz w:val="24"/>
            <w:lang w:val="cs-CZ"/>
          </w:rPr>
          <w:t>https://doi.org/10.1186/s13045-019-0767-9</w:t>
        </w:r>
      </w:hyperlink>
      <w:r w:rsidRPr="00DF1EB8">
        <w:rPr>
          <w:sz w:val="24"/>
          <w:lang w:val="cs-CZ"/>
        </w:rPr>
        <w:t>.</w:t>
      </w:r>
    </w:p>
  </w:footnote>
  <w:footnote w:id="9">
    <w:p w14:paraId="571F31AF" w14:textId="4FDE3E29"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hyperlink r:id="rId23" w:history="1">
        <w:r w:rsidRPr="00DF1EB8">
          <w:rPr>
            <w:rStyle w:val="Hyperlink"/>
            <w:sz w:val="24"/>
            <w:lang w:val="cs-CZ"/>
          </w:rPr>
          <w:t>https://doi.org/10.1006/rtph.1999.1371</w:t>
        </w:r>
      </w:hyperlink>
      <w:r w:rsidRPr="00DF1EB8">
        <w:rPr>
          <w:sz w:val="24"/>
          <w:lang w:val="cs-CZ"/>
        </w:rPr>
        <w:t xml:space="preserve">. </w:t>
      </w:r>
    </w:p>
  </w:footnote>
  <w:footnote w:id="10">
    <w:p w14:paraId="62C1F8C3" w14:textId="11AA871F"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color w:val="000000" w:themeColor="text1"/>
          <w:sz w:val="24"/>
          <w:lang w:val="cs-CZ"/>
        </w:rPr>
        <w:t xml:space="preserve"> </w:t>
      </w:r>
      <w:r w:rsidR="00DF1EB8" w:rsidRPr="00DF1EB8">
        <w:rPr>
          <w:color w:val="000000" w:themeColor="text1"/>
          <w:sz w:val="24"/>
          <w:lang w:val="cs-CZ"/>
        </w:rPr>
        <w:tab/>
      </w:r>
      <w:r w:rsidRPr="00DF1EB8">
        <w:rPr>
          <w:color w:val="000000" w:themeColor="text1"/>
          <w:sz w:val="24"/>
          <w:lang w:val="cs-CZ"/>
        </w:rPr>
        <w:t>V prosinci 2022 byl na konferenci OSN o biologické rozmanitosti COP15 dohodnut celosvětový rámec pro biologickou rozmanitost, který obsahuje globální cíl omezit do roku 2030 riziko spojené s používáním pesticidů alespoň o 50</w:t>
      </w:r>
      <w:r w:rsidRPr="00DF1EB8">
        <w:rPr>
          <w:sz w:val="24"/>
          <w:lang w:val="cs-CZ"/>
        </w:rPr>
        <w:t> </w:t>
      </w:r>
      <w:r w:rsidRPr="00DF1EB8">
        <w:rPr>
          <w:color w:val="000000" w:themeColor="text1"/>
          <w:sz w:val="24"/>
          <w:lang w:val="cs-CZ"/>
        </w:rPr>
        <w:t xml:space="preserve">% (viz: </w:t>
      </w:r>
      <w:hyperlink r:id="rId24" w:history="1">
        <w:r w:rsidRPr="00DF1EB8">
          <w:rPr>
            <w:rStyle w:val="Hyperlink"/>
            <w:sz w:val="24"/>
            <w:lang w:val="cs-CZ"/>
          </w:rPr>
          <w:t>https://ec.europa.eu/commission/presscorner/detail/cs/ip_22_7834</w:t>
        </w:r>
      </w:hyperlink>
      <w:r w:rsidRPr="00DF1EB8">
        <w:rPr>
          <w:sz w:val="24"/>
          <w:lang w:val="cs-CZ"/>
        </w:rPr>
        <w:t>).</w:t>
      </w:r>
    </w:p>
  </w:footnote>
  <w:footnote w:id="11">
    <w:p w14:paraId="46714A26" w14:textId="728C8958"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hyperlink r:id="rId25" w:history="1">
        <w:r w:rsidRPr="00DF1EB8">
          <w:rPr>
            <w:rStyle w:val="Hyperlink"/>
            <w:sz w:val="24"/>
            <w:lang w:val="cs-CZ"/>
          </w:rPr>
          <w:t>https://commission.europa.eu/strategy-and-policy/priorities-2019-2024/european-green-deal/agriculture-and-green-deal/strategic-dialogue-future-eu-agriculture_cs</w:t>
        </w:r>
      </w:hyperlink>
      <w:r w:rsidRPr="00DF1EB8">
        <w:rPr>
          <w:rStyle w:val="Hyperlink"/>
          <w:sz w:val="24"/>
          <w:lang w:val="cs-CZ"/>
        </w:rPr>
        <w:t>.</w:t>
      </w:r>
      <w:r w:rsidRPr="00DF1EB8">
        <w:rPr>
          <w:sz w:val="24"/>
          <w:lang w:val="cs-CZ"/>
        </w:rPr>
        <w:t xml:space="preserve"> </w:t>
      </w:r>
    </w:p>
  </w:footnote>
  <w:footnote w:id="12">
    <w:p w14:paraId="03367092" w14:textId="0389ABB7" w:rsidR="00D2267B" w:rsidRPr="00DF1EB8" w:rsidRDefault="00D2267B" w:rsidP="00DF1EB8">
      <w:pPr>
        <w:pStyle w:val="FootnoteText"/>
        <w:ind w:left="567" w:hanging="567"/>
        <w:rPr>
          <w:sz w:val="24"/>
          <w:lang w:val="cs-CZ"/>
        </w:rPr>
      </w:pPr>
      <w:r w:rsidRPr="00DF1EB8">
        <w:rPr>
          <w:rStyle w:val="FootnoteReference"/>
          <w:sz w:val="24"/>
          <w:lang w:val="cs-CZ"/>
        </w:rPr>
        <w:footnoteRef/>
      </w:r>
      <w:r w:rsidR="00DF1EB8" w:rsidRPr="00DF1EB8">
        <w:rPr>
          <w:sz w:val="24"/>
          <w:lang w:val="cs-CZ"/>
        </w:rPr>
        <w:t xml:space="preserve"> </w:t>
      </w:r>
      <w:r w:rsidR="00DF1EB8" w:rsidRPr="00DF1EB8">
        <w:rPr>
          <w:sz w:val="24"/>
          <w:lang w:val="cs-CZ"/>
        </w:rPr>
        <w:tab/>
      </w:r>
      <w:r w:rsidRPr="00DF1EB8">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w:t>
      </w:r>
      <w:r w:rsidRPr="00DF1EB8">
        <w:rPr>
          <w:color w:val="000000" w:themeColor="text1"/>
          <w:sz w:val="24"/>
          <w:lang w:val="cs-CZ"/>
        </w:rPr>
        <w:t xml:space="preserve"> ELI: </w:t>
      </w:r>
      <w:hyperlink r:id="rId26" w:tgtFrame="Gives access to this document through its ELI URI." w:history="1">
        <w:r w:rsidRPr="00DF1EB8">
          <w:rPr>
            <w:rStyle w:val="Hyperlink"/>
            <w:color w:val="0070C0"/>
            <w:sz w:val="24"/>
            <w:lang w:val="cs-CZ"/>
          </w:rPr>
          <w:t>http://data.europa.eu/eli/reg/2002/178/oj</w:t>
        </w:r>
      </w:hyperlink>
      <w:r w:rsidRPr="00DF1EB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FFA7" w14:textId="77777777" w:rsidR="00064002" w:rsidRPr="00DF1E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8D762" w14:textId="77777777" w:rsidR="00064002" w:rsidRPr="00DF1E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C1CA0" w14:textId="77777777" w:rsidR="00064002" w:rsidRPr="00DF1E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5736348">
    <w:abstractNumId w:val="9"/>
  </w:num>
  <w:num w:numId="2" w16cid:durableId="860976688">
    <w:abstractNumId w:val="9"/>
  </w:num>
  <w:num w:numId="3" w16cid:durableId="1130711414">
    <w:abstractNumId w:val="7"/>
  </w:num>
  <w:num w:numId="4" w16cid:durableId="334650175">
    <w:abstractNumId w:val="7"/>
  </w:num>
  <w:num w:numId="5" w16cid:durableId="691567430">
    <w:abstractNumId w:val="6"/>
  </w:num>
  <w:num w:numId="6" w16cid:durableId="1349404016">
    <w:abstractNumId w:val="6"/>
  </w:num>
  <w:num w:numId="7" w16cid:durableId="840007673">
    <w:abstractNumId w:val="5"/>
  </w:num>
  <w:num w:numId="8" w16cid:durableId="1924147938">
    <w:abstractNumId w:val="5"/>
  </w:num>
  <w:num w:numId="9" w16cid:durableId="1626693500">
    <w:abstractNumId w:val="4"/>
  </w:num>
  <w:num w:numId="10" w16cid:durableId="1390423918">
    <w:abstractNumId w:val="4"/>
  </w:num>
  <w:num w:numId="11" w16cid:durableId="1534613375">
    <w:abstractNumId w:val="8"/>
  </w:num>
  <w:num w:numId="12" w16cid:durableId="626474058">
    <w:abstractNumId w:val="8"/>
  </w:num>
  <w:num w:numId="13" w16cid:durableId="606040024">
    <w:abstractNumId w:val="3"/>
  </w:num>
  <w:num w:numId="14" w16cid:durableId="1576358392">
    <w:abstractNumId w:val="3"/>
  </w:num>
  <w:num w:numId="15" w16cid:durableId="909968208">
    <w:abstractNumId w:val="2"/>
  </w:num>
  <w:num w:numId="16" w16cid:durableId="263391326">
    <w:abstractNumId w:val="2"/>
  </w:num>
  <w:num w:numId="17" w16cid:durableId="1290867054">
    <w:abstractNumId w:val="1"/>
  </w:num>
  <w:num w:numId="18" w16cid:durableId="34307983">
    <w:abstractNumId w:val="1"/>
  </w:num>
  <w:num w:numId="19" w16cid:durableId="1067991275">
    <w:abstractNumId w:val="0"/>
  </w:num>
  <w:num w:numId="20" w16cid:durableId="1616018358">
    <w:abstractNumId w:val="0"/>
  </w:num>
  <w:num w:numId="21" w16cid:durableId="417019745">
    <w:abstractNumId w:val="9"/>
  </w:num>
  <w:num w:numId="22" w16cid:durableId="1527019147">
    <w:abstractNumId w:val="7"/>
  </w:num>
  <w:num w:numId="23" w16cid:durableId="1323120309">
    <w:abstractNumId w:val="6"/>
  </w:num>
  <w:num w:numId="24" w16cid:durableId="1660570144">
    <w:abstractNumId w:val="5"/>
  </w:num>
  <w:num w:numId="25" w16cid:durableId="1910340021">
    <w:abstractNumId w:val="4"/>
  </w:num>
  <w:num w:numId="26" w16cid:durableId="79299752">
    <w:abstractNumId w:val="8"/>
  </w:num>
  <w:num w:numId="27" w16cid:durableId="422536041">
    <w:abstractNumId w:val="3"/>
  </w:num>
  <w:num w:numId="28" w16cid:durableId="402221392">
    <w:abstractNumId w:val="2"/>
  </w:num>
  <w:num w:numId="29" w16cid:durableId="1202472172">
    <w:abstractNumId w:val="1"/>
  </w:num>
  <w:num w:numId="30" w16cid:durableId="64038516">
    <w:abstractNumId w:val="0"/>
  </w:num>
  <w:num w:numId="31" w16cid:durableId="1320839291">
    <w:abstractNumId w:val="9"/>
  </w:num>
  <w:num w:numId="32" w16cid:durableId="840320207">
    <w:abstractNumId w:val="7"/>
  </w:num>
  <w:num w:numId="33" w16cid:durableId="155654815">
    <w:abstractNumId w:val="6"/>
  </w:num>
  <w:num w:numId="34" w16cid:durableId="1306205937">
    <w:abstractNumId w:val="5"/>
  </w:num>
  <w:num w:numId="35" w16cid:durableId="1430807082">
    <w:abstractNumId w:val="4"/>
  </w:num>
  <w:num w:numId="36" w16cid:durableId="401879687">
    <w:abstractNumId w:val="8"/>
  </w:num>
  <w:num w:numId="37" w16cid:durableId="775295502">
    <w:abstractNumId w:val="3"/>
  </w:num>
  <w:num w:numId="38" w16cid:durableId="496578600">
    <w:abstractNumId w:val="2"/>
  </w:num>
  <w:num w:numId="39" w16cid:durableId="1916745289">
    <w:abstractNumId w:val="1"/>
  </w:num>
  <w:num w:numId="40" w16cid:durableId="370375046">
    <w:abstractNumId w:val="0"/>
  </w:num>
  <w:num w:numId="41" w16cid:durableId="943464552">
    <w:abstractNumId w:val="10"/>
  </w:num>
  <w:num w:numId="42" w16cid:durableId="144590729">
    <w:abstractNumId w:val="10"/>
  </w:num>
  <w:num w:numId="43" w16cid:durableId="2123570573">
    <w:abstractNumId w:val="10"/>
  </w:num>
  <w:num w:numId="44" w16cid:durableId="1996373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CS"/>
    <w:docVar w:name="dvnumam" w:val="0"/>
    <w:docVar w:name="dvpe" w:val="782.192"/>
    <w:docVar w:name="dvtitre" w:val="Usnesení Evropského parlamentu ze dne.... 2026 o návrhu prováděcího rozhodnutí Komise o povolení uvedení produktů, které obsahují geneticky modifikovanou sóju DBN-09004-6, sestávají z ní nebo jsou z ní vyrobeny, na trh podle nařízení Evropského parlamentu a Rady (ES) č. 1829/2003 (D111472/02 – 2026/2523(RSP))"/>
  </w:docVars>
  <w:rsids>
    <w:rsidRoot w:val="00C75806"/>
    <w:rsid w:val="00002272"/>
    <w:rsid w:val="00010AE3"/>
    <w:rsid w:val="00064002"/>
    <w:rsid w:val="000677B9"/>
    <w:rsid w:val="000831BA"/>
    <w:rsid w:val="000A42CC"/>
    <w:rsid w:val="000E7DD9"/>
    <w:rsid w:val="0010095E"/>
    <w:rsid w:val="00122BD2"/>
    <w:rsid w:val="00125B37"/>
    <w:rsid w:val="00126CA4"/>
    <w:rsid w:val="00187494"/>
    <w:rsid w:val="001F161B"/>
    <w:rsid w:val="001F32AE"/>
    <w:rsid w:val="002767FF"/>
    <w:rsid w:val="002B18FE"/>
    <w:rsid w:val="002B5493"/>
    <w:rsid w:val="00343214"/>
    <w:rsid w:val="00361C00"/>
    <w:rsid w:val="0039328E"/>
    <w:rsid w:val="00395FA1"/>
    <w:rsid w:val="003E15D4"/>
    <w:rsid w:val="00411CCE"/>
    <w:rsid w:val="0041666E"/>
    <w:rsid w:val="00421060"/>
    <w:rsid w:val="00471C19"/>
    <w:rsid w:val="004867E3"/>
    <w:rsid w:val="00494A28"/>
    <w:rsid w:val="004C0004"/>
    <w:rsid w:val="004C5D52"/>
    <w:rsid w:val="004E6B31"/>
    <w:rsid w:val="0050519A"/>
    <w:rsid w:val="005072A1"/>
    <w:rsid w:val="00514517"/>
    <w:rsid w:val="00545827"/>
    <w:rsid w:val="00560270"/>
    <w:rsid w:val="005C2568"/>
    <w:rsid w:val="005F1B17"/>
    <w:rsid w:val="006037C0"/>
    <w:rsid w:val="006631B6"/>
    <w:rsid w:val="00680577"/>
    <w:rsid w:val="006C088E"/>
    <w:rsid w:val="006F74FA"/>
    <w:rsid w:val="00731ADD"/>
    <w:rsid w:val="00734777"/>
    <w:rsid w:val="00747932"/>
    <w:rsid w:val="00751A4A"/>
    <w:rsid w:val="00756632"/>
    <w:rsid w:val="00762C74"/>
    <w:rsid w:val="00786EC0"/>
    <w:rsid w:val="007D1690"/>
    <w:rsid w:val="007E22AD"/>
    <w:rsid w:val="00817416"/>
    <w:rsid w:val="00842779"/>
    <w:rsid w:val="00861EAE"/>
    <w:rsid w:val="00865F67"/>
    <w:rsid w:val="00881A7B"/>
    <w:rsid w:val="008840E5"/>
    <w:rsid w:val="00887B3E"/>
    <w:rsid w:val="008C2AC6"/>
    <w:rsid w:val="00930C23"/>
    <w:rsid w:val="0093193B"/>
    <w:rsid w:val="009509D8"/>
    <w:rsid w:val="00950B64"/>
    <w:rsid w:val="00977014"/>
    <w:rsid w:val="00981893"/>
    <w:rsid w:val="00A1687D"/>
    <w:rsid w:val="00A43E52"/>
    <w:rsid w:val="00A4678D"/>
    <w:rsid w:val="00A5793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806"/>
    <w:rsid w:val="00C941CB"/>
    <w:rsid w:val="00CC2357"/>
    <w:rsid w:val="00CF071A"/>
    <w:rsid w:val="00D058B8"/>
    <w:rsid w:val="00D2267B"/>
    <w:rsid w:val="00D56C11"/>
    <w:rsid w:val="00D834A0"/>
    <w:rsid w:val="00D872DF"/>
    <w:rsid w:val="00D91E21"/>
    <w:rsid w:val="00DA7FCD"/>
    <w:rsid w:val="00DF1EB8"/>
    <w:rsid w:val="00E365E1"/>
    <w:rsid w:val="00E7558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240F3"/>
  <w15:chartTrackingRefBased/>
  <w15:docId w15:val="{0AE555E9-2834-4475-8AE0-B7B0EEE26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2267B"/>
    <w:pPr>
      <w:spacing w:before="480" w:after="240"/>
    </w:pPr>
  </w:style>
  <w:style w:type="paragraph" w:customStyle="1" w:styleId="NormalHanging12a">
    <w:name w:val="NormalHanging12a"/>
    <w:basedOn w:val="Normal"/>
    <w:uiPriority w:val="99"/>
    <w:qFormat/>
    <w:rsid w:val="00D2267B"/>
    <w:pPr>
      <w:spacing w:after="240"/>
      <w:ind w:left="567" w:hanging="567"/>
    </w:pPr>
  </w:style>
  <w:style w:type="character" w:styleId="Hyperlink">
    <w:name w:val="Hyperlink"/>
    <w:basedOn w:val="DefaultParagraphFont"/>
    <w:uiPriority w:val="99"/>
    <w:rsid w:val="00D2267B"/>
    <w:rPr>
      <w:color w:val="0563C1" w:themeColor="hyperlink"/>
      <w:u w:val="single"/>
    </w:rPr>
  </w:style>
  <w:style w:type="paragraph" w:styleId="NormalWeb">
    <w:name w:val="Normal (Web)"/>
    <w:basedOn w:val="Normal"/>
    <w:uiPriority w:val="99"/>
    <w:unhideWhenUsed/>
    <w:rsid w:val="00D2267B"/>
    <w:pPr>
      <w:widowControl/>
      <w:spacing w:before="100" w:beforeAutospacing="1" w:after="100" w:afterAutospacing="1"/>
    </w:pPr>
    <w:rPr>
      <w:szCs w:val="24"/>
    </w:rPr>
  </w:style>
  <w:style w:type="paragraph" w:styleId="Revision">
    <w:name w:val="Revision"/>
    <w:hidden/>
    <w:uiPriority w:val="99"/>
    <w:semiHidden/>
    <w:rsid w:val="00977014"/>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cs"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cs/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1611</Words>
  <Characters>9568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2026-03-18T12:25:00Z</dcterms:created>
  <dcterms:modified xsi:type="dcterms:W3CDTF">2026-03-18T12:25:00Z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B10-0107/2026</vt:lpwstr>
  </property>
  <property fmtid="{D5CDD505-2E9C-101B-9397-08002B2CF9AE}" pid="4" name="&lt;Type&gt;">
    <vt:lpwstr>RR</vt:lpwstr>
  </property>
</Properties>
</file>