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26BC" w14:paraId="5AC9C356" w14:textId="77777777" w:rsidTr="0010095E">
        <w:trPr>
          <w:trHeight w:hRule="exact" w:val="1418"/>
        </w:trPr>
        <w:tc>
          <w:tcPr>
            <w:tcW w:w="6804" w:type="dxa"/>
            <w:shd w:val="clear" w:color="auto" w:fill="auto"/>
            <w:vAlign w:val="center"/>
          </w:tcPr>
          <w:p w14:paraId="2636CD96" w14:textId="77777777" w:rsidR="00751A4A" w:rsidRPr="009226BC" w:rsidRDefault="0099794B" w:rsidP="0010095E">
            <w:pPr>
              <w:pStyle w:val="EPName"/>
            </w:pPr>
            <w:r w:rsidRPr="009226BC">
              <w:t>Parlamento Europeo</w:t>
            </w:r>
          </w:p>
          <w:p w14:paraId="1F79BD13" w14:textId="77777777" w:rsidR="00751A4A" w:rsidRPr="009226BC" w:rsidRDefault="005F1B17" w:rsidP="005F1B17">
            <w:pPr>
              <w:pStyle w:val="EPTerm"/>
              <w:rPr>
                <w:rStyle w:val="HideTWBExt"/>
                <w:noProof w:val="0"/>
                <w:vanish w:val="0"/>
                <w:color w:val="auto"/>
              </w:rPr>
            </w:pPr>
            <w:r w:rsidRPr="009226BC">
              <w:t>2024</w:t>
            </w:r>
            <w:r w:rsidR="00817416" w:rsidRPr="009226BC">
              <w:t>-202</w:t>
            </w:r>
            <w:r w:rsidRPr="009226BC">
              <w:t>9</w:t>
            </w:r>
          </w:p>
        </w:tc>
        <w:tc>
          <w:tcPr>
            <w:tcW w:w="2268" w:type="dxa"/>
            <w:shd w:val="clear" w:color="auto" w:fill="auto"/>
          </w:tcPr>
          <w:p w14:paraId="1C57439E" w14:textId="77777777" w:rsidR="00751A4A" w:rsidRPr="009226BC" w:rsidRDefault="00187494" w:rsidP="0010095E">
            <w:pPr>
              <w:pStyle w:val="EPLogo"/>
            </w:pPr>
            <w:r w:rsidRPr="009226BC">
              <w:rPr>
                <w:noProof/>
                <w:lang w:eastAsia="ja-JP"/>
              </w:rPr>
              <w:drawing>
                <wp:inline distT="0" distB="0" distL="0" distR="0" wp14:anchorId="374BE8EA" wp14:editId="763319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57AA43" w14:textId="77777777" w:rsidR="00D058B8" w:rsidRPr="009226BC" w:rsidRDefault="00D058B8" w:rsidP="004C5D52">
      <w:pPr>
        <w:pStyle w:val="LineTop"/>
      </w:pPr>
    </w:p>
    <w:p w14:paraId="032B9506" w14:textId="77777777" w:rsidR="00680577" w:rsidRPr="009226BC" w:rsidRDefault="0099794B" w:rsidP="00680577">
      <w:pPr>
        <w:pStyle w:val="EPBodyTA1"/>
      </w:pPr>
      <w:r w:rsidRPr="009226BC">
        <w:t>TEXTOS APROBADOS</w:t>
      </w:r>
    </w:p>
    <w:p w14:paraId="3A00C200" w14:textId="77777777" w:rsidR="00D058B8" w:rsidRPr="009226BC" w:rsidRDefault="00D058B8" w:rsidP="00D058B8">
      <w:pPr>
        <w:pStyle w:val="LineBottom"/>
      </w:pPr>
    </w:p>
    <w:p w14:paraId="4A1F4408" w14:textId="0BEFE5A1" w:rsidR="0099794B" w:rsidRPr="009226BC" w:rsidRDefault="0099794B" w:rsidP="0099794B">
      <w:pPr>
        <w:pStyle w:val="ATHeading1"/>
      </w:pPr>
      <w:bookmarkStart w:id="0" w:name="TANumber"/>
      <w:r w:rsidRPr="009226BC">
        <w:t>P10_</w:t>
      </w:r>
      <w:proofErr w:type="gramStart"/>
      <w:r w:rsidRPr="009226BC">
        <w:t>TA(</w:t>
      </w:r>
      <w:proofErr w:type="gramEnd"/>
      <w:r w:rsidRPr="009226BC">
        <w:t>2026)</w:t>
      </w:r>
      <w:bookmarkEnd w:id="0"/>
      <w:r w:rsidR="009226BC">
        <w:t>0041</w:t>
      </w:r>
    </w:p>
    <w:p w14:paraId="2C81C312" w14:textId="77777777" w:rsidR="0099794B" w:rsidRPr="009226BC" w:rsidRDefault="0099794B" w:rsidP="0099794B">
      <w:pPr>
        <w:pStyle w:val="ATHeading2"/>
      </w:pPr>
      <w:bookmarkStart w:id="1" w:name="title"/>
      <w:r w:rsidRPr="009226BC">
        <w:t>Oposición con arreglo al artículo 115, apartados 2 y 3, del Reglamento interno: soja modificada genéticamente DBN-09004-6</w:t>
      </w:r>
      <w:bookmarkEnd w:id="1"/>
    </w:p>
    <w:p w14:paraId="09254D0E" w14:textId="77777777" w:rsidR="0099794B" w:rsidRPr="009226BC" w:rsidRDefault="0099794B" w:rsidP="0099794B">
      <w:pPr>
        <w:rPr>
          <w:i/>
          <w:vanish/>
        </w:rPr>
      </w:pPr>
      <w:r w:rsidRPr="009226BC">
        <w:rPr>
          <w:i/>
        </w:rPr>
        <w:fldChar w:fldCharType="begin"/>
      </w:r>
      <w:r w:rsidRPr="009226BC">
        <w:rPr>
          <w:i/>
        </w:rPr>
        <w:instrText xml:space="preserve"> TC"(</w:instrText>
      </w:r>
      <w:bookmarkStart w:id="2" w:name="DocNumber"/>
      <w:r w:rsidRPr="009226BC">
        <w:rPr>
          <w:i/>
        </w:rPr>
        <w:instrText>B10-0107/2026</w:instrText>
      </w:r>
      <w:bookmarkEnd w:id="2"/>
      <w:r w:rsidRPr="009226BC">
        <w:rPr>
          <w:i/>
        </w:rPr>
        <w:instrText xml:space="preserve">)"\l3 \n&gt; \* MERGEFORMAT </w:instrText>
      </w:r>
      <w:r w:rsidRPr="009226BC">
        <w:rPr>
          <w:i/>
        </w:rPr>
        <w:fldChar w:fldCharType="end"/>
      </w:r>
    </w:p>
    <w:p w14:paraId="7709B872" w14:textId="77777777" w:rsidR="0099794B" w:rsidRPr="009226BC" w:rsidRDefault="0099794B" w:rsidP="0099794B">
      <w:pPr>
        <w:rPr>
          <w:vanish/>
        </w:rPr>
      </w:pPr>
      <w:bookmarkStart w:id="3" w:name="PE"/>
      <w:r w:rsidRPr="009226BC">
        <w:rPr>
          <w:vanish/>
        </w:rPr>
        <w:t>PE782.192</w:t>
      </w:r>
      <w:bookmarkEnd w:id="3"/>
    </w:p>
    <w:p w14:paraId="4AF5ED9E" w14:textId="4679B8AF" w:rsidR="0099794B" w:rsidRPr="009226BC" w:rsidRDefault="0099794B" w:rsidP="0099794B">
      <w:pPr>
        <w:pStyle w:val="ATHeading3"/>
      </w:pPr>
      <w:bookmarkStart w:id="4" w:name="Sujet"/>
      <w:r w:rsidRPr="009226BC">
        <w:t xml:space="preserve">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w:t>
      </w:r>
      <w:bookmarkStart w:id="5" w:name="References"/>
      <w:bookmarkEnd w:id="4"/>
      <w:r w:rsidRPr="009226BC">
        <w:t>(D111472/02 – 2026/2523(RSP))</w:t>
      </w:r>
      <w:bookmarkEnd w:id="5"/>
    </w:p>
    <w:p w14:paraId="45510982" w14:textId="77777777" w:rsidR="00D50B61" w:rsidRPr="009226BC" w:rsidRDefault="00D50B61" w:rsidP="00D50B61">
      <w:pPr>
        <w:pStyle w:val="EPComma"/>
        <w:widowControl/>
      </w:pPr>
      <w:bookmarkStart w:id="6" w:name="TextBodyBegin"/>
      <w:bookmarkEnd w:id="6"/>
      <w:r w:rsidRPr="009226BC">
        <w:rPr>
          <w:i/>
          <w:iCs/>
        </w:rPr>
        <w:t>El Parlamento Europeo</w:t>
      </w:r>
      <w:r w:rsidRPr="009226BC">
        <w:t>,</w:t>
      </w:r>
    </w:p>
    <w:p w14:paraId="50E691E6" w14:textId="77777777" w:rsidR="00D50B61" w:rsidRPr="009226BC" w:rsidRDefault="00D50B61" w:rsidP="00D50B61">
      <w:pPr>
        <w:pStyle w:val="NormalHanging12a"/>
        <w:widowControl/>
      </w:pPr>
      <w:r w:rsidRPr="009226BC">
        <w:t>–</w:t>
      </w:r>
      <w:r w:rsidRPr="009226BC">
        <w:tab/>
        <w:t>Visto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(D111472/02),</w:t>
      </w:r>
    </w:p>
    <w:p w14:paraId="3877FDF2" w14:textId="77777777" w:rsidR="00D50B61" w:rsidRPr="009226BC" w:rsidRDefault="00D50B61" w:rsidP="00D50B61">
      <w:pPr>
        <w:pStyle w:val="NormalHanging12a"/>
        <w:widowControl/>
      </w:pPr>
      <w:r w:rsidRPr="009226BC">
        <w:t>–</w:t>
      </w:r>
      <w:r w:rsidRPr="009226BC">
        <w:tab/>
        <w:t>Visto el Reglamento (CE) n.º 1829/2003 del Parlamento Europeo y del Consejo, de 22 de septiembre de 2003, sobre alimentos y piensos modificados genéticamente</w:t>
      </w:r>
      <w:r w:rsidRPr="009226BC">
        <w:rPr>
          <w:rStyle w:val="FootnoteReference"/>
        </w:rPr>
        <w:footnoteReference w:id="1"/>
      </w:r>
      <w:r w:rsidRPr="009226BC">
        <w:t>, y en particular su artículo 7, apartado 3, y su artículo 19, apartado 3,</w:t>
      </w:r>
    </w:p>
    <w:p w14:paraId="6E55FB23" w14:textId="7C752B4A" w:rsidR="00D50B61" w:rsidRPr="009226BC" w:rsidRDefault="00D50B61" w:rsidP="008D44DA">
      <w:pPr>
        <w:pStyle w:val="NormalHanging12a"/>
        <w:widowControl/>
      </w:pPr>
      <w:r w:rsidRPr="009226BC">
        <w:t>–</w:t>
      </w:r>
      <w:r w:rsidRPr="009226BC">
        <w:tab/>
        <w:t>Vista la votación en el Comité Permanente de Vegetales, Animales, Alimentos y Piensos al que se refiere el artículo 35 del Reglamento (CE) n.º 1829/2003, celebrada el 12 de diciembre de 2025, en la que no se emitió ningún dictamen</w:t>
      </w:r>
      <w:bookmarkStart w:id="7" w:name="_Hlk219206484"/>
      <w:r w:rsidRPr="009226BC">
        <w:t>,</w:t>
      </w:r>
      <w:bookmarkEnd w:id="7"/>
      <w:r w:rsidR="008D44DA" w:rsidRPr="009226BC">
        <w:t xml:space="preserve"> y la votación del 27 de enero de 2026 en el Comité de Apelación, en la que tampoco se emitió dictamen alguno,</w:t>
      </w:r>
    </w:p>
    <w:p w14:paraId="73905FD4" w14:textId="77777777" w:rsidR="00D50B61" w:rsidRPr="009226BC" w:rsidRDefault="00D50B61" w:rsidP="00D50B61">
      <w:pPr>
        <w:pStyle w:val="NormalHanging12a"/>
        <w:widowControl/>
      </w:pPr>
      <w:r w:rsidRPr="009226BC">
        <w:t>–</w:t>
      </w:r>
      <w:r w:rsidRPr="009226BC">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9226BC">
        <w:rPr>
          <w:rStyle w:val="FootnoteReference"/>
        </w:rPr>
        <w:footnoteReference w:id="2"/>
      </w:r>
      <w:r w:rsidRPr="009226BC">
        <w:t>,</w:t>
      </w:r>
    </w:p>
    <w:p w14:paraId="04B93A6F" w14:textId="77777777" w:rsidR="00D50B61" w:rsidRPr="009226BC" w:rsidRDefault="00D50B61" w:rsidP="00D50B61">
      <w:pPr>
        <w:pStyle w:val="NormalHanging12a"/>
        <w:widowControl/>
      </w:pPr>
      <w:r w:rsidRPr="009226BC">
        <w:lastRenderedPageBreak/>
        <w:t>–</w:t>
      </w:r>
      <w:r w:rsidRPr="009226BC">
        <w:tab/>
        <w:t>Visto el dictamen adoptado por la Autoridad Europea de Seguridad Alimentaria (en lo sucesivo, «EFSA») el 21 de mayo de 2025 y publicado el 7 de julio de 2025</w:t>
      </w:r>
      <w:r w:rsidRPr="009226BC">
        <w:rPr>
          <w:vertAlign w:val="superscript"/>
        </w:rPr>
        <w:footnoteReference w:id="3"/>
      </w:r>
      <w:r w:rsidRPr="009226BC">
        <w:t>,</w:t>
      </w:r>
    </w:p>
    <w:p w14:paraId="510375E3" w14:textId="77777777" w:rsidR="00D50B61" w:rsidRPr="009226BC" w:rsidRDefault="00D50B61" w:rsidP="00D50B61">
      <w:pPr>
        <w:pStyle w:val="NormalHanging12a"/>
        <w:widowControl/>
      </w:pPr>
      <w:r w:rsidRPr="009226BC">
        <w:t>–</w:t>
      </w:r>
      <w:r w:rsidRPr="009226BC">
        <w:tab/>
        <w:t>Vistas sus anteriores Resoluciones de oposición a la autorización de organismos modificados genéticamente</w:t>
      </w:r>
      <w:r w:rsidRPr="009226BC">
        <w:rPr>
          <w:vertAlign w:val="superscript"/>
        </w:rPr>
        <w:footnoteReference w:id="4"/>
      </w:r>
      <w:r w:rsidRPr="009226BC">
        <w:t>,</w:t>
      </w:r>
    </w:p>
    <w:p w14:paraId="0CCE5CD6" w14:textId="77777777" w:rsidR="00D50B61" w:rsidRPr="009226BC" w:rsidRDefault="00D50B61" w:rsidP="00D50B61">
      <w:pPr>
        <w:pStyle w:val="NormalHanging12a"/>
        <w:widowControl/>
      </w:pPr>
      <w:r w:rsidRPr="009226BC">
        <w:lastRenderedPageBreak/>
        <w:t>–</w:t>
      </w:r>
      <w:r w:rsidRPr="009226BC">
        <w:tab/>
        <w:t>Visto el artículo 115, apartados 2 y 3, de su Reglamento interno,</w:t>
      </w:r>
    </w:p>
    <w:p w14:paraId="63CC2946" w14:textId="77777777" w:rsidR="00D50B61" w:rsidRPr="009226BC" w:rsidRDefault="00D50B61" w:rsidP="00D50B61">
      <w:pPr>
        <w:pStyle w:val="NormalHanging12a"/>
        <w:widowControl/>
      </w:pPr>
      <w:r w:rsidRPr="009226BC">
        <w:t>–</w:t>
      </w:r>
      <w:r w:rsidRPr="009226BC">
        <w:tab/>
        <w:t>Vista la propuesta de Resolución de la Comisión de Medio Ambiente, Clima y Seguridad Alimentaria,</w:t>
      </w:r>
    </w:p>
    <w:p w14:paraId="2A5850BA" w14:textId="77777777" w:rsidR="00D50B61" w:rsidRPr="009226BC" w:rsidRDefault="00D50B61" w:rsidP="00D50B61">
      <w:pPr>
        <w:pStyle w:val="NormalHanging12a"/>
        <w:widowControl/>
        <w:ind w:hanging="570"/>
      </w:pPr>
      <w:r w:rsidRPr="009226BC">
        <w:t>A.</w:t>
      </w:r>
      <w:r w:rsidRPr="009226BC">
        <w:tab/>
        <w:t xml:space="preserve">Considerando que, el 20 de diciembre de 2019, </w:t>
      </w:r>
      <w:proofErr w:type="spellStart"/>
      <w:r w:rsidRPr="009226BC">
        <w:t>Perseus</w:t>
      </w:r>
      <w:proofErr w:type="spellEnd"/>
      <w:r w:rsidRPr="009226BC">
        <w:t xml:space="preserve"> BV, con sede en Bélgica, presentó a la autoridad nacional competente de Bélgica, en nombre de Beijing </w:t>
      </w:r>
      <w:proofErr w:type="spellStart"/>
      <w:r w:rsidRPr="009226BC">
        <w:t>DaBeiNong</w:t>
      </w:r>
      <w:proofErr w:type="spellEnd"/>
      <w:r w:rsidRPr="009226BC">
        <w:t xml:space="preserve"> </w:t>
      </w:r>
      <w:proofErr w:type="spellStart"/>
      <w:r w:rsidRPr="009226BC">
        <w:t>Biotechnology</w:t>
      </w:r>
      <w:proofErr w:type="spellEnd"/>
      <w:r w:rsidRPr="009226BC">
        <w:t xml:space="preserve"> Co., Ltd., con sede en China, </w:t>
      </w:r>
      <w:r w:rsidRPr="009226BC">
        <w:rPr>
          <w:snapToGrid w:val="0"/>
        </w:rPr>
        <w:t>una solicitud</w:t>
      </w:r>
      <w:r w:rsidRPr="009226BC">
        <w:t xml:space="preserve"> para la comercialización de alimentos, ingredientes alimentarios y piensos que contengan o estén compuestos por soja modificada genéticamente DBN-09004-6 (en lo sucesivo, «soja modificada genéticamente») o se hayan producido a partir de ella, de conformidad con los artículos 5 y 17 del Reglamento (CE) n.º 1829/2003; que la solicitud se refería también a la comercialización de productos que contengan o se compongan de la soja modificada genéticamente para usos distintos de los alimentos y piensos, a excepción del cultivo;</w:t>
      </w:r>
    </w:p>
    <w:p w14:paraId="191DB16F" w14:textId="77777777" w:rsidR="00D50B61" w:rsidRPr="009226BC" w:rsidRDefault="00D50B61" w:rsidP="00D50B61">
      <w:pPr>
        <w:pStyle w:val="NormalHanging12a"/>
        <w:widowControl/>
        <w:ind w:hanging="570"/>
      </w:pPr>
      <w:bookmarkStart w:id="8" w:name="_Hlk218675754"/>
      <w:r w:rsidRPr="009226BC">
        <w:t>B.</w:t>
      </w:r>
      <w:r w:rsidRPr="009226BC">
        <w:tab/>
        <w:t xml:space="preserve">Considerando que, el 7 de julio de 2025, la EFSA emitió un dictamen científico favorable con arreglo a los artículos 6 y 18 del Reglamento (CE) n.º 1829/2003, en el que concluyó que la soja modificada genéticamente, tal como se describe en la solicitud, es tan segura como su homólogo convencional y las variedades de referencia de soja no modificadas genéticamente sometidas a ensayo con respecto a sus posibles efectos en la salud humana y animal y en el medio ambiente; que dicho dictamen no abordó toda una </w:t>
      </w:r>
      <w:r w:rsidRPr="009226BC">
        <w:lastRenderedPageBreak/>
        <w:t>serie de efectos medioambientales, socioeconómicos y acumulativos más amplios que la EFSA considera que quedan fuera de su ámbito de competencias;</w:t>
      </w:r>
    </w:p>
    <w:p w14:paraId="232CBC34" w14:textId="77777777" w:rsidR="00D50B61" w:rsidRPr="009226BC" w:rsidRDefault="00D50B61" w:rsidP="00D50B61">
      <w:pPr>
        <w:pStyle w:val="NormalHanging12a"/>
        <w:widowControl/>
        <w:ind w:hanging="570"/>
      </w:pPr>
      <w:r w:rsidRPr="009226BC">
        <w:t>C.</w:t>
      </w:r>
      <w:r w:rsidRPr="009226BC">
        <w:tab/>
        <w:t xml:space="preserve">Considerando que la soja modificada genéticamente se ha desarrollado para conferir tolerancia al </w:t>
      </w:r>
      <w:proofErr w:type="spellStart"/>
      <w:r w:rsidRPr="009226BC">
        <w:t>glufosinato</w:t>
      </w:r>
      <w:proofErr w:type="spellEnd"/>
      <w:r w:rsidRPr="009226BC">
        <w:t xml:space="preserve"> y al glifosato;</w:t>
      </w:r>
    </w:p>
    <w:bookmarkEnd w:id="8"/>
    <w:p w14:paraId="063CD84F" w14:textId="77777777" w:rsidR="00D50B61" w:rsidRPr="009226BC" w:rsidRDefault="00D50B61" w:rsidP="00D50B61">
      <w:pPr>
        <w:pStyle w:val="NormalHanging12a"/>
        <w:widowControl/>
      </w:pPr>
      <w:r w:rsidRPr="009226BC">
        <w:t>D.</w:t>
      </w:r>
      <w:r w:rsidRPr="009226BC">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 la soja;</w:t>
      </w:r>
    </w:p>
    <w:p w14:paraId="6742F1C3" w14:textId="77777777" w:rsidR="00D50B61" w:rsidRPr="009226BC" w:rsidRDefault="00D50B61" w:rsidP="00D50B61">
      <w:pPr>
        <w:pStyle w:val="NormalHanging12a"/>
        <w:widowControl/>
        <w:rPr>
          <w:color w:val="000000" w:themeColor="text1"/>
          <w:szCs w:val="24"/>
        </w:rPr>
      </w:pPr>
      <w:r w:rsidRPr="009226BC">
        <w:rPr>
          <w:color w:val="000000" w:themeColor="text1"/>
        </w:rPr>
        <w:t>E.</w:t>
      </w:r>
      <w:r w:rsidRPr="009226BC">
        <w:rPr>
          <w:color w:val="000000" w:themeColor="text1"/>
        </w:rPr>
        <w:tab/>
      </w:r>
      <w:r w:rsidRPr="009226BC">
        <w:t xml:space="preserve">Considerando que la gran mayoría de los cultivos modificados genéticamente, incluida la soja modificada genéticamente, se han modificado para que sean tolerantes a uno o varios herbicidas «complementarios» de modo que estos puedan utilizarse durante todo el cultivo de la planta modificada genéticamente sin que esta muera, como sucedería con una planta no tolerante a los herbicidas; </w:t>
      </w:r>
      <w:r w:rsidRPr="009226BC">
        <w:rPr>
          <w:color w:val="000000" w:themeColor="text1"/>
        </w:rPr>
        <w:t>que diversos estudios demuestran que, en los cultivos modificados genéticamente con tolerancia a herbicidas, se hace un mayor uso de los herbicidas complementarios, debido en gran parte a la aparición de malas hierbas tolerantes a los herbicidas</w:t>
      </w:r>
      <w:r w:rsidRPr="009226BC">
        <w:rPr>
          <w:rStyle w:val="FootnoteReference"/>
          <w:color w:val="000000" w:themeColor="text1"/>
          <w:szCs w:val="24"/>
        </w:rPr>
        <w:footnoteReference w:id="5"/>
      </w:r>
      <w:r w:rsidRPr="009226BC">
        <w:rPr>
          <w:color w:val="000000" w:themeColor="text1"/>
        </w:rPr>
        <w:t>;</w:t>
      </w:r>
    </w:p>
    <w:p w14:paraId="0E41C658" w14:textId="77777777" w:rsidR="00D50B61" w:rsidRPr="009226BC" w:rsidRDefault="00D50B61" w:rsidP="00D50B61">
      <w:pPr>
        <w:widowControl/>
        <w:spacing w:after="240"/>
        <w:ind w:left="567" w:hanging="567"/>
        <w:rPr>
          <w:color w:val="000000" w:themeColor="text1"/>
          <w:szCs w:val="24"/>
        </w:rPr>
      </w:pPr>
      <w:r w:rsidRPr="009226BC">
        <w:t>F.</w:t>
      </w:r>
      <w:r w:rsidRPr="009226BC">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los herbicidas complementarios;</w:t>
      </w:r>
      <w:r w:rsidRPr="009226BC">
        <w:rPr>
          <w:color w:val="000000" w:themeColor="text1"/>
        </w:rPr>
        <w:t xml:space="preserve"> que la mayor dependencia de los herbicidas complementarios en las explotaciones de soja modificada genéticamente acelerará la aparición y propagación de malas hierbas resistentes a esos herbicidas, lo que a su vez generará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r w:rsidRPr="009226BC">
        <w:rPr>
          <w:rStyle w:val="FootnoteReference"/>
          <w:color w:val="000000" w:themeColor="text1"/>
          <w:szCs w:val="24"/>
        </w:rPr>
        <w:footnoteReference w:id="6"/>
      </w:r>
      <w:r w:rsidRPr="009226BC">
        <w:rPr>
          <w:color w:val="000000" w:themeColor="text1"/>
        </w:rPr>
        <w:t>;</w:t>
      </w:r>
    </w:p>
    <w:p w14:paraId="0C62E527" w14:textId="77777777" w:rsidR="00D50B61" w:rsidRPr="009226BC" w:rsidRDefault="00D50B61" w:rsidP="00D50B61">
      <w:pPr>
        <w:pStyle w:val="NormalWeb"/>
        <w:spacing w:before="0" w:beforeAutospacing="0" w:after="240" w:afterAutospacing="0"/>
        <w:ind w:left="567" w:hanging="567"/>
      </w:pPr>
      <w:r w:rsidRPr="009226BC">
        <w:t>G.</w:t>
      </w:r>
      <w:r w:rsidRPr="009226BC">
        <w:tab/>
        <w:t xml:space="preserve">Considerando que el </w:t>
      </w:r>
      <w:proofErr w:type="spellStart"/>
      <w:r w:rsidRPr="009226BC">
        <w:t>glufosinato</w:t>
      </w:r>
      <w:proofErr w:type="spellEnd"/>
      <w:r w:rsidRPr="009226BC">
        <w:t xml:space="preserve"> está clasificado como sustancia tóxica para la reproducción de categoría 1B y, por lo tanto, cumple los «criterios de exclusión» establecidos en el Reglamento (CE) n.º 1107/2009 del Parlamento Europeo y del </w:t>
      </w:r>
      <w:r w:rsidRPr="009226BC">
        <w:lastRenderedPageBreak/>
        <w:t>Consejo</w:t>
      </w:r>
      <w:r w:rsidRPr="009226BC">
        <w:rPr>
          <w:rStyle w:val="FootnoteReference"/>
        </w:rPr>
        <w:footnoteReference w:id="7"/>
      </w:r>
      <w:r w:rsidRPr="009226BC">
        <w:t xml:space="preserve">; que la aprobación del </w:t>
      </w:r>
      <w:proofErr w:type="spellStart"/>
      <w:r w:rsidRPr="009226BC">
        <w:t>glufosinato</w:t>
      </w:r>
      <w:proofErr w:type="spellEnd"/>
      <w:r w:rsidRPr="009226BC">
        <w:t xml:space="preserve"> para su uso en la Unión venció el 31 de julio de 2018;</w:t>
      </w:r>
    </w:p>
    <w:p w14:paraId="48FDD213" w14:textId="77777777" w:rsidR="00D50B61" w:rsidRPr="009226BC" w:rsidRDefault="00D50B61" w:rsidP="00D50B61">
      <w:pPr>
        <w:pStyle w:val="NormalHanging12a"/>
        <w:widowControl/>
      </w:pPr>
      <w:r w:rsidRPr="009226BC">
        <w:t>H.</w:t>
      </w:r>
      <w:r w:rsidRPr="009226BC">
        <w:tab/>
        <w:t>Considerando que siguen existiendo graves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9226BC">
        <w:rPr>
          <w:rStyle w:val="FootnoteReference"/>
        </w:rPr>
        <w:footnoteReference w:id="8"/>
      </w:r>
      <w:r w:rsidRPr="009226BC">
        <w:t xml:space="preserve">; que la revista </w:t>
      </w:r>
      <w:proofErr w:type="spellStart"/>
      <w:r w:rsidRPr="009226BC">
        <w:rPr>
          <w:i/>
          <w:iCs/>
        </w:rPr>
        <w:t>Regulatory</w:t>
      </w:r>
      <w:proofErr w:type="spellEnd"/>
      <w:r w:rsidRPr="009226BC">
        <w:rPr>
          <w:i/>
          <w:iCs/>
        </w:rPr>
        <w:t xml:space="preserve"> </w:t>
      </w:r>
      <w:proofErr w:type="spellStart"/>
      <w:r w:rsidRPr="009226BC">
        <w:rPr>
          <w:i/>
          <w:iCs/>
        </w:rPr>
        <w:t>Toxicology</w:t>
      </w:r>
      <w:proofErr w:type="spellEnd"/>
      <w:r w:rsidRPr="009226BC">
        <w:rPr>
          <w:i/>
          <w:iCs/>
        </w:rPr>
        <w:t xml:space="preserve"> and </w:t>
      </w:r>
      <w:proofErr w:type="spellStart"/>
      <w:r w:rsidRPr="009226BC">
        <w:rPr>
          <w:i/>
          <w:iCs/>
        </w:rPr>
        <w:t>Pharmacology</w:t>
      </w:r>
      <w:proofErr w:type="spellEnd"/>
      <w:r w:rsidRPr="009226BC">
        <w:t xml:space="preserve"> ha retirado formalmente la publicación científica «Safety </w:t>
      </w:r>
      <w:proofErr w:type="spellStart"/>
      <w:r w:rsidRPr="009226BC">
        <w:t>Evaluation</w:t>
      </w:r>
      <w:proofErr w:type="spellEnd"/>
      <w:r w:rsidRPr="009226BC">
        <w:t xml:space="preserve"> and </w:t>
      </w:r>
      <w:proofErr w:type="spellStart"/>
      <w:r w:rsidRPr="009226BC">
        <w:t>Risk</w:t>
      </w:r>
      <w:proofErr w:type="spellEnd"/>
      <w:r w:rsidRPr="009226BC">
        <w:t xml:space="preserve"> </w:t>
      </w:r>
      <w:proofErr w:type="spellStart"/>
      <w:r w:rsidRPr="009226BC">
        <w:t>Assessment</w:t>
      </w:r>
      <w:proofErr w:type="spellEnd"/>
      <w:r w:rsidRPr="009226BC">
        <w:t xml:space="preserve"> </w:t>
      </w:r>
      <w:proofErr w:type="spellStart"/>
      <w:r w:rsidRPr="009226BC">
        <w:t>of</w:t>
      </w:r>
      <w:proofErr w:type="spellEnd"/>
      <w:r w:rsidRPr="009226BC">
        <w:t xml:space="preserve"> </w:t>
      </w:r>
      <w:proofErr w:type="spellStart"/>
      <w:r w:rsidRPr="009226BC">
        <w:t>the</w:t>
      </w:r>
      <w:proofErr w:type="spellEnd"/>
      <w:r w:rsidRPr="009226BC">
        <w:t xml:space="preserve"> </w:t>
      </w:r>
      <w:proofErr w:type="spellStart"/>
      <w:r w:rsidRPr="009226BC">
        <w:t>Herbicide</w:t>
      </w:r>
      <w:proofErr w:type="spellEnd"/>
      <w:r w:rsidRPr="009226BC">
        <w:t xml:space="preserve"> </w:t>
      </w:r>
      <w:proofErr w:type="spellStart"/>
      <w:r w:rsidRPr="009226BC">
        <w:t>Roundup</w:t>
      </w:r>
      <w:proofErr w:type="spellEnd"/>
      <w:r w:rsidRPr="009226BC">
        <w:t xml:space="preserve"> and </w:t>
      </w:r>
      <w:proofErr w:type="spellStart"/>
      <w:r w:rsidRPr="009226BC">
        <w:t>Its</w:t>
      </w:r>
      <w:proofErr w:type="spellEnd"/>
      <w:r w:rsidRPr="009226BC">
        <w:t xml:space="preserve"> Active </w:t>
      </w:r>
      <w:proofErr w:type="spellStart"/>
      <w:r w:rsidRPr="009226BC">
        <w:t>Ingredient</w:t>
      </w:r>
      <w:proofErr w:type="spellEnd"/>
      <w:r w:rsidRPr="009226BC">
        <w:t xml:space="preserve">, </w:t>
      </w:r>
      <w:proofErr w:type="spellStart"/>
      <w:r w:rsidRPr="009226BC">
        <w:t>Glyphosate</w:t>
      </w:r>
      <w:proofErr w:type="spellEnd"/>
      <w:r w:rsidRPr="009226BC">
        <w:t xml:space="preserve">, </w:t>
      </w:r>
      <w:proofErr w:type="spellStart"/>
      <w:r w:rsidRPr="009226BC">
        <w:t>for</w:t>
      </w:r>
      <w:proofErr w:type="spellEnd"/>
      <w:r w:rsidRPr="009226BC">
        <w:t xml:space="preserve"> </w:t>
      </w:r>
      <w:proofErr w:type="spellStart"/>
      <w:r w:rsidRPr="009226BC">
        <w:t>Humans</w:t>
      </w:r>
      <w:proofErr w:type="spellEnd"/>
      <w:r w:rsidRPr="009226BC">
        <w:t xml:space="preserve">» (Evaluación de seguridad y evaluación de riesgos para el ser humano del herbicida </w:t>
      </w:r>
      <w:proofErr w:type="spellStart"/>
      <w:r w:rsidRPr="009226BC">
        <w:t>Roundup</w:t>
      </w:r>
      <w:proofErr w:type="spellEnd"/>
      <w:r w:rsidRPr="009226BC">
        <w:t xml:space="preserve"> y su principio activo, el glifosato), publicada en 2000, utilizada para defender la seguridad del glifosato en numerosas evaluaciones de riesgos, dado que «se plantearon preocupaciones relativas a su autoría, a la validez de los resultados de la investigación (en el contexto de afirmaciones engañosas sobre las contribuciones de los autores y del promotor del estudio) y a posibles conflictos de intereses de los autores»</w:t>
      </w:r>
      <w:r w:rsidRPr="009226BC">
        <w:rPr>
          <w:rStyle w:val="FootnoteReference"/>
        </w:rPr>
        <w:footnoteReference w:id="9"/>
      </w:r>
      <w:r w:rsidRPr="009226BC">
        <w:t>;</w:t>
      </w:r>
    </w:p>
    <w:p w14:paraId="4C70F2A0" w14:textId="77777777" w:rsidR="00D50B61" w:rsidRPr="009226BC" w:rsidRDefault="00D50B61" w:rsidP="00D50B61">
      <w:pPr>
        <w:pStyle w:val="NormalHanging12a"/>
        <w:widowControl/>
      </w:pPr>
      <w:r w:rsidRPr="009226BC">
        <w:t>I.</w:t>
      </w:r>
      <w:r w:rsidRPr="009226BC">
        <w:tab/>
        <w:t>Considerando que el seguimiento y la supervisión independientes de los posibles efectos adversos sobre la biodiversidad, la salud del suelo, los polinizadores y los organismos no objetivo siguen sin estar suficientemente garantizados;</w:t>
      </w:r>
    </w:p>
    <w:p w14:paraId="2418C828" w14:textId="77777777" w:rsidR="00D50B61" w:rsidRPr="009226BC" w:rsidRDefault="00D50B61" w:rsidP="00D50B61">
      <w:pPr>
        <w:widowControl/>
        <w:spacing w:after="240"/>
        <w:ind w:left="567" w:hanging="567"/>
      </w:pPr>
      <w:r w:rsidRPr="009226BC">
        <w:t>J.</w:t>
      </w:r>
      <w:r w:rsidRPr="009226BC">
        <w:tab/>
        <w:t>Considerando que el principio de precaución, consagrado en el artículo 191 del Tratado de Funcionamiento de la Unión Europea, debe aplicarse en los casos en los que se carezca de certeza científica;</w:t>
      </w:r>
    </w:p>
    <w:p w14:paraId="65C36CD0" w14:textId="77777777" w:rsidR="00D50B61" w:rsidRPr="009226BC" w:rsidRDefault="00D50B61" w:rsidP="00D50B61">
      <w:pPr>
        <w:widowControl/>
        <w:spacing w:after="240"/>
        <w:ind w:left="567" w:hanging="567"/>
      </w:pPr>
      <w:r w:rsidRPr="009226BC">
        <w:t>K.</w:t>
      </w:r>
      <w:r w:rsidRPr="009226BC">
        <w:tab/>
        <w:t>Considerando que el Reglamento (CE) n.º 1829/2003 exige que los alimentos y piensos modificados genéticamente no tengan efectos negativos sobre la salud humana, la salud animal o el medio ambiente;</w:t>
      </w:r>
    </w:p>
    <w:p w14:paraId="15324FF1" w14:textId="77777777" w:rsidR="00D50B61" w:rsidRPr="009226BC" w:rsidRDefault="00D50B61" w:rsidP="00D50B61">
      <w:pPr>
        <w:pStyle w:val="NormalWeb"/>
        <w:spacing w:before="0" w:beforeAutospacing="0" w:after="240" w:afterAutospacing="0"/>
        <w:ind w:left="567" w:hanging="567"/>
      </w:pPr>
      <w:r w:rsidRPr="009226BC">
        <w:t>L.</w:t>
      </w:r>
      <w:r w:rsidRPr="009226BC">
        <w:tab/>
        <w:t>Considerando que la autorización de la Unión de la soja modificada genéticamente no sería coherente con los compromisos internacionales en materia de reducción de plaguicidas</w:t>
      </w:r>
      <w:r w:rsidRPr="009226BC">
        <w:rPr>
          <w:vertAlign w:val="superscript"/>
        </w:rPr>
        <w:footnoteReference w:id="10"/>
      </w:r>
      <w:r w:rsidRPr="009226BC">
        <w:t xml:space="preserve">, habida cuenta del aumento de la exposición humana, animal y medioambiental al glifosato y el </w:t>
      </w:r>
      <w:proofErr w:type="spellStart"/>
      <w:r w:rsidRPr="009226BC">
        <w:t>glufosinato</w:t>
      </w:r>
      <w:proofErr w:type="spellEnd"/>
      <w:r w:rsidRPr="009226BC">
        <w:t xml:space="preserve"> en los países que cultivan este cultivo </w:t>
      </w:r>
      <w:r w:rsidRPr="009226BC">
        <w:lastRenderedPageBreak/>
        <w:t>modificado genéticamente tolerante a los herbicidas, junto con los resultados sanitarios potencialmente graves asociados;</w:t>
      </w:r>
    </w:p>
    <w:p w14:paraId="46318500" w14:textId="77777777" w:rsidR="00D50B61" w:rsidRPr="009226BC" w:rsidRDefault="00D50B61" w:rsidP="00D50B61">
      <w:pPr>
        <w:widowControl/>
        <w:spacing w:after="240"/>
        <w:ind w:left="567" w:hanging="567"/>
      </w:pPr>
      <w:r w:rsidRPr="009226BC">
        <w:t>M.</w:t>
      </w:r>
      <w:r w:rsidRPr="009226BC">
        <w:tab/>
        <w:t>Considerando que el proyecto de Decisión de Ejecución de la Comisión permitiría importaciones a la Unión que no cumplen las normas observadas por los agricultores de la Unión, lo que los colocaría en una situación de desventaja competitiva;</w:t>
      </w:r>
    </w:p>
    <w:p w14:paraId="74C83088" w14:textId="77777777" w:rsidR="00D50B61" w:rsidRPr="009226BC" w:rsidRDefault="00D50B61" w:rsidP="00D50B61">
      <w:pPr>
        <w:widowControl/>
        <w:spacing w:after="240"/>
        <w:ind w:left="567" w:hanging="567"/>
      </w:pPr>
      <w:r w:rsidRPr="009226BC">
        <w:t>N.</w:t>
      </w:r>
      <w:r w:rsidRPr="009226BC">
        <w:tab/>
        <w:t>Considerando que en las conclusiones del diálogo estratégico sobre el futuro de la agricultura en la UE</w:t>
      </w:r>
      <w:r w:rsidRPr="009226BC">
        <w:rPr>
          <w:rStyle w:val="FootnoteReference"/>
        </w:rPr>
        <w:footnoteReference w:id="11"/>
      </w:r>
      <w:r w:rsidRPr="009226BC">
        <w:t xml:space="preserve"> se pide a la Comisión que revalúe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14:paraId="3EFAC1F3" w14:textId="77777777" w:rsidR="00D50B61" w:rsidRPr="009226BC" w:rsidRDefault="00D50B61" w:rsidP="00D50B61">
      <w:pPr>
        <w:widowControl/>
        <w:spacing w:after="240"/>
        <w:ind w:left="567" w:hanging="567"/>
      </w:pPr>
      <w:r w:rsidRPr="009226BC">
        <w:t>O.</w:t>
      </w:r>
      <w:r w:rsidRPr="009226BC">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34EF5A86" w14:textId="77777777" w:rsidR="00D50B61" w:rsidRPr="009226BC" w:rsidRDefault="00D50B61" w:rsidP="00D50B61">
      <w:pPr>
        <w:pStyle w:val="NormalWeb"/>
        <w:shd w:val="clear" w:color="auto" w:fill="FFFFFF"/>
        <w:spacing w:before="0" w:beforeAutospacing="0" w:after="240" w:afterAutospacing="0"/>
        <w:ind w:left="567" w:hanging="567"/>
        <w:rPr>
          <w:color w:val="000000" w:themeColor="text1"/>
        </w:rPr>
      </w:pPr>
      <w:r w:rsidRPr="009226BC">
        <w:rPr>
          <w:color w:val="000000" w:themeColor="text1"/>
        </w:rPr>
        <w:t>P.</w:t>
      </w:r>
      <w:r w:rsidRPr="009226BC">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5D7098F3" w14:textId="77777777" w:rsidR="00D50B61" w:rsidRPr="009226BC" w:rsidRDefault="00D50B61" w:rsidP="00D50B61">
      <w:pPr>
        <w:widowControl/>
        <w:spacing w:after="240"/>
        <w:ind w:left="567" w:hanging="567"/>
      </w:pPr>
      <w:r w:rsidRPr="009226BC">
        <w:t>Q.</w:t>
      </w:r>
      <w:r w:rsidRPr="009226BC">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43A88D0D" w14:textId="3B0C129F" w:rsidR="00D50B61" w:rsidRPr="009226BC" w:rsidRDefault="00D50B61" w:rsidP="00D50B61">
      <w:pPr>
        <w:widowControl/>
        <w:spacing w:after="240"/>
        <w:ind w:left="567" w:hanging="567"/>
      </w:pPr>
      <w:r w:rsidRPr="009226BC">
        <w:t>R.</w:t>
      </w:r>
      <w:r w:rsidRPr="009226BC">
        <w:tab/>
        <w:t xml:space="preserve">Considerando que, con la presente, el Parlamento Europeo habrá adoptado </w:t>
      </w:r>
      <w:r w:rsidR="008D44DA" w:rsidRPr="009226BC">
        <w:t xml:space="preserve">casi </w:t>
      </w:r>
      <w:r w:rsidRPr="009226BC">
        <w:t xml:space="preserve">cien resoluciones de oposición a la autorización de importación de organismos modificados genéticamente; </w:t>
      </w:r>
    </w:p>
    <w:p w14:paraId="3437FF58" w14:textId="77777777" w:rsidR="00D50B61" w:rsidRPr="009226BC" w:rsidRDefault="00D50B61" w:rsidP="00D50B61">
      <w:pPr>
        <w:pStyle w:val="NormalHanging12a"/>
        <w:widowControl/>
      </w:pPr>
      <w:r w:rsidRPr="009226BC">
        <w:t>1.</w:t>
      </w:r>
      <w:r w:rsidRPr="009226BC">
        <w:tab/>
        <w:t>Considera que el proyecto de Decisión de Ejecución de la Comisión excede de las competencias de ejecución previstas en el Reglamento (CE) n.º 1829/2003;</w:t>
      </w:r>
    </w:p>
    <w:p w14:paraId="634BA1B7" w14:textId="77777777" w:rsidR="00D50B61" w:rsidRPr="009226BC" w:rsidRDefault="00D50B61" w:rsidP="00D50B61">
      <w:pPr>
        <w:pStyle w:val="NormalHanging12a"/>
        <w:widowControl/>
      </w:pPr>
      <w:bookmarkStart w:id="9" w:name="_Hlk218675825"/>
      <w:r w:rsidRPr="009226BC">
        <w:t>2.</w:t>
      </w:r>
      <w:r w:rsidRPr="009226BC">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9226BC">
        <w:rPr>
          <w:vertAlign w:val="superscript"/>
        </w:rPr>
        <w:footnoteReference w:id="12"/>
      </w:r>
      <w:r w:rsidRPr="009226BC">
        <w:t xml:space="preserve">, sentar las bases para asegurar un nivel elevado de protección de la vida y la salud de las personas, de la sanidad y el bienestar de los animales, del medio ambiente y de los intereses de los </w:t>
      </w:r>
      <w:r w:rsidRPr="009226BC">
        <w:lastRenderedPageBreak/>
        <w:t xml:space="preserve">consumidores en relación con los alimentos y piensos modificados genéticamente, al tiempo que se asegura el funcionamiento eficaz del mercado interior; </w:t>
      </w:r>
    </w:p>
    <w:bookmarkEnd w:id="9"/>
    <w:p w14:paraId="6787E602" w14:textId="77777777" w:rsidR="00D50B61" w:rsidRPr="009226BC" w:rsidRDefault="00D50B61" w:rsidP="00D50B61">
      <w:pPr>
        <w:pStyle w:val="NormalHanging12a"/>
        <w:widowControl/>
      </w:pPr>
      <w:r w:rsidRPr="009226BC">
        <w:t>3.</w:t>
      </w:r>
      <w:r w:rsidRPr="009226BC">
        <w:tab/>
        <w:t>Pide a la Comisión que retire su proyecto de Decisión de Ejecución;</w:t>
      </w:r>
    </w:p>
    <w:p w14:paraId="638FD695" w14:textId="77777777" w:rsidR="00D50B61" w:rsidRPr="009226BC" w:rsidRDefault="00D50B61" w:rsidP="00D50B61">
      <w:pPr>
        <w:widowControl/>
        <w:spacing w:after="240"/>
        <w:ind w:left="567" w:hanging="567"/>
      </w:pPr>
      <w:r w:rsidRPr="009226BC">
        <w:t>4.</w:t>
      </w:r>
      <w:r w:rsidRPr="009226BC">
        <w:tab/>
        <w:t>Pide a la Comisión que no autorice la soja modificada genéticamente debido a la falta de pruebas suficientes sobre sus efectos a largo plazo en la biodiversidad, la seguridad alimentaria, los medios de subsistencia de los agricultores y la salud animal, en consonancia con el enfoque de «Una sola salud»;</w:t>
      </w:r>
    </w:p>
    <w:p w14:paraId="2027F5A3" w14:textId="77777777" w:rsidR="00D50B61" w:rsidRPr="009226BC" w:rsidRDefault="00D50B61" w:rsidP="00D50B61">
      <w:pPr>
        <w:widowControl/>
        <w:spacing w:after="240"/>
        <w:ind w:left="567" w:hanging="567"/>
      </w:pPr>
      <w:bookmarkStart w:id="10" w:name="_Hlk210900300"/>
      <w:r w:rsidRPr="009226BC">
        <w:t>5.</w:t>
      </w:r>
      <w:r w:rsidRPr="009226BC">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0"/>
      <w:r w:rsidRPr="009226BC">
        <w:t>;</w:t>
      </w:r>
    </w:p>
    <w:p w14:paraId="38072A15" w14:textId="77777777" w:rsidR="00D50B61" w:rsidRPr="009226BC" w:rsidRDefault="00D50B61" w:rsidP="00D50B61">
      <w:pPr>
        <w:widowControl/>
        <w:spacing w:after="240"/>
        <w:ind w:left="567" w:hanging="567"/>
      </w:pPr>
      <w:bookmarkStart w:id="11" w:name="_Hlk210900241"/>
      <w:r w:rsidRPr="009226BC">
        <w:t>6.</w:t>
      </w:r>
      <w:r w:rsidRPr="009226BC">
        <w:tab/>
        <w:t xml:space="preserve">Destaca, a este respecto, que autorizar la importación para su uso en alimentos, piensos o productos de cualquier planta modificada genéticamente para ser tolerante a herbicidas prohibidos en la Unión, como el </w:t>
      </w:r>
      <w:proofErr w:type="spellStart"/>
      <w:r w:rsidRPr="009226BC">
        <w:t>glufosinato</w:t>
      </w:r>
      <w:proofErr w:type="spellEnd"/>
      <w:r w:rsidRPr="009226BC">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bookmarkEnd w:id="11"/>
    </w:p>
    <w:p w14:paraId="1E1EB994" w14:textId="5CBF8D21" w:rsidR="00E365E1" w:rsidRPr="009226BC" w:rsidRDefault="00D50B61" w:rsidP="009226BC">
      <w:pPr>
        <w:pStyle w:val="NormalHanging12a"/>
        <w:widowControl/>
      </w:pPr>
      <w:r w:rsidRPr="009226BC">
        <w:t>7.</w:t>
      </w:r>
      <w:r w:rsidRPr="009226BC">
        <w:tab/>
        <w:t>Encarga a su presidenta que transmita la presente Resolución al Consejo y a la Comisión, así como a los Gobiernos y Parlamentos de los Estados miembros.</w:t>
      </w:r>
    </w:p>
    <w:sectPr w:rsidR="00E365E1" w:rsidRPr="009226BC" w:rsidSect="001C4B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9B311" w14:textId="77777777" w:rsidR="0099794B" w:rsidRPr="001C4B3B" w:rsidRDefault="0099794B">
      <w:r w:rsidRPr="001C4B3B">
        <w:separator/>
      </w:r>
    </w:p>
  </w:endnote>
  <w:endnote w:type="continuationSeparator" w:id="0">
    <w:p w14:paraId="0519E0C8" w14:textId="77777777" w:rsidR="0099794B" w:rsidRPr="001C4B3B" w:rsidRDefault="0099794B">
      <w:r w:rsidRPr="001C4B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8DCC" w14:textId="77777777" w:rsidR="00064002" w:rsidRPr="001C4B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54AA" w14:textId="77777777" w:rsidR="00064002" w:rsidRPr="001C4B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232D" w14:textId="77777777" w:rsidR="00064002" w:rsidRPr="001C4B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41CF4" w14:textId="77777777" w:rsidR="0099794B" w:rsidRPr="001C4B3B" w:rsidRDefault="0099794B">
      <w:r w:rsidRPr="001C4B3B">
        <w:separator/>
      </w:r>
    </w:p>
  </w:footnote>
  <w:footnote w:type="continuationSeparator" w:id="0">
    <w:p w14:paraId="1B02B623" w14:textId="77777777" w:rsidR="0099794B" w:rsidRPr="001C4B3B" w:rsidRDefault="0099794B">
      <w:r w:rsidRPr="001C4B3B">
        <w:continuationSeparator/>
      </w:r>
    </w:p>
  </w:footnote>
  <w:footnote w:id="1">
    <w:p w14:paraId="02E942C5" w14:textId="5E3553F4" w:rsidR="00D50B61" w:rsidRPr="009226BC" w:rsidRDefault="00D50B61" w:rsidP="001C4B3B">
      <w:pPr>
        <w:pStyle w:val="FootnoteText"/>
        <w:ind w:left="567" w:hanging="567"/>
        <w:rPr>
          <w:sz w:val="24"/>
          <w:lang w:val="pt-PT"/>
        </w:rPr>
      </w:pPr>
      <w:r w:rsidRPr="001C4B3B">
        <w:rPr>
          <w:rStyle w:val="FootnoteReference"/>
          <w:sz w:val="24"/>
          <w:lang w:val="es-ES_tradnl"/>
        </w:rPr>
        <w:footnoteRef/>
      </w:r>
      <w:r w:rsidR="001C4B3B" w:rsidRPr="009226BC">
        <w:rPr>
          <w:sz w:val="24"/>
          <w:lang w:val="pt-PT"/>
        </w:rPr>
        <w:t xml:space="preserve"> </w:t>
      </w:r>
      <w:r w:rsidR="001C4B3B" w:rsidRPr="009226BC">
        <w:rPr>
          <w:sz w:val="24"/>
          <w:lang w:val="pt-PT"/>
        </w:rPr>
        <w:tab/>
      </w:r>
      <w:r w:rsidRPr="009226BC">
        <w:rPr>
          <w:sz w:val="24"/>
          <w:lang w:val="pt-PT"/>
        </w:rPr>
        <w:t>DO L 268 de 18.10.2003, p. 1, ELI: </w:t>
      </w:r>
      <w:r w:rsidR="00E46A26">
        <w:fldChar w:fldCharType="begin"/>
      </w:r>
      <w:r w:rsidR="00E46A26" w:rsidRPr="00E46A26">
        <w:rPr>
          <w:lang w:val="pt-PT"/>
        </w:rPr>
        <w:instrText>HYPERLINK "http://data.europa.eu/eli/reg/2003/1829/oj"</w:instrText>
      </w:r>
      <w:r w:rsidR="00E46A26">
        <w:fldChar w:fldCharType="separate"/>
      </w:r>
      <w:r w:rsidRPr="009226BC">
        <w:rPr>
          <w:rStyle w:val="Hyperlink"/>
          <w:sz w:val="24"/>
          <w:lang w:val="pt-PT"/>
        </w:rPr>
        <w:t>http://data.europa.eu/eli/reg/2003/1829/oj</w:t>
      </w:r>
      <w:r w:rsidR="00E46A26">
        <w:rPr>
          <w:rStyle w:val="Hyperlink"/>
          <w:sz w:val="24"/>
          <w:lang w:val="pt-PT"/>
        </w:rPr>
        <w:fldChar w:fldCharType="end"/>
      </w:r>
      <w:r w:rsidRPr="009226BC">
        <w:rPr>
          <w:sz w:val="24"/>
          <w:u w:val="single"/>
          <w:lang w:val="pt-PT"/>
        </w:rPr>
        <w:t>.</w:t>
      </w:r>
    </w:p>
  </w:footnote>
  <w:footnote w:id="2">
    <w:p w14:paraId="49B34087" w14:textId="19C23602" w:rsidR="00D50B61" w:rsidRPr="009226BC" w:rsidRDefault="00D50B61" w:rsidP="001C4B3B">
      <w:pPr>
        <w:pStyle w:val="FootnoteText"/>
        <w:ind w:left="567" w:hanging="567"/>
        <w:rPr>
          <w:sz w:val="24"/>
          <w:lang w:val="pt-PT"/>
        </w:rPr>
      </w:pPr>
      <w:r w:rsidRPr="001C4B3B">
        <w:rPr>
          <w:rStyle w:val="FootnoteReference"/>
          <w:sz w:val="24"/>
          <w:lang w:val="es-ES_tradnl"/>
        </w:rPr>
        <w:footnoteRef/>
      </w:r>
      <w:r w:rsidR="001C4B3B" w:rsidRPr="009226BC">
        <w:rPr>
          <w:sz w:val="24"/>
          <w:lang w:val="pt-PT"/>
        </w:rPr>
        <w:t xml:space="preserve"> </w:t>
      </w:r>
      <w:r w:rsidR="001C4B3B" w:rsidRPr="009226BC">
        <w:rPr>
          <w:sz w:val="24"/>
          <w:lang w:val="pt-PT"/>
        </w:rPr>
        <w:tab/>
      </w:r>
      <w:r w:rsidRPr="009226BC">
        <w:rPr>
          <w:sz w:val="24"/>
          <w:lang w:val="pt-PT"/>
        </w:rPr>
        <w:t>DO L 55 de 28.2.2011, p. 13, ELI: </w:t>
      </w:r>
      <w:r w:rsidR="00E46A26">
        <w:fldChar w:fldCharType="begin"/>
      </w:r>
      <w:r w:rsidR="00E46A26" w:rsidRPr="00E46A26">
        <w:rPr>
          <w:lang w:val="pt-PT"/>
        </w:rPr>
        <w:instrText>HYPERLINK "http://data.europa.eu/eli/reg/2011/182/oj"</w:instrText>
      </w:r>
      <w:r w:rsidR="00E46A26">
        <w:fldChar w:fldCharType="separate"/>
      </w:r>
      <w:r w:rsidRPr="009226BC">
        <w:rPr>
          <w:rStyle w:val="Hyperlink"/>
          <w:sz w:val="24"/>
          <w:lang w:val="pt-PT"/>
        </w:rPr>
        <w:t>http://data.europa.eu/eli/reg/2011/182/oj</w:t>
      </w:r>
      <w:r w:rsidR="00E46A26">
        <w:rPr>
          <w:rStyle w:val="Hyperlink"/>
          <w:sz w:val="24"/>
          <w:lang w:val="pt-PT"/>
        </w:rPr>
        <w:fldChar w:fldCharType="end"/>
      </w:r>
      <w:r w:rsidRPr="009226BC">
        <w:rPr>
          <w:rStyle w:val="Hyperlink"/>
          <w:sz w:val="24"/>
          <w:lang w:val="pt-PT"/>
        </w:rPr>
        <w:t>.</w:t>
      </w:r>
    </w:p>
  </w:footnote>
  <w:footnote w:id="3">
    <w:p w14:paraId="7CBF6763" w14:textId="299DA30C"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 xml:space="preserve">Dictamen científico de la Comisión Técnica de Organismos Modificados Genéticamente de la EFSA sobre la evaluación de la soja modificada genéticamente DBN9004 (solicitud EFSA-GMO-BE-2019-165), </w:t>
      </w:r>
      <w:r w:rsidRPr="001C4B3B">
        <w:rPr>
          <w:i/>
          <w:sz w:val="24"/>
          <w:lang w:val="es-ES_tradnl"/>
        </w:rPr>
        <w:t xml:space="preserve">EFSA </w:t>
      </w:r>
      <w:proofErr w:type="spellStart"/>
      <w:r w:rsidRPr="001C4B3B">
        <w:rPr>
          <w:i/>
          <w:sz w:val="24"/>
          <w:lang w:val="es-ES_tradnl"/>
        </w:rPr>
        <w:t>Journal</w:t>
      </w:r>
      <w:proofErr w:type="spellEnd"/>
      <w:r w:rsidRPr="001C4B3B">
        <w:rPr>
          <w:sz w:val="24"/>
          <w:lang w:val="es-ES_tradnl"/>
        </w:rPr>
        <w:t xml:space="preserve"> 2025, 23(7</w:t>
      </w:r>
      <w:proofErr w:type="gramStart"/>
      <w:r w:rsidRPr="001C4B3B">
        <w:rPr>
          <w:sz w:val="24"/>
          <w:lang w:val="es-ES_tradnl"/>
        </w:rPr>
        <w:t>):e</w:t>
      </w:r>
      <w:proofErr w:type="gramEnd"/>
      <w:r w:rsidRPr="001C4B3B">
        <w:rPr>
          <w:sz w:val="24"/>
          <w:lang w:val="es-ES_tradnl"/>
        </w:rPr>
        <w:t xml:space="preserve">9503, </w:t>
      </w:r>
      <w:hyperlink r:id="rId1" w:history="1">
        <w:r w:rsidRPr="001C4B3B">
          <w:rPr>
            <w:rStyle w:val="Hyperlink"/>
            <w:sz w:val="24"/>
            <w:lang w:val="es-ES_tradnl"/>
          </w:rPr>
          <w:t>https://doi.org/10.2903/j.efsa.2025.9503</w:t>
        </w:r>
      </w:hyperlink>
      <w:r w:rsidRPr="001C4B3B">
        <w:rPr>
          <w:sz w:val="24"/>
          <w:lang w:val="es-ES_tradnl"/>
        </w:rPr>
        <w:t xml:space="preserve">. </w:t>
      </w:r>
    </w:p>
  </w:footnote>
  <w:footnote w:id="4">
    <w:p w14:paraId="55EE4AD5" w14:textId="45BF6F5D" w:rsidR="00D50B61" w:rsidRPr="001C4B3B" w:rsidRDefault="00D50B61" w:rsidP="001C4B3B">
      <w:pPr>
        <w:pStyle w:val="FootnoteText"/>
        <w:ind w:left="567" w:hanging="567"/>
        <w:rPr>
          <w:sz w:val="24"/>
          <w:vertAlign w:val="superscript"/>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En sus legislaturas octava y novena, el Parlamento aprobó respectivamente 36 y 38 Resoluciones de oposición a la autorización de organismos modificados genéticamente. Además, en su décima legislatura, el Parlamento ha aprobado las siguientes Resoluciones:</w:t>
      </w:r>
    </w:p>
    <w:p w14:paraId="31B9AF9C" w14:textId="595B3C40"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r w:rsidR="00E46A26">
        <w:fldChar w:fldCharType="begin"/>
      </w:r>
      <w:r w:rsidR="00E46A26" w:rsidRPr="00E46A26">
        <w:rPr>
          <w:lang w:val="es-ES"/>
        </w:rPr>
        <w:instrText>HYPERLINK "http://data.europa.eu/eli/C/2025/1797/oj"</w:instrText>
      </w:r>
      <w:r w:rsidR="00E46A26">
        <w:fldChar w:fldCharType="separate"/>
      </w:r>
      <w:r w:rsidR="00D50B61" w:rsidRPr="001C4B3B">
        <w:rPr>
          <w:rStyle w:val="Hyperlink"/>
          <w:sz w:val="24"/>
          <w:lang w:val="es-ES_tradnl"/>
        </w:rPr>
        <w:t>http://data.europa.eu/eli/C/2025/1797/oj</w:t>
      </w:r>
      <w:r w:rsidR="00E46A26">
        <w:rPr>
          <w:rStyle w:val="Hyperlink"/>
          <w:sz w:val="24"/>
          <w:lang w:val="es-ES_tradnl"/>
        </w:rPr>
        <w:fldChar w:fldCharType="end"/>
      </w:r>
      <w:r w:rsidR="00D50B61" w:rsidRPr="001C4B3B">
        <w:rPr>
          <w:sz w:val="24"/>
          <w:lang w:val="es-ES_tradnl"/>
        </w:rPr>
        <w:t>);</w:t>
      </w:r>
    </w:p>
    <w:p w14:paraId="3B92D288" w14:textId="0F8985EB" w:rsidR="00D50B61" w:rsidRPr="001C4B3B" w:rsidRDefault="001C4B3B" w:rsidP="001C4B3B">
      <w:pPr>
        <w:pStyle w:val="FootnoteText"/>
        <w:keepN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r w:rsidR="00E46A26">
        <w:fldChar w:fldCharType="begin"/>
      </w:r>
      <w:r w:rsidR="00E46A26" w:rsidRPr="00E46A26">
        <w:rPr>
          <w:lang w:val="es-ES"/>
        </w:rPr>
        <w:instrText>HYPERLINK "http://data.europa.eu/eli/C/2025/1798/oj"</w:instrText>
      </w:r>
      <w:r w:rsidR="00E46A26">
        <w:fldChar w:fldCharType="separate"/>
      </w:r>
      <w:r w:rsidR="00D50B61" w:rsidRPr="001C4B3B">
        <w:rPr>
          <w:rStyle w:val="Hyperlink"/>
          <w:sz w:val="24"/>
          <w:lang w:val="es-ES_tradnl"/>
        </w:rPr>
        <w:t>http://data.europa.eu/eli/C/2025/1798/oj</w:t>
      </w:r>
      <w:r w:rsidR="00E46A26">
        <w:rPr>
          <w:rStyle w:val="Hyperlink"/>
          <w:sz w:val="24"/>
          <w:lang w:val="es-ES_tradnl"/>
        </w:rPr>
        <w:fldChar w:fldCharType="end"/>
      </w:r>
      <w:r w:rsidR="00D50B61" w:rsidRPr="001C4B3B">
        <w:rPr>
          <w:sz w:val="24"/>
          <w:lang w:val="es-ES_tradnl"/>
        </w:rPr>
        <w:t>);</w:t>
      </w:r>
    </w:p>
    <w:p w14:paraId="0AA3839A" w14:textId="0DF1A034"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D50B61" w:rsidRPr="001C4B3B">
        <w:rPr>
          <w:sz w:val="24"/>
          <w:lang w:val="es-ES_tradnl"/>
        </w:rPr>
        <w:t>subcombinaciones</w:t>
      </w:r>
      <w:proofErr w:type="spellEnd"/>
      <w:r w:rsidR="00D50B61" w:rsidRPr="001C4B3B">
        <w:rPr>
          <w:sz w:val="24"/>
          <w:lang w:val="es-ES_tradnl"/>
        </w:rPr>
        <w:t>, con arreglo al Reglamento (CE) n.º 1829/2003 del Parlamento Europeo y del Consejo (DO C, C/2025/1799, 4.4.2025, ELI: </w:t>
      </w:r>
      <w:r w:rsidR="00E46A26">
        <w:fldChar w:fldCharType="begin"/>
      </w:r>
      <w:r w:rsidR="00E46A26" w:rsidRPr="00E46A26">
        <w:rPr>
          <w:lang w:val="es-ES"/>
        </w:rPr>
        <w:instrText>HYPERLINK "http://data.europa.eu/eli/C/2025/1799/oj"</w:instrText>
      </w:r>
      <w:r w:rsidR="00E46A26">
        <w:fldChar w:fldCharType="separate"/>
      </w:r>
      <w:r w:rsidR="00D50B61" w:rsidRPr="001C4B3B">
        <w:rPr>
          <w:rStyle w:val="Hyperlink"/>
          <w:sz w:val="24"/>
          <w:lang w:val="es-ES_tradnl"/>
        </w:rPr>
        <w:t>http://data.europa.eu/eli/C/2025/1799/oj</w:t>
      </w:r>
      <w:r w:rsidR="00E46A26">
        <w:rPr>
          <w:rStyle w:val="Hyperlink"/>
          <w:sz w:val="24"/>
          <w:lang w:val="es-ES_tradnl"/>
        </w:rPr>
        <w:fldChar w:fldCharType="end"/>
      </w:r>
      <w:r w:rsidR="00D50B61" w:rsidRPr="001C4B3B">
        <w:rPr>
          <w:sz w:val="24"/>
          <w:lang w:val="es-ES_tradnl"/>
        </w:rPr>
        <w:t>);</w:t>
      </w:r>
    </w:p>
    <w:p w14:paraId="3DFC5667" w14:textId="3572C727"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r w:rsidR="00E46A26">
        <w:fldChar w:fldCharType="begin"/>
      </w:r>
      <w:r w:rsidR="00E46A26" w:rsidRPr="00E46A26">
        <w:rPr>
          <w:lang w:val="es-ES"/>
        </w:rPr>
        <w:instrText>HYPERLINK "http://data.europa.eu/eli/C/2025/1800/oj"</w:instrText>
      </w:r>
      <w:r w:rsidR="00E46A26">
        <w:fldChar w:fldCharType="separate"/>
      </w:r>
      <w:r w:rsidR="00D50B61" w:rsidRPr="001C4B3B">
        <w:rPr>
          <w:rStyle w:val="Hyperlink"/>
          <w:sz w:val="24"/>
          <w:lang w:val="es-ES_tradnl"/>
        </w:rPr>
        <w:t>http://data.europa.eu/eli/C/2025/1800/oj</w:t>
      </w:r>
      <w:r w:rsidR="00E46A26">
        <w:rPr>
          <w:rStyle w:val="Hyperlink"/>
          <w:sz w:val="24"/>
          <w:lang w:val="es-ES_tradnl"/>
        </w:rPr>
        <w:fldChar w:fldCharType="end"/>
      </w:r>
      <w:r w:rsidR="00D50B61" w:rsidRPr="001C4B3B">
        <w:rPr>
          <w:sz w:val="24"/>
          <w:lang w:val="es-ES_tradnl"/>
        </w:rPr>
        <w:t>);</w:t>
      </w:r>
    </w:p>
    <w:p w14:paraId="148B94BF" w14:textId="638C7010"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r w:rsidR="00E46A26">
        <w:fldChar w:fldCharType="begin"/>
      </w:r>
      <w:r w:rsidR="00E46A26" w:rsidRPr="00E46A26">
        <w:rPr>
          <w:lang w:val="es-ES"/>
        </w:rPr>
        <w:instrText>HYPERLINK "http://data.europa.eu/eli/C/2025/1801/oj"</w:instrText>
      </w:r>
      <w:r w:rsidR="00E46A26">
        <w:fldChar w:fldCharType="separate"/>
      </w:r>
      <w:r w:rsidR="00D50B61" w:rsidRPr="001C4B3B">
        <w:rPr>
          <w:rStyle w:val="Hyperlink"/>
          <w:sz w:val="24"/>
          <w:lang w:val="es-ES_tradnl"/>
        </w:rPr>
        <w:t>http://data.europa.eu/eli/C/2025/1801/oj</w:t>
      </w:r>
      <w:r w:rsidR="00E46A26">
        <w:rPr>
          <w:rStyle w:val="Hyperlink"/>
          <w:sz w:val="24"/>
          <w:lang w:val="es-ES_tradnl"/>
        </w:rPr>
        <w:fldChar w:fldCharType="end"/>
      </w:r>
      <w:r w:rsidR="00D50B61" w:rsidRPr="001C4B3B">
        <w:rPr>
          <w:sz w:val="24"/>
          <w:lang w:val="es-ES_tradnl"/>
        </w:rPr>
        <w:t>);</w:t>
      </w:r>
    </w:p>
    <w:p w14:paraId="49D6295F" w14:textId="1C0EBF0E"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r w:rsidR="00E46A26">
        <w:fldChar w:fldCharType="begin"/>
      </w:r>
      <w:r w:rsidR="00E46A26" w:rsidRPr="00E46A26">
        <w:rPr>
          <w:lang w:val="es-ES"/>
        </w:rPr>
        <w:instrText>HYPERLINK "http://data.europa.eu/eli/C/2025/1802/oj"</w:instrText>
      </w:r>
      <w:r w:rsidR="00E46A26">
        <w:fldChar w:fldCharType="separate"/>
      </w:r>
      <w:r w:rsidR="00D50B61" w:rsidRPr="001C4B3B">
        <w:rPr>
          <w:rStyle w:val="Hyperlink"/>
          <w:sz w:val="24"/>
          <w:lang w:val="es-ES_tradnl"/>
        </w:rPr>
        <w:t>http://data.europa.eu/eli/C/2025/1802/oj</w:t>
      </w:r>
      <w:r w:rsidR="00E46A26">
        <w:rPr>
          <w:rStyle w:val="Hyperlink"/>
          <w:sz w:val="24"/>
          <w:lang w:val="es-ES_tradnl"/>
        </w:rPr>
        <w:fldChar w:fldCharType="end"/>
      </w:r>
      <w:r w:rsidR="00D50B61" w:rsidRPr="001C4B3B">
        <w:rPr>
          <w:sz w:val="24"/>
          <w:lang w:val="es-ES_tradnl"/>
        </w:rPr>
        <w:t>);</w:t>
      </w:r>
    </w:p>
    <w:p w14:paraId="37FDEE04" w14:textId="11E22521"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r w:rsidR="00E46A26">
        <w:fldChar w:fldCharType="begin"/>
      </w:r>
      <w:r w:rsidR="00E46A26" w:rsidRPr="00E46A26">
        <w:rPr>
          <w:lang w:val="es-ES"/>
        </w:rPr>
        <w:instrText>HYPERLINK "http://data.europa.eu/eli/C/2025/1803/oj"</w:instrText>
      </w:r>
      <w:r w:rsidR="00E46A26">
        <w:fldChar w:fldCharType="separate"/>
      </w:r>
      <w:r w:rsidR="00D50B61" w:rsidRPr="001C4B3B">
        <w:rPr>
          <w:rStyle w:val="Hyperlink"/>
          <w:sz w:val="24"/>
          <w:lang w:val="es-ES_tradnl"/>
        </w:rPr>
        <w:t>http://data.europa.eu/eli/C/2025/1803/oj</w:t>
      </w:r>
      <w:r w:rsidR="00E46A26">
        <w:rPr>
          <w:rStyle w:val="Hyperlink"/>
          <w:sz w:val="24"/>
          <w:lang w:val="es-ES_tradnl"/>
        </w:rPr>
        <w:fldChar w:fldCharType="end"/>
      </w:r>
      <w:r w:rsidR="00D50B61" w:rsidRPr="001C4B3B">
        <w:rPr>
          <w:sz w:val="24"/>
          <w:lang w:val="es-ES_tradnl"/>
        </w:rPr>
        <w:t>);</w:t>
      </w:r>
    </w:p>
    <w:p w14:paraId="23A0D464" w14:textId="29672A98"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r w:rsidR="00E46A26">
        <w:fldChar w:fldCharType="begin"/>
      </w:r>
      <w:r w:rsidR="00E46A26" w:rsidRPr="00E46A26">
        <w:rPr>
          <w:lang w:val="es-ES"/>
        </w:rPr>
        <w:instrText>HYPERLINK "http://data.europa.eu/eli/C/2025/1804/oj"</w:instrText>
      </w:r>
      <w:r w:rsidR="00E46A26">
        <w:fldChar w:fldCharType="separate"/>
      </w:r>
      <w:r w:rsidR="00D50B61" w:rsidRPr="001C4B3B">
        <w:rPr>
          <w:rStyle w:val="Hyperlink"/>
          <w:sz w:val="24"/>
          <w:lang w:val="es-ES_tradnl"/>
        </w:rPr>
        <w:t>http://data.europa.eu/eli/C/2025/1804/oj</w:t>
      </w:r>
      <w:r w:rsidR="00E46A26">
        <w:rPr>
          <w:rStyle w:val="Hyperlink"/>
          <w:sz w:val="24"/>
          <w:lang w:val="es-ES_tradnl"/>
        </w:rPr>
        <w:fldChar w:fldCharType="end"/>
      </w:r>
      <w:r w:rsidR="00D50B61" w:rsidRPr="001C4B3B">
        <w:rPr>
          <w:sz w:val="24"/>
          <w:lang w:val="es-ES_tradnl"/>
        </w:rPr>
        <w:t>);</w:t>
      </w:r>
    </w:p>
    <w:p w14:paraId="6C00B7FF" w14:textId="4144DB01"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r w:rsidR="00E46A26">
        <w:fldChar w:fldCharType="begin"/>
      </w:r>
      <w:r w:rsidR="00E46A26" w:rsidRPr="00E46A26">
        <w:rPr>
          <w:lang w:val="es-ES"/>
        </w:rPr>
        <w:instrText>HYPERLINK "http://data.europa.eu/eli/C/2025/2246/oj" \o "Permite acceder a este documento mediante su ELI URI."</w:instrText>
      </w:r>
      <w:r w:rsidR="00E46A26">
        <w:fldChar w:fldCharType="separate"/>
      </w:r>
      <w:r w:rsidR="00D50B61" w:rsidRPr="001C4B3B">
        <w:rPr>
          <w:rStyle w:val="Hyperlink"/>
          <w:sz w:val="24"/>
          <w:lang w:val="es-ES_tradnl"/>
        </w:rPr>
        <w:t>http://data.europa.eu/eli/C/2025/2246/oj</w:t>
      </w:r>
      <w:r w:rsidR="00E46A26">
        <w:rPr>
          <w:rStyle w:val="Hyperlink"/>
          <w:sz w:val="24"/>
          <w:lang w:val="es-ES_tradnl"/>
        </w:rPr>
        <w:fldChar w:fldCharType="end"/>
      </w:r>
      <w:r w:rsidR="00D50B61" w:rsidRPr="001C4B3B">
        <w:rPr>
          <w:sz w:val="24"/>
          <w:lang w:val="es-ES_tradnl"/>
        </w:rPr>
        <w:t>);</w:t>
      </w:r>
    </w:p>
    <w:p w14:paraId="729FB043" w14:textId="54A9A54A"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r w:rsidR="00E46A26">
        <w:fldChar w:fldCharType="begin"/>
      </w:r>
      <w:r w:rsidR="00E46A26" w:rsidRPr="00E46A26">
        <w:rPr>
          <w:lang w:val="es-ES"/>
        </w:rPr>
        <w:instrText>HYPERLINK "http://data.europa.eu/eli/C/2025/2247/oj"</w:instrText>
      </w:r>
      <w:r w:rsidR="00E46A26">
        <w:fldChar w:fldCharType="separate"/>
      </w:r>
      <w:r w:rsidR="00D50B61" w:rsidRPr="001C4B3B">
        <w:rPr>
          <w:rStyle w:val="Hyperlink"/>
          <w:sz w:val="24"/>
          <w:lang w:val="es-ES_tradnl"/>
        </w:rPr>
        <w:t>http://data.europa.eu/eli/C/2025/2247/oj</w:t>
      </w:r>
      <w:r w:rsidR="00E46A26">
        <w:rPr>
          <w:rStyle w:val="Hyperlink"/>
          <w:sz w:val="24"/>
          <w:lang w:val="es-ES_tradnl"/>
        </w:rPr>
        <w:fldChar w:fldCharType="end"/>
      </w:r>
      <w:r w:rsidR="00D50B61" w:rsidRPr="001C4B3B">
        <w:rPr>
          <w:sz w:val="24"/>
          <w:lang w:val="es-ES_tradnl"/>
        </w:rPr>
        <w:t>);</w:t>
      </w:r>
    </w:p>
    <w:p w14:paraId="7339F9A4" w14:textId="1A41E72C"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2025)0106);</w:t>
      </w:r>
    </w:p>
    <w:p w14:paraId="122AF9CC" w14:textId="5399B695"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2025)0222);</w:t>
      </w:r>
    </w:p>
    <w:p w14:paraId="15BDCC45" w14:textId="7BBBE44D"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2025)0288);</w:t>
      </w:r>
    </w:p>
    <w:p w14:paraId="2D523FA5" w14:textId="7B20B91C"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2025)0289);</w:t>
      </w:r>
    </w:p>
    <w:p w14:paraId="476068D8" w14:textId="254453C5"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2025)0290);</w:t>
      </w:r>
    </w:p>
    <w:p w14:paraId="58A30062" w14:textId="59F56495"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2025)0291);</w:t>
      </w:r>
    </w:p>
    <w:p w14:paraId="0052883F" w14:textId="5799E602"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2025)0292);</w:t>
      </w:r>
    </w:p>
    <w:p w14:paraId="794187CA" w14:textId="7906B81A" w:rsidR="00D50B61" w:rsidRPr="001C4B3B" w:rsidRDefault="001C4B3B" w:rsidP="001C4B3B">
      <w:pPr>
        <w:pStyle w:val="FootnoteText"/>
        <w:ind w:left="567" w:hanging="567"/>
        <w:rPr>
          <w:sz w:val="24"/>
          <w:vertAlign w:val="superscript"/>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w:t>
      </w:r>
      <w:r w:rsidR="00E86620" w:rsidRPr="00915475">
        <w:rPr>
          <w:sz w:val="24"/>
          <w:lang w:val="es-ES"/>
        </w:rPr>
        <w:t>Textos aprobados,</w:t>
      </w:r>
      <w:r w:rsidR="00E86620">
        <w:rPr>
          <w:sz w:val="24"/>
          <w:lang w:val="es-ES"/>
        </w:rPr>
        <w:t xml:space="preserve"> </w:t>
      </w:r>
      <w:r w:rsidR="00D50B61" w:rsidRPr="001C4B3B">
        <w:rPr>
          <w:sz w:val="24"/>
          <w:lang w:val="es-ES_tradnl"/>
        </w:rPr>
        <w:t>P10_</w:t>
      </w:r>
      <w:proofErr w:type="gramStart"/>
      <w:r w:rsidR="00D50B61" w:rsidRPr="001C4B3B">
        <w:rPr>
          <w:sz w:val="24"/>
          <w:lang w:val="es-ES_tradnl"/>
        </w:rPr>
        <w:t>TA(</w:t>
      </w:r>
      <w:proofErr w:type="gramEnd"/>
      <w:r w:rsidR="00D50B61" w:rsidRPr="001C4B3B">
        <w:rPr>
          <w:sz w:val="24"/>
          <w:lang w:val="es-ES_tradnl"/>
        </w:rPr>
        <w:t>2025)0327);</w:t>
      </w:r>
    </w:p>
    <w:p w14:paraId="62034558" w14:textId="517022D6" w:rsidR="00D50B61" w:rsidRPr="001C4B3B" w:rsidRDefault="001C4B3B" w:rsidP="001C4B3B">
      <w:pPr>
        <w:pStyle w:val="FootnoteText"/>
        <w:ind w:left="567" w:hanging="567"/>
        <w:rPr>
          <w:sz w:val="24"/>
          <w:lang w:val="es-ES_tradnl"/>
        </w:rPr>
      </w:pPr>
      <w:r w:rsidRPr="001C4B3B">
        <w:rPr>
          <w:sz w:val="24"/>
          <w:lang w:val="es-ES_tradnl"/>
        </w:rPr>
        <w:t xml:space="preserve"> </w:t>
      </w:r>
      <w:r w:rsidRPr="001C4B3B">
        <w:rPr>
          <w:sz w:val="24"/>
          <w:lang w:val="es-ES_tradnl"/>
        </w:rPr>
        <w:tab/>
      </w:r>
      <w:r w:rsidR="00D50B61" w:rsidRPr="001C4B3B">
        <w:rPr>
          <w:sz w:val="24"/>
          <w:lang w:val="es-ES_tradnl"/>
        </w:rPr>
        <w:t>–</w:t>
      </w:r>
      <w:r w:rsidR="00D50B61" w:rsidRPr="001C4B3B">
        <w:rPr>
          <w:sz w:val="24"/>
          <w:lang w:val="es-ES_tradnl"/>
        </w:rPr>
        <w:tab/>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w:t>
      </w:r>
      <w:r w:rsidR="004708DF" w:rsidRPr="00915475">
        <w:rPr>
          <w:sz w:val="24"/>
          <w:lang w:val="es-ES"/>
        </w:rPr>
        <w:t>Textos aprobados,</w:t>
      </w:r>
      <w:r w:rsidR="004708DF">
        <w:rPr>
          <w:sz w:val="24"/>
          <w:lang w:val="es-ES"/>
        </w:rPr>
        <w:t xml:space="preserve"> </w:t>
      </w:r>
      <w:r w:rsidR="00D50B61" w:rsidRPr="001C4B3B">
        <w:rPr>
          <w:sz w:val="24"/>
          <w:lang w:val="es-ES_tradnl"/>
        </w:rPr>
        <w:t>P10_TA(2025)0328).</w:t>
      </w:r>
    </w:p>
  </w:footnote>
  <w:footnote w:id="5">
    <w:p w14:paraId="32883E06" w14:textId="7D0C54C6"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shd w:val="clear" w:color="auto" w:fill="FFFFFF"/>
          <w:lang w:val="es-ES_tradnl"/>
        </w:rPr>
        <w:t xml:space="preserve"> </w:t>
      </w:r>
      <w:r w:rsidR="001C4B3B" w:rsidRPr="001C4B3B">
        <w:rPr>
          <w:sz w:val="24"/>
          <w:shd w:val="clear" w:color="auto" w:fill="FFFFFF"/>
          <w:lang w:val="es-ES_tradnl"/>
        </w:rPr>
        <w:tab/>
      </w:r>
      <w:r w:rsidRPr="001C4B3B">
        <w:rPr>
          <w:sz w:val="24"/>
          <w:shd w:val="clear" w:color="auto" w:fill="FFFFFF"/>
          <w:lang w:val="es-ES_tradnl"/>
        </w:rPr>
        <w:t xml:space="preserve">Véanse, por ejemplo, </w:t>
      </w:r>
      <w:proofErr w:type="spellStart"/>
      <w:r w:rsidRPr="001C4B3B">
        <w:rPr>
          <w:sz w:val="24"/>
          <w:shd w:val="clear" w:color="auto" w:fill="FFFFFF"/>
          <w:lang w:val="es-ES_tradnl"/>
        </w:rPr>
        <w:t>Bonny</w:t>
      </w:r>
      <w:proofErr w:type="spellEnd"/>
      <w:r w:rsidRPr="001C4B3B">
        <w:rPr>
          <w:sz w:val="24"/>
          <w:shd w:val="clear" w:color="auto" w:fill="FFFFFF"/>
          <w:lang w:val="es-ES_tradnl"/>
        </w:rPr>
        <w:t>, S.: «</w:t>
      </w:r>
      <w:proofErr w:type="spellStart"/>
      <w:r w:rsidRPr="001C4B3B">
        <w:rPr>
          <w:sz w:val="24"/>
          <w:shd w:val="clear" w:color="auto" w:fill="FFFFFF"/>
          <w:lang w:val="es-ES_tradnl"/>
        </w:rPr>
        <w:t>Genetically</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Modified</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Herbicide-Tolerant</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Crops</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Weeds</w:t>
      </w:r>
      <w:proofErr w:type="spellEnd"/>
      <w:r w:rsidRPr="001C4B3B">
        <w:rPr>
          <w:sz w:val="24"/>
          <w:shd w:val="clear" w:color="auto" w:fill="FFFFFF"/>
          <w:lang w:val="es-ES_tradnl"/>
        </w:rPr>
        <w:t xml:space="preserve">, and </w:t>
      </w:r>
      <w:proofErr w:type="spellStart"/>
      <w:r w:rsidRPr="001C4B3B">
        <w:rPr>
          <w:sz w:val="24"/>
          <w:shd w:val="clear" w:color="auto" w:fill="FFFFFF"/>
          <w:lang w:val="es-ES_tradnl"/>
        </w:rPr>
        <w:t>Herbicides</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Overview</w:t>
      </w:r>
      <w:proofErr w:type="spellEnd"/>
      <w:r w:rsidRPr="001C4B3B">
        <w:rPr>
          <w:sz w:val="24"/>
          <w:shd w:val="clear" w:color="auto" w:fill="FFFFFF"/>
          <w:lang w:val="es-ES_tradnl"/>
        </w:rPr>
        <w:t xml:space="preserve"> and </w:t>
      </w:r>
      <w:proofErr w:type="spellStart"/>
      <w:r w:rsidRPr="001C4B3B">
        <w:rPr>
          <w:sz w:val="24"/>
          <w:shd w:val="clear" w:color="auto" w:fill="FFFFFF"/>
          <w:lang w:val="es-ES_tradnl"/>
        </w:rPr>
        <w:t>Impact</w:t>
      </w:r>
      <w:proofErr w:type="spellEnd"/>
      <w:r w:rsidRPr="001C4B3B">
        <w:rPr>
          <w:sz w:val="24"/>
          <w:shd w:val="clear" w:color="auto" w:fill="FFFFFF"/>
          <w:lang w:val="es-ES_tradnl"/>
        </w:rPr>
        <w:t xml:space="preserve">» (Cultivos modificados genéticamente tolerantes a los herbicidas, malas hierbas y herbicidas: visión de conjunto e impacto), </w:t>
      </w:r>
      <w:proofErr w:type="spellStart"/>
      <w:r w:rsidRPr="001C4B3B">
        <w:rPr>
          <w:i/>
          <w:iCs/>
          <w:sz w:val="24"/>
          <w:shd w:val="clear" w:color="auto" w:fill="FFFFFF"/>
          <w:lang w:val="es-ES_tradnl"/>
        </w:rPr>
        <w:t>Environmental</w:t>
      </w:r>
      <w:proofErr w:type="spellEnd"/>
      <w:r w:rsidRPr="001C4B3B">
        <w:rPr>
          <w:i/>
          <w:iCs/>
          <w:sz w:val="24"/>
          <w:shd w:val="clear" w:color="auto" w:fill="FFFFFF"/>
          <w:lang w:val="es-ES_tradnl"/>
        </w:rPr>
        <w:t xml:space="preserve"> Management</w:t>
      </w:r>
      <w:r w:rsidRPr="001C4B3B">
        <w:rPr>
          <w:sz w:val="24"/>
          <w:shd w:val="clear" w:color="auto" w:fill="FFFFFF"/>
          <w:lang w:val="es-ES_tradnl"/>
        </w:rPr>
        <w:t xml:space="preserve">, enero de 2016, 57(1), pp. 31-48, </w:t>
      </w:r>
      <w:r w:rsidR="00E46A26">
        <w:fldChar w:fldCharType="begin"/>
      </w:r>
      <w:r w:rsidR="00E46A26" w:rsidRPr="00E46A26">
        <w:rPr>
          <w:lang w:val="es-ES_tradnl"/>
        </w:rPr>
        <w:instrText>HYPERLINK "https://doi.org/10.1007/s00267-015-0589-7"</w:instrText>
      </w:r>
      <w:r w:rsidR="00E46A26">
        <w:fldChar w:fldCharType="separate"/>
      </w:r>
      <w:r w:rsidRPr="001C4B3B">
        <w:rPr>
          <w:rStyle w:val="Hyperlink"/>
          <w:sz w:val="24"/>
          <w:shd w:val="clear" w:color="auto" w:fill="FFFFFF"/>
          <w:lang w:val="es-ES_tradnl"/>
        </w:rPr>
        <w:t>https://doi.org/10.1007/s00267-015-0589-7</w:t>
      </w:r>
      <w:r w:rsidR="00E46A26">
        <w:rPr>
          <w:rStyle w:val="Hyperlink"/>
          <w:sz w:val="24"/>
          <w:shd w:val="clear" w:color="auto" w:fill="FFFFFF"/>
          <w:lang w:val="es-ES_tradnl"/>
        </w:rPr>
        <w:fldChar w:fldCharType="end"/>
      </w:r>
      <w:r w:rsidRPr="001C4B3B">
        <w:rPr>
          <w:sz w:val="24"/>
          <w:shd w:val="clear" w:color="auto" w:fill="FFFFFF"/>
          <w:lang w:val="es-ES_tradnl"/>
        </w:rPr>
        <w:t xml:space="preserve"> y </w:t>
      </w:r>
      <w:proofErr w:type="spellStart"/>
      <w:r w:rsidRPr="001C4B3B">
        <w:rPr>
          <w:sz w:val="24"/>
          <w:shd w:val="clear" w:color="auto" w:fill="FFFFFF"/>
          <w:lang w:val="es-ES_tradnl"/>
        </w:rPr>
        <w:t>Benbrook</w:t>
      </w:r>
      <w:proofErr w:type="spellEnd"/>
      <w:r w:rsidRPr="001C4B3B">
        <w:rPr>
          <w:sz w:val="24"/>
          <w:shd w:val="clear" w:color="auto" w:fill="FFFFFF"/>
          <w:lang w:val="es-ES_tradnl"/>
        </w:rPr>
        <w:t>, C. M.: «</w:t>
      </w:r>
      <w:proofErr w:type="spellStart"/>
      <w:r w:rsidRPr="001C4B3B">
        <w:rPr>
          <w:sz w:val="24"/>
          <w:shd w:val="clear" w:color="auto" w:fill="FFFFFF"/>
          <w:lang w:val="es-ES_tradnl"/>
        </w:rPr>
        <w:t>Impacts</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of</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genetically</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engineered</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crops</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on</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pesticide</w:t>
      </w:r>
      <w:proofErr w:type="spellEnd"/>
      <w:r w:rsidRPr="001C4B3B">
        <w:rPr>
          <w:sz w:val="24"/>
          <w:shd w:val="clear" w:color="auto" w:fill="FFFFFF"/>
          <w:lang w:val="es-ES_tradnl"/>
        </w:rPr>
        <w:t xml:space="preserve"> use in </w:t>
      </w:r>
      <w:proofErr w:type="spellStart"/>
      <w:r w:rsidRPr="001C4B3B">
        <w:rPr>
          <w:sz w:val="24"/>
          <w:shd w:val="clear" w:color="auto" w:fill="FFFFFF"/>
          <w:lang w:val="es-ES_tradnl"/>
        </w:rPr>
        <w:t>the</w:t>
      </w:r>
      <w:proofErr w:type="spellEnd"/>
      <w:r w:rsidRPr="001C4B3B">
        <w:rPr>
          <w:sz w:val="24"/>
          <w:shd w:val="clear" w:color="auto" w:fill="FFFFFF"/>
          <w:lang w:val="es-ES_tradnl"/>
        </w:rPr>
        <w:t xml:space="preserve"> U.S. - </w:t>
      </w:r>
      <w:proofErr w:type="spellStart"/>
      <w:r w:rsidRPr="001C4B3B">
        <w:rPr>
          <w:sz w:val="24"/>
          <w:shd w:val="clear" w:color="auto" w:fill="FFFFFF"/>
          <w:lang w:val="es-ES_tradnl"/>
        </w:rPr>
        <w:t>the</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first</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sixteen</w:t>
      </w:r>
      <w:proofErr w:type="spellEnd"/>
      <w:r w:rsidRPr="001C4B3B">
        <w:rPr>
          <w:sz w:val="24"/>
          <w:shd w:val="clear" w:color="auto" w:fill="FFFFFF"/>
          <w:lang w:val="es-ES_tradnl"/>
        </w:rPr>
        <w:t xml:space="preserve"> </w:t>
      </w:r>
      <w:proofErr w:type="spellStart"/>
      <w:r w:rsidRPr="001C4B3B">
        <w:rPr>
          <w:sz w:val="24"/>
          <w:shd w:val="clear" w:color="auto" w:fill="FFFFFF"/>
          <w:lang w:val="es-ES_tradnl"/>
        </w:rPr>
        <w:t>years</w:t>
      </w:r>
      <w:proofErr w:type="spellEnd"/>
      <w:r w:rsidRPr="001C4B3B">
        <w:rPr>
          <w:sz w:val="24"/>
          <w:shd w:val="clear" w:color="auto" w:fill="FFFFFF"/>
          <w:lang w:val="es-ES_tradnl"/>
        </w:rPr>
        <w:t xml:space="preserve">» (El impacto de los cultivos modificados genéticamente en el uso de plaguicidas en los EE. UU.: los dieciséis primeros años), </w:t>
      </w:r>
      <w:proofErr w:type="spellStart"/>
      <w:r w:rsidRPr="001C4B3B">
        <w:rPr>
          <w:i/>
          <w:iCs/>
          <w:sz w:val="24"/>
          <w:shd w:val="clear" w:color="auto" w:fill="FFFFFF"/>
          <w:lang w:val="es-ES_tradnl"/>
        </w:rPr>
        <w:t>Environmental</w:t>
      </w:r>
      <w:proofErr w:type="spellEnd"/>
      <w:r w:rsidRPr="001C4B3B">
        <w:rPr>
          <w:i/>
          <w:iCs/>
          <w:sz w:val="24"/>
          <w:shd w:val="clear" w:color="auto" w:fill="FFFFFF"/>
          <w:lang w:val="es-ES_tradnl"/>
        </w:rPr>
        <w:t xml:space="preserve"> </w:t>
      </w:r>
      <w:proofErr w:type="spellStart"/>
      <w:r w:rsidRPr="001C4B3B">
        <w:rPr>
          <w:i/>
          <w:iCs/>
          <w:sz w:val="24"/>
          <w:shd w:val="clear" w:color="auto" w:fill="FFFFFF"/>
          <w:lang w:val="es-ES_tradnl"/>
        </w:rPr>
        <w:t>Sciences</w:t>
      </w:r>
      <w:proofErr w:type="spellEnd"/>
      <w:r w:rsidRPr="001C4B3B">
        <w:rPr>
          <w:i/>
          <w:iCs/>
          <w:sz w:val="24"/>
          <w:shd w:val="clear" w:color="auto" w:fill="FFFFFF"/>
          <w:lang w:val="es-ES_tradnl"/>
        </w:rPr>
        <w:t xml:space="preserve"> </w:t>
      </w:r>
      <w:proofErr w:type="spellStart"/>
      <w:r w:rsidRPr="001C4B3B">
        <w:rPr>
          <w:i/>
          <w:iCs/>
          <w:sz w:val="24"/>
          <w:shd w:val="clear" w:color="auto" w:fill="FFFFFF"/>
          <w:lang w:val="es-ES_tradnl"/>
        </w:rPr>
        <w:t>Europe</w:t>
      </w:r>
      <w:proofErr w:type="spellEnd"/>
      <w:r w:rsidRPr="001C4B3B">
        <w:rPr>
          <w:sz w:val="24"/>
          <w:shd w:val="clear" w:color="auto" w:fill="FFFFFF"/>
          <w:lang w:val="es-ES_tradnl"/>
        </w:rPr>
        <w:t xml:space="preserve">, 28 de septiembre de 2012, volumen 24(1), </w:t>
      </w:r>
      <w:hyperlink r:id="rId2" w:history="1">
        <w:r w:rsidRPr="001C4B3B">
          <w:rPr>
            <w:rStyle w:val="Hyperlink"/>
            <w:sz w:val="24"/>
            <w:lang w:val="es-ES_tradnl"/>
          </w:rPr>
          <w:t>https://doi.org/10.1186/2190-4715-24-24</w:t>
        </w:r>
      </w:hyperlink>
      <w:r w:rsidRPr="001C4B3B">
        <w:rPr>
          <w:sz w:val="24"/>
          <w:lang w:val="es-ES_tradnl"/>
        </w:rPr>
        <w:t>.</w:t>
      </w:r>
      <w:r w:rsidRPr="001C4B3B">
        <w:rPr>
          <w:sz w:val="24"/>
          <w:shd w:val="clear" w:color="auto" w:fill="FFFFFF"/>
          <w:lang w:val="es-ES_tradnl"/>
        </w:rPr>
        <w:t xml:space="preserve"> </w:t>
      </w:r>
    </w:p>
  </w:footnote>
  <w:footnote w:id="6">
    <w:p w14:paraId="2FC04C17" w14:textId="438FFCE4" w:rsidR="00D50B61" w:rsidRPr="001C4B3B" w:rsidRDefault="00D50B61" w:rsidP="001C4B3B">
      <w:pPr>
        <w:pStyle w:val="FootnoteText"/>
        <w:ind w:left="567" w:hanging="567"/>
        <w:rPr>
          <w:sz w:val="24"/>
          <w:shd w:val="clear" w:color="auto" w:fill="FFFFFF"/>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 xml:space="preserve">Véanse, por ejemplo: </w:t>
      </w:r>
      <w:r w:rsidR="00E46A26">
        <w:fldChar w:fldCharType="begin"/>
      </w:r>
      <w:r w:rsidR="00E46A26" w:rsidRPr="00E46A26">
        <w:rPr>
          <w:lang w:val="es-ES"/>
        </w:rPr>
        <w:instrText>HYPERLINK "https://doi.org/10.1002/ps.8105"</w:instrText>
      </w:r>
      <w:r w:rsidR="00E46A26">
        <w:fldChar w:fldCharType="separate"/>
      </w:r>
      <w:r w:rsidRPr="001C4B3B">
        <w:rPr>
          <w:rStyle w:val="Hyperlink"/>
          <w:sz w:val="24"/>
          <w:lang w:val="es-ES_tradnl"/>
        </w:rPr>
        <w:t>https://doi.org/10.1002/ps.8105</w:t>
      </w:r>
      <w:r w:rsidR="00E46A26">
        <w:rPr>
          <w:rStyle w:val="Hyperlink"/>
          <w:sz w:val="24"/>
          <w:lang w:val="es-ES_tradnl"/>
        </w:rPr>
        <w:fldChar w:fldCharType="end"/>
      </w:r>
      <w:r w:rsidRPr="001C4B3B">
        <w:rPr>
          <w:sz w:val="24"/>
          <w:shd w:val="clear" w:color="auto" w:fill="FFFFFF"/>
          <w:lang w:val="es-ES_tradnl"/>
        </w:rPr>
        <w:t xml:space="preserve"> y </w:t>
      </w:r>
      <w:hyperlink r:id="rId3" w:history="1">
        <w:r w:rsidRPr="001C4B3B">
          <w:rPr>
            <w:rStyle w:val="Hyperlink"/>
            <w:sz w:val="24"/>
            <w:lang w:val="es-ES_tradnl"/>
          </w:rPr>
          <w:t>https://doi.org/10.1016/j.geoforum.2009.03.009</w:t>
        </w:r>
      </w:hyperlink>
      <w:r w:rsidRPr="001C4B3B">
        <w:rPr>
          <w:sz w:val="24"/>
          <w:lang w:val="es-ES_tradnl"/>
        </w:rPr>
        <w:t>.</w:t>
      </w:r>
    </w:p>
  </w:footnote>
  <w:footnote w:id="7">
    <w:p w14:paraId="7F33D502" w14:textId="50A9FBC9"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r w:rsidR="00E46A26">
        <w:fldChar w:fldCharType="begin"/>
      </w:r>
      <w:r w:rsidR="00E46A26" w:rsidRPr="00E46A26">
        <w:rPr>
          <w:lang w:val="es-ES"/>
        </w:rPr>
        <w:instrText>HYPERLINK "http://data.europa.eu/eli/reg/2009/1107/oj"</w:instrText>
      </w:r>
      <w:r w:rsidR="00E46A26">
        <w:fldChar w:fldCharType="separate"/>
      </w:r>
      <w:r w:rsidRPr="001C4B3B">
        <w:rPr>
          <w:rStyle w:val="Hyperlink"/>
          <w:sz w:val="24"/>
          <w:lang w:val="es-ES_tradnl"/>
        </w:rPr>
        <w:t>http://data.europa.eu/eli/reg/2009/1107/oj</w:t>
      </w:r>
      <w:r w:rsidR="00E46A26">
        <w:rPr>
          <w:rStyle w:val="Hyperlink"/>
          <w:sz w:val="24"/>
          <w:lang w:val="es-ES_tradnl"/>
        </w:rPr>
        <w:fldChar w:fldCharType="end"/>
      </w:r>
      <w:r w:rsidRPr="001C4B3B">
        <w:rPr>
          <w:sz w:val="24"/>
          <w:lang w:val="es-ES_tradnl"/>
        </w:rPr>
        <w:t>).</w:t>
      </w:r>
    </w:p>
  </w:footnote>
  <w:footnote w:id="8">
    <w:p w14:paraId="027FB8F3" w14:textId="76B4AE2E"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 xml:space="preserve">Véanse, por ejemplo: </w:t>
      </w:r>
      <w:r w:rsidR="00E46A26">
        <w:fldChar w:fldCharType="begin"/>
      </w:r>
      <w:r w:rsidR="00E46A26" w:rsidRPr="00E46A26">
        <w:rPr>
          <w:lang w:val="es-ES"/>
        </w:rPr>
        <w:instrText>HYPERLINK "https://doi.org/10.1016/j.mrrev.2019.02.001"</w:instrText>
      </w:r>
      <w:r w:rsidR="00E46A26">
        <w:fldChar w:fldCharType="separate"/>
      </w:r>
      <w:r w:rsidRPr="001C4B3B">
        <w:rPr>
          <w:rStyle w:val="Hyperlink"/>
          <w:sz w:val="24"/>
          <w:lang w:val="es-ES_tradnl"/>
        </w:rPr>
        <w:t>https://doi.org/10.1016/j.mrrev.2019.02.001</w:t>
      </w:r>
      <w:r w:rsidR="00E46A26">
        <w:rPr>
          <w:rStyle w:val="Hyperlink"/>
          <w:sz w:val="24"/>
          <w:lang w:val="es-ES_tradnl"/>
        </w:rPr>
        <w:fldChar w:fldCharType="end"/>
      </w:r>
      <w:r w:rsidRPr="001C4B3B">
        <w:rPr>
          <w:sz w:val="24"/>
          <w:lang w:val="es-ES_tradnl"/>
        </w:rPr>
        <w:t xml:space="preserve">, </w:t>
      </w:r>
      <w:hyperlink r:id="rId4" w:history="1">
        <w:r w:rsidRPr="001C4B3B">
          <w:rPr>
            <w:rStyle w:val="Hyperlink"/>
            <w:sz w:val="24"/>
            <w:lang w:val="es-ES_tradnl"/>
          </w:rPr>
          <w:t>https://doi.org/10.1093/ije/dyz017</w:t>
        </w:r>
      </w:hyperlink>
      <w:r w:rsidRPr="001C4B3B">
        <w:rPr>
          <w:sz w:val="24"/>
          <w:lang w:val="es-ES_tradnl"/>
        </w:rPr>
        <w:t xml:space="preserve">, </w:t>
      </w:r>
      <w:hyperlink r:id="rId5" w:history="1">
        <w:r w:rsidRPr="001C4B3B">
          <w:rPr>
            <w:rStyle w:val="Hyperlink"/>
            <w:sz w:val="24"/>
            <w:lang w:val="es-ES_tradnl"/>
          </w:rPr>
          <w:t>https://doi.org/10.1371/journal.pone.0219610</w:t>
        </w:r>
      </w:hyperlink>
      <w:r w:rsidRPr="001C4B3B">
        <w:rPr>
          <w:sz w:val="24"/>
          <w:lang w:val="es-ES_tradnl"/>
        </w:rPr>
        <w:t xml:space="preserve"> y </w:t>
      </w:r>
      <w:hyperlink r:id="rId6" w:history="1">
        <w:r w:rsidRPr="001C4B3B">
          <w:rPr>
            <w:rStyle w:val="Hyperlink"/>
            <w:sz w:val="24"/>
            <w:lang w:val="es-ES_tradnl"/>
          </w:rPr>
          <w:t>https://doi.org/10.1186/s13045-019-0767-9</w:t>
        </w:r>
      </w:hyperlink>
      <w:r w:rsidRPr="001C4B3B">
        <w:rPr>
          <w:sz w:val="24"/>
          <w:lang w:val="es-ES_tradnl"/>
        </w:rPr>
        <w:t>.</w:t>
      </w:r>
    </w:p>
  </w:footnote>
  <w:footnote w:id="9">
    <w:p w14:paraId="78E6E245" w14:textId="500FEF45"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00E46A26">
        <w:fldChar w:fldCharType="begin"/>
      </w:r>
      <w:r w:rsidR="00E46A26" w:rsidRPr="00E46A26">
        <w:rPr>
          <w:lang w:val="es-ES"/>
        </w:rPr>
        <w:instrText>HYPERLINK "https://doi.org/10.1006/rtph.1999.1371"</w:instrText>
      </w:r>
      <w:r w:rsidR="00E46A26">
        <w:fldChar w:fldCharType="separate"/>
      </w:r>
      <w:r w:rsidRPr="001C4B3B">
        <w:rPr>
          <w:rStyle w:val="Hyperlink"/>
          <w:sz w:val="24"/>
          <w:lang w:val="es-ES_tradnl"/>
        </w:rPr>
        <w:t>https://doi.org/10.1006/rtph.1999.1371</w:t>
      </w:r>
      <w:r w:rsidR="00E46A26">
        <w:rPr>
          <w:rStyle w:val="Hyperlink"/>
          <w:sz w:val="24"/>
          <w:lang w:val="es-ES_tradnl"/>
        </w:rPr>
        <w:fldChar w:fldCharType="end"/>
      </w:r>
      <w:r w:rsidRPr="001C4B3B">
        <w:rPr>
          <w:sz w:val="24"/>
          <w:lang w:val="es-ES_tradnl"/>
        </w:rPr>
        <w:t xml:space="preserve">. </w:t>
      </w:r>
    </w:p>
  </w:footnote>
  <w:footnote w:id="10">
    <w:p w14:paraId="4C836069" w14:textId="5327DEAB"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En diciembre de 2022 se acordó el Marco Mundial de Biodiversidad en la CP 15 del Convenio de las Naciones Unidas sobre la Diversidad Biológica, que incluye un objetivo mundial de reducción del riesgo de plaguicidas en al menos un 50 % de aquí a 2030 (véase:</w:t>
      </w:r>
      <w:r w:rsidRPr="001C4B3B">
        <w:rPr>
          <w:color w:val="000000" w:themeColor="text1"/>
          <w:sz w:val="24"/>
          <w:lang w:val="es-ES_tradnl"/>
        </w:rPr>
        <w:t xml:space="preserve"> </w:t>
      </w:r>
      <w:r w:rsidR="00E46A26">
        <w:fldChar w:fldCharType="begin"/>
      </w:r>
      <w:r w:rsidR="00E46A26" w:rsidRPr="00E46A26">
        <w:rPr>
          <w:lang w:val="es-ES"/>
        </w:rPr>
        <w:instrText>HYPERLINK "https://ec.europa.eu/commission/presscorner/detail/es/ip_22_7834"</w:instrText>
      </w:r>
      <w:r w:rsidR="00E46A26">
        <w:fldChar w:fldCharType="separate"/>
      </w:r>
      <w:r w:rsidRPr="001C4B3B">
        <w:rPr>
          <w:rStyle w:val="Hyperlink"/>
          <w:sz w:val="24"/>
          <w:lang w:val="es-ES_tradnl"/>
        </w:rPr>
        <w:t>https://ec.europa.eu/commission/presscorner/detail/es/ip_22_7834</w:t>
      </w:r>
      <w:r w:rsidR="00E46A26">
        <w:rPr>
          <w:rStyle w:val="Hyperlink"/>
          <w:sz w:val="24"/>
          <w:lang w:val="es-ES_tradnl"/>
        </w:rPr>
        <w:fldChar w:fldCharType="end"/>
      </w:r>
      <w:r w:rsidRPr="001C4B3B">
        <w:rPr>
          <w:sz w:val="24"/>
          <w:lang w:val="es-ES_tradnl"/>
        </w:rPr>
        <w:t>).</w:t>
      </w:r>
    </w:p>
  </w:footnote>
  <w:footnote w:id="11">
    <w:p w14:paraId="671689EA" w14:textId="0D62A35B"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00E46A26">
        <w:fldChar w:fldCharType="begin"/>
      </w:r>
      <w:r w:rsidR="00E46A26" w:rsidRPr="00E46A26">
        <w:rPr>
          <w:lang w:val="es-ES_tradnl"/>
        </w:rPr>
        <w:instrText>HYPERLINK "https://commission.europa.eu/strategy-and-policy/priorities-2019-2024/european-green-deal/agriculture-and-green-deal/strategic-dialogue-future-eu-agriculture_es"</w:instrText>
      </w:r>
      <w:r w:rsidR="00E46A26">
        <w:fldChar w:fldCharType="separate"/>
      </w:r>
      <w:r w:rsidRPr="001C4B3B">
        <w:rPr>
          <w:rStyle w:val="Hyperlink"/>
          <w:sz w:val="24"/>
          <w:lang w:val="es-ES_tradnl"/>
        </w:rPr>
        <w:t>https://commission.europa.eu/strategy-and-policy/priorities-2019-2024/european-green-deal/agriculture-and-green-deal/strategic-dialogue-future-eu-agriculture_es</w:t>
      </w:r>
      <w:r w:rsidR="00E46A26">
        <w:rPr>
          <w:rStyle w:val="Hyperlink"/>
          <w:sz w:val="24"/>
          <w:lang w:val="es-ES_tradnl"/>
        </w:rPr>
        <w:fldChar w:fldCharType="end"/>
      </w:r>
      <w:r w:rsidRPr="001C4B3B">
        <w:rPr>
          <w:rStyle w:val="Hyperlink"/>
          <w:sz w:val="24"/>
          <w:lang w:val="es-ES_tradnl"/>
        </w:rPr>
        <w:t>.</w:t>
      </w:r>
      <w:r w:rsidRPr="001C4B3B">
        <w:rPr>
          <w:sz w:val="24"/>
          <w:lang w:val="es-ES_tradnl"/>
        </w:rPr>
        <w:t xml:space="preserve"> </w:t>
      </w:r>
    </w:p>
  </w:footnote>
  <w:footnote w:id="12">
    <w:p w14:paraId="66B5B3D1" w14:textId="4F73249A" w:rsidR="00D50B61" w:rsidRPr="001C4B3B" w:rsidRDefault="00D50B61" w:rsidP="001C4B3B">
      <w:pPr>
        <w:pStyle w:val="FootnoteText"/>
        <w:ind w:left="567" w:hanging="567"/>
        <w:rPr>
          <w:sz w:val="24"/>
          <w:lang w:val="es-ES_tradnl"/>
        </w:rPr>
      </w:pPr>
      <w:r w:rsidRPr="001C4B3B">
        <w:rPr>
          <w:rStyle w:val="FootnoteReference"/>
          <w:sz w:val="24"/>
          <w:lang w:val="es-ES_tradnl"/>
        </w:rPr>
        <w:footnoteRef/>
      </w:r>
      <w:r w:rsidR="001C4B3B" w:rsidRPr="001C4B3B">
        <w:rPr>
          <w:sz w:val="24"/>
          <w:lang w:val="es-ES_tradnl"/>
        </w:rPr>
        <w:t xml:space="preserve"> </w:t>
      </w:r>
      <w:r w:rsidR="001C4B3B" w:rsidRPr="001C4B3B">
        <w:rPr>
          <w:sz w:val="24"/>
          <w:lang w:val="es-ES_tradnl"/>
        </w:rPr>
        <w:tab/>
      </w:r>
      <w:r w:rsidRPr="001C4B3B">
        <w:rPr>
          <w:sz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w:t>
      </w:r>
      <w:r w:rsidRPr="001C4B3B">
        <w:rPr>
          <w:color w:val="000000" w:themeColor="text1"/>
          <w:sz w:val="24"/>
          <w:lang w:val="es-ES_tradnl"/>
        </w:rPr>
        <w:t>ELI</w:t>
      </w:r>
      <w:r w:rsidRPr="001C4B3B">
        <w:rPr>
          <w:sz w:val="24"/>
          <w:lang w:val="es-ES_tradnl"/>
        </w:rPr>
        <w:t>:</w:t>
      </w:r>
      <w:r w:rsidRPr="001C4B3B">
        <w:rPr>
          <w:color w:val="000000" w:themeColor="text1"/>
          <w:sz w:val="24"/>
          <w:lang w:val="es-ES_tradnl"/>
        </w:rPr>
        <w:t> </w:t>
      </w:r>
      <w:r w:rsidR="00E46A26">
        <w:fldChar w:fldCharType="begin"/>
      </w:r>
      <w:r w:rsidR="00E46A26" w:rsidRPr="00E46A26">
        <w:rPr>
          <w:lang w:val="es-ES"/>
        </w:rPr>
        <w:instrText>HYPERLINK "http://data.europa.eu/eli/reg/2002/178/oj" \t "Gives access to this document through its ELI URI."</w:instrText>
      </w:r>
      <w:r w:rsidR="00E46A26">
        <w:fldChar w:fldCharType="separate"/>
      </w:r>
      <w:r w:rsidRPr="001C4B3B">
        <w:rPr>
          <w:rStyle w:val="Hyperlink"/>
          <w:color w:val="0070C0"/>
          <w:sz w:val="24"/>
          <w:lang w:val="es-ES_tradnl"/>
        </w:rPr>
        <w:t>http://data.europa.eu/eli/reg/2002/178/oj</w:t>
      </w:r>
      <w:r w:rsidR="00E46A26">
        <w:rPr>
          <w:rStyle w:val="Hyperlink"/>
          <w:color w:val="0070C0"/>
          <w:sz w:val="24"/>
          <w:lang w:val="es-ES_tradnl"/>
        </w:rPr>
        <w:fldChar w:fldCharType="end"/>
      </w:r>
      <w:r w:rsidRPr="001C4B3B">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8D96" w14:textId="77777777" w:rsidR="00064002" w:rsidRPr="001C4B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3E97" w14:textId="77777777" w:rsidR="00064002" w:rsidRPr="001C4B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6720" w14:textId="77777777" w:rsidR="00064002" w:rsidRPr="001C4B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5453891">
    <w:abstractNumId w:val="9"/>
  </w:num>
  <w:num w:numId="2" w16cid:durableId="1159688798">
    <w:abstractNumId w:val="9"/>
  </w:num>
  <w:num w:numId="3" w16cid:durableId="612593283">
    <w:abstractNumId w:val="7"/>
  </w:num>
  <w:num w:numId="4" w16cid:durableId="865369182">
    <w:abstractNumId w:val="7"/>
  </w:num>
  <w:num w:numId="5" w16cid:durableId="2048791491">
    <w:abstractNumId w:val="6"/>
  </w:num>
  <w:num w:numId="6" w16cid:durableId="221138678">
    <w:abstractNumId w:val="6"/>
  </w:num>
  <w:num w:numId="7" w16cid:durableId="524750681">
    <w:abstractNumId w:val="5"/>
  </w:num>
  <w:num w:numId="8" w16cid:durableId="1627930474">
    <w:abstractNumId w:val="5"/>
  </w:num>
  <w:num w:numId="9" w16cid:durableId="549877444">
    <w:abstractNumId w:val="4"/>
  </w:num>
  <w:num w:numId="10" w16cid:durableId="405955236">
    <w:abstractNumId w:val="4"/>
  </w:num>
  <w:num w:numId="11" w16cid:durableId="323436705">
    <w:abstractNumId w:val="8"/>
  </w:num>
  <w:num w:numId="12" w16cid:durableId="1293440024">
    <w:abstractNumId w:val="8"/>
  </w:num>
  <w:num w:numId="13" w16cid:durableId="72898321">
    <w:abstractNumId w:val="3"/>
  </w:num>
  <w:num w:numId="14" w16cid:durableId="434444115">
    <w:abstractNumId w:val="3"/>
  </w:num>
  <w:num w:numId="15" w16cid:durableId="1451557617">
    <w:abstractNumId w:val="2"/>
  </w:num>
  <w:num w:numId="16" w16cid:durableId="506796009">
    <w:abstractNumId w:val="2"/>
  </w:num>
  <w:num w:numId="17" w16cid:durableId="1899054355">
    <w:abstractNumId w:val="1"/>
  </w:num>
  <w:num w:numId="18" w16cid:durableId="2078090955">
    <w:abstractNumId w:val="1"/>
  </w:num>
  <w:num w:numId="19" w16cid:durableId="174200288">
    <w:abstractNumId w:val="0"/>
  </w:num>
  <w:num w:numId="20" w16cid:durableId="1282153812">
    <w:abstractNumId w:val="0"/>
  </w:num>
  <w:num w:numId="21" w16cid:durableId="843057192">
    <w:abstractNumId w:val="9"/>
  </w:num>
  <w:num w:numId="22" w16cid:durableId="1209147263">
    <w:abstractNumId w:val="7"/>
  </w:num>
  <w:num w:numId="23" w16cid:durableId="1481078120">
    <w:abstractNumId w:val="6"/>
  </w:num>
  <w:num w:numId="24" w16cid:durableId="1439106501">
    <w:abstractNumId w:val="5"/>
  </w:num>
  <w:num w:numId="25" w16cid:durableId="894391948">
    <w:abstractNumId w:val="4"/>
  </w:num>
  <w:num w:numId="26" w16cid:durableId="1754089409">
    <w:abstractNumId w:val="8"/>
  </w:num>
  <w:num w:numId="27" w16cid:durableId="40985342">
    <w:abstractNumId w:val="3"/>
  </w:num>
  <w:num w:numId="28" w16cid:durableId="38671728">
    <w:abstractNumId w:val="2"/>
  </w:num>
  <w:num w:numId="29" w16cid:durableId="2127843966">
    <w:abstractNumId w:val="1"/>
  </w:num>
  <w:num w:numId="30" w16cid:durableId="1022392833">
    <w:abstractNumId w:val="0"/>
  </w:num>
  <w:num w:numId="31" w16cid:durableId="1757552607">
    <w:abstractNumId w:val="9"/>
  </w:num>
  <w:num w:numId="32" w16cid:durableId="1140657090">
    <w:abstractNumId w:val="7"/>
  </w:num>
  <w:num w:numId="33" w16cid:durableId="2042128485">
    <w:abstractNumId w:val="6"/>
  </w:num>
  <w:num w:numId="34" w16cid:durableId="1203177725">
    <w:abstractNumId w:val="5"/>
  </w:num>
  <w:num w:numId="35" w16cid:durableId="855315125">
    <w:abstractNumId w:val="4"/>
  </w:num>
  <w:num w:numId="36" w16cid:durableId="479077131">
    <w:abstractNumId w:val="8"/>
  </w:num>
  <w:num w:numId="37" w16cid:durableId="798690215">
    <w:abstractNumId w:val="3"/>
  </w:num>
  <w:num w:numId="38" w16cid:durableId="1514105642">
    <w:abstractNumId w:val="2"/>
  </w:num>
  <w:num w:numId="39" w16cid:durableId="535047277">
    <w:abstractNumId w:val="1"/>
  </w:num>
  <w:num w:numId="40" w16cid:durableId="810362236">
    <w:abstractNumId w:val="0"/>
  </w:num>
  <w:num w:numId="41" w16cid:durableId="1932161766">
    <w:abstractNumId w:val="10"/>
  </w:num>
  <w:num w:numId="42" w16cid:durableId="1341784084">
    <w:abstractNumId w:val="10"/>
  </w:num>
  <w:num w:numId="43" w16cid:durableId="1483961356">
    <w:abstractNumId w:val="10"/>
  </w:num>
  <w:num w:numId="44" w16cid:durableId="1578974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ES"/>
    <w:docVar w:name="dvnumam" w:val="0"/>
    <w:docVar w:name="dvpe" w:val="782.192"/>
    <w:docVar w:name="dvtitre" w:val="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D111472/02 – 2026/2523(RSP))"/>
  </w:docVars>
  <w:rsids>
    <w:rsidRoot w:val="0099794B"/>
    <w:rsid w:val="00002272"/>
    <w:rsid w:val="00064002"/>
    <w:rsid w:val="000677B9"/>
    <w:rsid w:val="000831BA"/>
    <w:rsid w:val="000A42CC"/>
    <w:rsid w:val="000C1978"/>
    <w:rsid w:val="000E7DD9"/>
    <w:rsid w:val="0010095E"/>
    <w:rsid w:val="00125B37"/>
    <w:rsid w:val="00187494"/>
    <w:rsid w:val="001C4B3B"/>
    <w:rsid w:val="001F32AE"/>
    <w:rsid w:val="002767FF"/>
    <w:rsid w:val="002B18FE"/>
    <w:rsid w:val="002B5493"/>
    <w:rsid w:val="00343214"/>
    <w:rsid w:val="00356649"/>
    <w:rsid w:val="00361C00"/>
    <w:rsid w:val="00395FA1"/>
    <w:rsid w:val="003E15D4"/>
    <w:rsid w:val="00411CCE"/>
    <w:rsid w:val="0041666E"/>
    <w:rsid w:val="00421060"/>
    <w:rsid w:val="004708DF"/>
    <w:rsid w:val="00471C19"/>
    <w:rsid w:val="004867E3"/>
    <w:rsid w:val="00494A28"/>
    <w:rsid w:val="004C0004"/>
    <w:rsid w:val="004C5D52"/>
    <w:rsid w:val="004E5E0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4DA"/>
    <w:rsid w:val="009226BC"/>
    <w:rsid w:val="00930C23"/>
    <w:rsid w:val="0093193B"/>
    <w:rsid w:val="009509D8"/>
    <w:rsid w:val="00950B64"/>
    <w:rsid w:val="00981893"/>
    <w:rsid w:val="0099794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B61"/>
    <w:rsid w:val="00D56C11"/>
    <w:rsid w:val="00D834A0"/>
    <w:rsid w:val="00D872DF"/>
    <w:rsid w:val="00D91E21"/>
    <w:rsid w:val="00DA7FCD"/>
    <w:rsid w:val="00E365E1"/>
    <w:rsid w:val="00E46A26"/>
    <w:rsid w:val="00E820A4"/>
    <w:rsid w:val="00E86620"/>
    <w:rsid w:val="00EB006A"/>
    <w:rsid w:val="00EB4772"/>
    <w:rsid w:val="00ED169E"/>
    <w:rsid w:val="00ED4235"/>
    <w:rsid w:val="00F04346"/>
    <w:rsid w:val="00F075DC"/>
    <w:rsid w:val="00F149E9"/>
    <w:rsid w:val="00F5134D"/>
    <w:rsid w:val="00F74202"/>
    <w:rsid w:val="00F87713"/>
    <w:rsid w:val="00FB4360"/>
    <w:rsid w:val="00FC69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30654"/>
  <w15:chartTrackingRefBased/>
  <w15:docId w15:val="{FDBCD583-4718-4B72-AF1B-3226D883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50B61"/>
    <w:pPr>
      <w:spacing w:before="480" w:after="240"/>
    </w:pPr>
  </w:style>
  <w:style w:type="paragraph" w:customStyle="1" w:styleId="NormalHanging12a">
    <w:name w:val="NormalHanging12a"/>
    <w:basedOn w:val="Normal"/>
    <w:uiPriority w:val="99"/>
    <w:qFormat/>
    <w:rsid w:val="00D50B61"/>
    <w:pPr>
      <w:spacing w:after="240"/>
      <w:ind w:left="567" w:hanging="567"/>
    </w:pPr>
  </w:style>
  <w:style w:type="character" w:styleId="Hyperlink">
    <w:name w:val="Hyperlink"/>
    <w:basedOn w:val="DefaultParagraphFont"/>
    <w:uiPriority w:val="99"/>
    <w:rsid w:val="00D50B61"/>
    <w:rPr>
      <w:color w:val="0563C1" w:themeColor="hyperlink"/>
      <w:u w:val="single"/>
    </w:rPr>
  </w:style>
  <w:style w:type="paragraph" w:styleId="NormalWeb">
    <w:name w:val="Normal (Web)"/>
    <w:basedOn w:val="Normal"/>
    <w:uiPriority w:val="99"/>
    <w:unhideWhenUsed/>
    <w:rsid w:val="00D50B61"/>
    <w:pPr>
      <w:widowControl/>
      <w:spacing w:before="100" w:beforeAutospacing="1" w:after="100" w:afterAutospacing="1"/>
    </w:pPr>
    <w:rPr>
      <w:szCs w:val="24"/>
    </w:rPr>
  </w:style>
  <w:style w:type="paragraph" w:styleId="Revision">
    <w:name w:val="Revision"/>
    <w:hidden/>
    <w:uiPriority w:val="99"/>
    <w:semiHidden/>
    <w:rsid w:val="008D44D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geoforum.2009.03.009" TargetMode="External"/><Relationship Id="rId2" Type="http://schemas.openxmlformats.org/officeDocument/2006/relationships/hyperlink" Target="https://doi.org/10.1186/2190-4715-24-24" TargetMode="External"/><Relationship Id="rId1" Type="http://schemas.openxmlformats.org/officeDocument/2006/relationships/hyperlink" Target="https://doi.org/10.2903/j.efsa.2025.9503" TargetMode="External"/><Relationship Id="rId6" Type="http://schemas.openxmlformats.org/officeDocument/2006/relationships/hyperlink" Target="https://doi.org/10.1186/s13045-019-0767-9" TargetMode="External"/><Relationship Id="rId5" Type="http://schemas.openxmlformats.org/officeDocument/2006/relationships/hyperlink" Target="https://doi.org/10.1371/journal.pone.0219610" TargetMode="External"/><Relationship Id="rId4" Type="http://schemas.openxmlformats.org/officeDocument/2006/relationships/hyperlink" Target="https://doi.org/10.1093/ije/dyz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2014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CASTELLO MORENO Cesar Augusto</cp:lastModifiedBy>
  <cp:revision>2</cp:revision>
  <cp:lastPrinted>2004-11-19T15:42:00Z</cp:lastPrinted>
  <dcterms:created xsi:type="dcterms:W3CDTF">2026-02-11T11:56:00Z</dcterms:created>
  <dcterms:modified xsi:type="dcterms:W3CDTF">2026-02-11T11:56:00Z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B10-0107/2026</vt:lpwstr>
  </property>
  <property fmtid="{D5CDD505-2E9C-101B-9397-08002B2CF9AE}" pid="4" name="&lt;Type&gt;">
    <vt:lpwstr>RR</vt:lpwstr>
  </property>
</Properties>
</file>