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5DD" w14:paraId="1BB2B387" w14:textId="77777777" w:rsidTr="0010095E">
        <w:trPr>
          <w:trHeight w:hRule="exact" w:val="1418"/>
        </w:trPr>
        <w:tc>
          <w:tcPr>
            <w:tcW w:w="6804" w:type="dxa"/>
            <w:shd w:val="clear" w:color="auto" w:fill="auto"/>
            <w:vAlign w:val="center"/>
          </w:tcPr>
          <w:p w14:paraId="6A55BA83" w14:textId="77777777" w:rsidR="00751A4A" w:rsidRPr="006C35DD" w:rsidRDefault="00114212" w:rsidP="0010095E">
            <w:pPr>
              <w:pStyle w:val="EPName"/>
            </w:pPr>
            <w:r w:rsidRPr="006C35DD">
              <w:t>Euroopa Parlament</w:t>
            </w:r>
          </w:p>
          <w:p w14:paraId="75E11631" w14:textId="77777777" w:rsidR="00751A4A" w:rsidRPr="006C35DD" w:rsidRDefault="005F1B17" w:rsidP="005F1B17">
            <w:pPr>
              <w:pStyle w:val="EPTerm"/>
              <w:rPr>
                <w:rStyle w:val="HideTWBExt"/>
                <w:noProof w:val="0"/>
                <w:vanish w:val="0"/>
                <w:color w:val="auto"/>
              </w:rPr>
            </w:pPr>
            <w:r w:rsidRPr="006C35DD">
              <w:t>2024</w:t>
            </w:r>
            <w:r w:rsidR="00817416" w:rsidRPr="006C35DD">
              <w:t>-202</w:t>
            </w:r>
            <w:r w:rsidRPr="006C35DD">
              <w:t>9</w:t>
            </w:r>
          </w:p>
        </w:tc>
        <w:tc>
          <w:tcPr>
            <w:tcW w:w="2268" w:type="dxa"/>
            <w:shd w:val="clear" w:color="auto" w:fill="auto"/>
          </w:tcPr>
          <w:p w14:paraId="571D5780" w14:textId="77777777" w:rsidR="00751A4A" w:rsidRPr="006C35DD" w:rsidRDefault="00187494" w:rsidP="0010095E">
            <w:pPr>
              <w:pStyle w:val="EPLogo"/>
            </w:pPr>
            <w:r w:rsidRPr="006C35DD">
              <w:rPr>
                <w:noProof/>
                <w:lang w:eastAsia="ja-JP"/>
              </w:rPr>
              <w:drawing>
                <wp:inline distT="0" distB="0" distL="0" distR="0" wp14:anchorId="28E4CF0E" wp14:editId="6CE81A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9DF658" w14:textId="77777777" w:rsidR="00D058B8" w:rsidRPr="006C35DD" w:rsidRDefault="00D058B8" w:rsidP="004C5D52">
      <w:pPr>
        <w:pStyle w:val="LineTop"/>
      </w:pPr>
    </w:p>
    <w:p w14:paraId="14005F92" w14:textId="77777777" w:rsidR="00680577" w:rsidRPr="006C35DD" w:rsidRDefault="00114212" w:rsidP="00680577">
      <w:pPr>
        <w:pStyle w:val="EPBodyTA1"/>
      </w:pPr>
      <w:r w:rsidRPr="006C35DD">
        <w:t>VASTUVÕETUD TEKSTID</w:t>
      </w:r>
    </w:p>
    <w:p w14:paraId="6D5F1018" w14:textId="77777777" w:rsidR="00D058B8" w:rsidRPr="006C35DD" w:rsidRDefault="00D058B8" w:rsidP="00D058B8">
      <w:pPr>
        <w:pStyle w:val="LineBottom"/>
      </w:pPr>
    </w:p>
    <w:p w14:paraId="72F9616D" w14:textId="4909A14D" w:rsidR="00114212" w:rsidRPr="006C35DD" w:rsidRDefault="00114212" w:rsidP="00114212">
      <w:pPr>
        <w:pStyle w:val="ATHeading1"/>
      </w:pPr>
      <w:bookmarkStart w:id="0" w:name="TANumber"/>
      <w:proofErr w:type="spellStart"/>
      <w:r w:rsidRPr="006C35DD">
        <w:t>P10_TA</w:t>
      </w:r>
      <w:proofErr w:type="spellEnd"/>
      <w:r w:rsidRPr="006C35DD">
        <w:t>(2026)00</w:t>
      </w:r>
      <w:r w:rsidR="007D724B">
        <w:t>41</w:t>
      </w:r>
      <w:bookmarkEnd w:id="0"/>
    </w:p>
    <w:p w14:paraId="641B8469" w14:textId="7D8B765A" w:rsidR="00114212" w:rsidRPr="006C35DD" w:rsidRDefault="00F82CC8" w:rsidP="00114212">
      <w:pPr>
        <w:pStyle w:val="ATHeading2"/>
      </w:pPr>
      <w:bookmarkStart w:id="1" w:name="title"/>
      <w:r>
        <w:t>G</w:t>
      </w:r>
      <w:r w:rsidR="00114212" w:rsidRPr="006C35DD">
        <w:t xml:space="preserve">eneetiliselt muundatud sojauba </w:t>
      </w:r>
      <w:proofErr w:type="spellStart"/>
      <w:r w:rsidR="00114212" w:rsidRPr="006C35DD">
        <w:t>DBN</w:t>
      </w:r>
      <w:proofErr w:type="spellEnd"/>
      <w:r w:rsidR="00114212" w:rsidRPr="006C35DD">
        <w:t>-09004-6</w:t>
      </w:r>
    </w:p>
    <w:p w14:paraId="0EB3AD0E" w14:textId="77777777" w:rsidR="00114212" w:rsidRPr="006C35DD" w:rsidRDefault="00114212" w:rsidP="00114212">
      <w:pPr>
        <w:rPr>
          <w:i/>
          <w:vanish/>
        </w:rPr>
      </w:pPr>
      <w:r w:rsidRPr="006C35DD">
        <w:rPr>
          <w:i/>
        </w:rPr>
        <w:fldChar w:fldCharType="begin"/>
      </w:r>
      <w:r w:rsidRPr="006C35DD">
        <w:rPr>
          <w:i/>
        </w:rPr>
        <w:instrText xml:space="preserve"> TC"(</w:instrText>
      </w:r>
      <w:bookmarkStart w:id="2" w:name="DocNumber"/>
      <w:r w:rsidRPr="006C35DD">
        <w:rPr>
          <w:i/>
        </w:rPr>
        <w:instrText>B10-0107/2026</w:instrText>
      </w:r>
      <w:bookmarkEnd w:id="2"/>
      <w:r w:rsidRPr="006C35DD">
        <w:rPr>
          <w:i/>
        </w:rPr>
        <w:instrText xml:space="preserve">)"\l3 \n&gt; \* MERGEFORMAT </w:instrText>
      </w:r>
      <w:r w:rsidRPr="006C35DD">
        <w:rPr>
          <w:i/>
        </w:rPr>
        <w:fldChar w:fldCharType="end"/>
      </w:r>
    </w:p>
    <w:p w14:paraId="1E029DB2" w14:textId="77777777" w:rsidR="00114212" w:rsidRPr="006C35DD" w:rsidRDefault="00114212" w:rsidP="00114212">
      <w:pPr>
        <w:rPr>
          <w:vanish/>
        </w:rPr>
      </w:pPr>
      <w:bookmarkStart w:id="3" w:name="PE"/>
      <w:r w:rsidRPr="006C35DD">
        <w:rPr>
          <w:vanish/>
        </w:rPr>
        <w:t>PE782.192</w:t>
      </w:r>
      <w:bookmarkEnd w:id="3"/>
    </w:p>
    <w:p w14:paraId="65688490" w14:textId="728C8C8E" w:rsidR="00114212" w:rsidRPr="006C35DD" w:rsidRDefault="00114212" w:rsidP="00114212">
      <w:pPr>
        <w:pStyle w:val="ATHeading3"/>
      </w:pPr>
      <w:bookmarkStart w:id="4" w:name="Sujet"/>
      <w:r w:rsidRPr="006C35DD">
        <w:t xml:space="preserve">Euroopa Parlamendi </w:t>
      </w:r>
      <w:r w:rsidR="00CF1570">
        <w:t>11. veebruari</w:t>
      </w:r>
      <w:r w:rsidR="00CF1570" w:rsidRPr="006C35DD">
        <w:t xml:space="preserve"> </w:t>
      </w:r>
      <w:r w:rsidRPr="006C35DD">
        <w:t xml:space="preserve">2026. aasta resolutsioon komisjoni rakendusotsuse eelnõu kohta, millega lubatakse turule lasta geneetiliselt muundatud sojauba </w:t>
      </w:r>
      <w:proofErr w:type="spellStart"/>
      <w:r w:rsidRPr="006C35DD">
        <w:t>DBN</w:t>
      </w:r>
      <w:proofErr w:type="spellEnd"/>
      <w:r w:rsidRPr="006C35DD">
        <w:t xml:space="preserve">-09004-6 sisaldavaid, sellest koosnevaid või sellest toodetud tooteid vastavalt Euroopa Parlamendi ja nõukogu määrusele (EÜ) nr 1829/2003 </w:t>
      </w:r>
      <w:bookmarkStart w:id="5" w:name="References"/>
      <w:bookmarkEnd w:id="4"/>
      <w:r w:rsidRPr="006C35DD">
        <w:t>(</w:t>
      </w:r>
      <w:proofErr w:type="spellStart"/>
      <w:r w:rsidRPr="006C35DD">
        <w:t>D111472</w:t>
      </w:r>
      <w:proofErr w:type="spellEnd"/>
      <w:r w:rsidRPr="006C35DD">
        <w:t>/02 – 2026/2523(</w:t>
      </w:r>
      <w:proofErr w:type="spellStart"/>
      <w:r w:rsidRPr="006C35DD">
        <w:t>RSP</w:t>
      </w:r>
      <w:proofErr w:type="spellEnd"/>
      <w:r w:rsidRPr="006C35DD">
        <w:t>))</w:t>
      </w:r>
      <w:bookmarkEnd w:id="5"/>
    </w:p>
    <w:p w14:paraId="5ECC99C8" w14:textId="77777777" w:rsidR="00707870" w:rsidRPr="006C35DD" w:rsidRDefault="00707870" w:rsidP="00707870">
      <w:pPr>
        <w:pStyle w:val="EPComma"/>
      </w:pPr>
      <w:bookmarkStart w:id="6" w:name="TextBodyBegin"/>
      <w:bookmarkEnd w:id="1"/>
      <w:bookmarkEnd w:id="6"/>
      <w:r w:rsidRPr="006C35DD">
        <w:rPr>
          <w:i/>
        </w:rPr>
        <w:t>Euroopa Parlament</w:t>
      </w:r>
      <w:r w:rsidRPr="006C35DD">
        <w:t>,</w:t>
      </w:r>
    </w:p>
    <w:p w14:paraId="6A3470B6" w14:textId="77777777" w:rsidR="00707870" w:rsidRPr="006C35DD" w:rsidRDefault="00707870" w:rsidP="00707870">
      <w:pPr>
        <w:pStyle w:val="NormalHanging12a"/>
      </w:pPr>
      <w:r w:rsidRPr="006C35DD">
        <w:t>–</w:t>
      </w:r>
      <w:r w:rsidRPr="006C35DD">
        <w:tab/>
        <w:t xml:space="preserve">võttes arvesse komisjoni rakendusotsuse eelnõu, millega lubatakse turule lasta geneetiliselt muundatud sojauba </w:t>
      </w:r>
      <w:proofErr w:type="spellStart"/>
      <w:r w:rsidRPr="006C35DD">
        <w:t>DBN</w:t>
      </w:r>
      <w:proofErr w:type="spellEnd"/>
      <w:r w:rsidRPr="006C35DD">
        <w:t>-09004-6 sisaldavaid, sellest koosnevaid või sellest toodetud tooteid vastavalt Euroopa Parlamendi ja nõukogu määrusele (EÜ) nr 1829/2003 (</w:t>
      </w:r>
      <w:proofErr w:type="spellStart"/>
      <w:r w:rsidRPr="006C35DD">
        <w:t>D111472</w:t>
      </w:r>
      <w:proofErr w:type="spellEnd"/>
      <w:r w:rsidRPr="006C35DD">
        <w:t>/02),</w:t>
      </w:r>
    </w:p>
    <w:p w14:paraId="78D4D4E6" w14:textId="77777777" w:rsidR="00707870" w:rsidRPr="006C35DD" w:rsidRDefault="00707870" w:rsidP="00707870">
      <w:pPr>
        <w:pStyle w:val="NormalHanging12a"/>
      </w:pPr>
      <w:r w:rsidRPr="006C35DD">
        <w:t>–</w:t>
      </w:r>
      <w:r w:rsidRPr="006C35DD">
        <w:tab/>
        <w:t>võttes arvesse Euroopa Parlamendi ja nõukogu 22. septembri 2003. aasta määrust (EÜ) nr 1829/2003 geneetiliselt muundatud toidu ja sööda kohta</w:t>
      </w:r>
      <w:r w:rsidRPr="006C35DD">
        <w:rPr>
          <w:rStyle w:val="FootnoteReference"/>
        </w:rPr>
        <w:footnoteReference w:id="1"/>
      </w:r>
      <w:r w:rsidRPr="006C35DD">
        <w:t>, eriti selle artikli 7 lõiget 3 ja artikli 19 lõiget 3,</w:t>
      </w:r>
    </w:p>
    <w:p w14:paraId="17F87325" w14:textId="34577EC0" w:rsidR="00707870" w:rsidRPr="006C35DD" w:rsidRDefault="00707870" w:rsidP="00707870">
      <w:pPr>
        <w:pStyle w:val="NormalHanging12a"/>
      </w:pPr>
      <w:r w:rsidRPr="006C35DD">
        <w:t>–</w:t>
      </w:r>
      <w:r w:rsidRPr="006C35DD">
        <w:tab/>
        <w:t>võttes arvesse määruse (EÜ) nr 1829/2003 artiklis 35 osutatud alalises taime-, looma-, toidu- ja söödakomitees 12. detsembril 2025 toimunud hääletust, mille tulemusel arvamust ei esitatud</w:t>
      </w:r>
      <w:bookmarkStart w:id="7" w:name="_Hlk219206484"/>
      <w:r w:rsidRPr="006C35DD">
        <w:t>,</w:t>
      </w:r>
      <w:bookmarkEnd w:id="7"/>
      <w:r w:rsidR="0029044D">
        <w:t xml:space="preserve"> ning apellatsioonikomitees 27. jaanuaril 2026 toimunud hääletust, mille tulemusel samuti arvamust ei esitatud,</w:t>
      </w:r>
    </w:p>
    <w:p w14:paraId="31660206" w14:textId="77777777" w:rsidR="00707870" w:rsidRPr="006C35DD" w:rsidRDefault="00707870" w:rsidP="00707870">
      <w:pPr>
        <w:pStyle w:val="NormalHanging12a"/>
      </w:pPr>
      <w:r w:rsidRPr="006C35DD">
        <w:t>–</w:t>
      </w:r>
      <w:r w:rsidRPr="006C35DD">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sidRPr="006C35DD">
        <w:rPr>
          <w:rStyle w:val="FootnoteReference"/>
        </w:rPr>
        <w:footnoteReference w:id="2"/>
      </w:r>
      <w:r w:rsidRPr="006C35DD">
        <w:t xml:space="preserve"> artiklit 11,</w:t>
      </w:r>
    </w:p>
    <w:p w14:paraId="316860C5" w14:textId="77777777" w:rsidR="00707870" w:rsidRPr="006C35DD" w:rsidRDefault="00707870" w:rsidP="00707870">
      <w:pPr>
        <w:pStyle w:val="NormalHanging12a"/>
      </w:pPr>
      <w:r w:rsidRPr="006C35DD">
        <w:t>–</w:t>
      </w:r>
      <w:r w:rsidRPr="006C35DD">
        <w:tab/>
        <w:t>võttes arvesse Euroopa Toiduohutusameti (</w:t>
      </w:r>
      <w:proofErr w:type="spellStart"/>
      <w:r w:rsidRPr="006C35DD">
        <w:t>EFSA</w:t>
      </w:r>
      <w:proofErr w:type="spellEnd"/>
      <w:r w:rsidRPr="006C35DD">
        <w:t>) 21. mail 2025 vastu võetud ja 7. juulil 2025 avaldatud arvamust</w:t>
      </w:r>
      <w:r w:rsidRPr="006C35DD">
        <w:rPr>
          <w:vertAlign w:val="superscript"/>
        </w:rPr>
        <w:footnoteReference w:id="3"/>
      </w:r>
      <w:r w:rsidRPr="006C35DD">
        <w:t>,</w:t>
      </w:r>
    </w:p>
    <w:p w14:paraId="0C552F13" w14:textId="31AD2EE8" w:rsidR="00707870" w:rsidRPr="006C35DD" w:rsidRDefault="00707870" w:rsidP="00707870">
      <w:pPr>
        <w:pStyle w:val="NormalHanging12a"/>
      </w:pPr>
      <w:r w:rsidRPr="006C35DD">
        <w:t>–</w:t>
      </w:r>
      <w:r w:rsidRPr="006C35DD">
        <w:tab/>
        <w:t xml:space="preserve">võttes arvesse oma varasemaid resolutsioone, milles esitatakse vastuväiteid geneetiliselt </w:t>
      </w:r>
      <w:r w:rsidRPr="006C35DD">
        <w:lastRenderedPageBreak/>
        <w:t>muundatud organismide (</w:t>
      </w:r>
      <w:proofErr w:type="spellStart"/>
      <w:r w:rsidRPr="006C35DD">
        <w:t>GMOd</w:t>
      </w:r>
      <w:proofErr w:type="spellEnd"/>
      <w:r w:rsidRPr="006C35DD">
        <w:t>) kasutamiseks lubade andmisele</w:t>
      </w:r>
      <w:r w:rsidRPr="006C35DD">
        <w:rPr>
          <w:vertAlign w:val="superscript"/>
        </w:rPr>
        <w:footnoteReference w:id="4"/>
      </w:r>
      <w:r w:rsidRPr="006C35DD">
        <w:t>,</w:t>
      </w:r>
    </w:p>
    <w:p w14:paraId="3AFBA6A6" w14:textId="77777777" w:rsidR="00707870" w:rsidRPr="006C35DD" w:rsidRDefault="00707870" w:rsidP="00707870">
      <w:pPr>
        <w:pStyle w:val="NormalHanging12a"/>
      </w:pPr>
      <w:r w:rsidRPr="006C35DD">
        <w:lastRenderedPageBreak/>
        <w:t>–</w:t>
      </w:r>
      <w:r w:rsidRPr="006C35DD">
        <w:tab/>
        <w:t>võttes arvesse kodukorra artikli 115 lõikeid 2 ja 3,</w:t>
      </w:r>
    </w:p>
    <w:p w14:paraId="6334F15D" w14:textId="77777777" w:rsidR="00707870" w:rsidRPr="006C35DD" w:rsidRDefault="00707870" w:rsidP="00707870">
      <w:pPr>
        <w:pStyle w:val="NormalHanging12a"/>
      </w:pPr>
      <w:r w:rsidRPr="006C35DD">
        <w:t>–</w:t>
      </w:r>
      <w:r w:rsidRPr="006C35DD">
        <w:tab/>
        <w:t>võttes arvesse keskkonna-, kliima- ja toiduohutuse komisjoni resolutsiooni ettepanekut,</w:t>
      </w:r>
    </w:p>
    <w:p w14:paraId="011C6C6F" w14:textId="4AAFC660" w:rsidR="00707870" w:rsidRPr="006C35DD" w:rsidRDefault="00707870" w:rsidP="00707870">
      <w:pPr>
        <w:pStyle w:val="NormalHanging12a"/>
        <w:ind w:hanging="570"/>
      </w:pPr>
      <w:r w:rsidRPr="006C35DD">
        <w:t>A.</w:t>
      </w:r>
      <w:r w:rsidRPr="006C35DD">
        <w:tab/>
        <w:t xml:space="preserve">arvestades, et </w:t>
      </w:r>
      <w:r w:rsidR="002A45F6">
        <w:t xml:space="preserve">20. detsembril 2019 esitas </w:t>
      </w:r>
      <w:r w:rsidRPr="006C35DD">
        <w:t xml:space="preserve">Belgias asuv </w:t>
      </w:r>
      <w:proofErr w:type="spellStart"/>
      <w:r w:rsidRPr="006C35DD">
        <w:t>Perseus</w:t>
      </w:r>
      <w:proofErr w:type="spellEnd"/>
      <w:r w:rsidRPr="006C35DD">
        <w:t xml:space="preserve"> </w:t>
      </w:r>
      <w:proofErr w:type="spellStart"/>
      <w:r w:rsidRPr="006C35DD">
        <w:t>BV</w:t>
      </w:r>
      <w:proofErr w:type="spellEnd"/>
      <w:r w:rsidRPr="006C35DD">
        <w:t xml:space="preserve"> Hiinas asuva äriühingu Beijing </w:t>
      </w:r>
      <w:proofErr w:type="spellStart"/>
      <w:r w:rsidRPr="006C35DD">
        <w:t>DaBeiNong</w:t>
      </w:r>
      <w:proofErr w:type="spellEnd"/>
      <w:r w:rsidRPr="006C35DD">
        <w:t xml:space="preserve"> </w:t>
      </w:r>
      <w:proofErr w:type="spellStart"/>
      <w:r w:rsidRPr="006C35DD">
        <w:t>Biotechnology</w:t>
      </w:r>
      <w:proofErr w:type="spellEnd"/>
      <w:r w:rsidRPr="006C35DD">
        <w:t xml:space="preserve"> Co., Ltd. nimel kooskõlas määruse (EÜ) nr 1829/2003 artiklitega 5 ja 17 </w:t>
      </w:r>
      <w:r w:rsidRPr="006C35DD">
        <w:rPr>
          <w:snapToGrid w:val="0"/>
        </w:rPr>
        <w:t>Belgia pädevale asutusele taotluse</w:t>
      </w:r>
      <w:r w:rsidRPr="006C35DD">
        <w:t xml:space="preserve"> geneetiliselt muundatud sojauba </w:t>
      </w:r>
      <w:proofErr w:type="spellStart"/>
      <w:r w:rsidRPr="006C35DD">
        <w:t>DBN</w:t>
      </w:r>
      <w:proofErr w:type="spellEnd"/>
      <w:r w:rsidRPr="006C35DD">
        <w:t>-09004-6 (edaspidi „geneetiliselt muundatud sojauba“) sisaldavate, sellest koosnevate või sellest toodetud toodete turule laskmiseks; arvestades, et taotlus hõlmas ka geneetiliselt muundatud sojauba sisaldavate või sellest koosnevate toodete turule laskmist kasutamiseks muul otstarbel kui toiduks või söödaks, kuid mitte viljelemiseks;</w:t>
      </w:r>
    </w:p>
    <w:p w14:paraId="3A78842A" w14:textId="77777777" w:rsidR="00707870" w:rsidRPr="006C35DD" w:rsidRDefault="00707870" w:rsidP="00707870">
      <w:pPr>
        <w:pStyle w:val="NormalHanging12a"/>
        <w:ind w:hanging="570"/>
      </w:pPr>
      <w:bookmarkStart w:id="8" w:name="_Hlk218675754"/>
      <w:r w:rsidRPr="006C35DD">
        <w:t>B.</w:t>
      </w:r>
      <w:r w:rsidRPr="006C35DD">
        <w:tab/>
        <w:t xml:space="preserve">arvestades, et 7. juulil 2025 esitas </w:t>
      </w:r>
      <w:proofErr w:type="spellStart"/>
      <w:r w:rsidRPr="006C35DD">
        <w:t>EFSA</w:t>
      </w:r>
      <w:proofErr w:type="spellEnd"/>
      <w:r w:rsidRPr="006C35DD">
        <w:t xml:space="preserve"> kooskõlas määruse (EÜ) nr 1829/2003 artiklitega 6 ja 18 heakskiitva teadusliku arvamuse, milles jõudis järeldusele, et taotluses kirjeldatud geneetiliselt muundatud sojauba on inimeste ja loomade tervisele ning keskkonnale avalduda võiva mõju poolest sama ohutu kui vastav tavapärane toode ja geneetiliselt muundamata </w:t>
      </w:r>
      <w:proofErr w:type="spellStart"/>
      <w:r w:rsidRPr="006C35DD">
        <w:t>sojaoa</w:t>
      </w:r>
      <w:proofErr w:type="spellEnd"/>
      <w:r w:rsidRPr="006C35DD">
        <w:t xml:space="preserve"> kontrollitud võrdlussordid; arvestades, et selles arvamuses ei käsitletud mitut laiemat keskkonna-, </w:t>
      </w:r>
      <w:proofErr w:type="spellStart"/>
      <w:r w:rsidRPr="006C35DD">
        <w:t>sotsiaal-majanduslikku</w:t>
      </w:r>
      <w:proofErr w:type="spellEnd"/>
      <w:r w:rsidRPr="006C35DD">
        <w:t xml:space="preserve"> ja kumulatiivset mõju, mis </w:t>
      </w:r>
      <w:proofErr w:type="spellStart"/>
      <w:r w:rsidRPr="006C35DD">
        <w:t>EFSA</w:t>
      </w:r>
      <w:proofErr w:type="spellEnd"/>
      <w:r w:rsidRPr="006C35DD">
        <w:t xml:space="preserve"> arvates ei kuulu tema pädevusse;</w:t>
      </w:r>
    </w:p>
    <w:p w14:paraId="3C730EAF" w14:textId="77777777" w:rsidR="00707870" w:rsidRPr="006C35DD" w:rsidRDefault="00707870" w:rsidP="00707870">
      <w:pPr>
        <w:pStyle w:val="NormalHanging12a"/>
        <w:ind w:hanging="570"/>
      </w:pPr>
      <w:r w:rsidRPr="006C35DD">
        <w:t>C.</w:t>
      </w:r>
      <w:r w:rsidRPr="006C35DD">
        <w:tab/>
        <w:t xml:space="preserve">arvestades, et geneetiliselt muundatud sojauba on välja töötatud </w:t>
      </w:r>
      <w:proofErr w:type="spellStart"/>
      <w:r w:rsidRPr="006C35DD">
        <w:t>glufosinaadi</w:t>
      </w:r>
      <w:proofErr w:type="spellEnd"/>
      <w:r w:rsidRPr="006C35DD">
        <w:t xml:space="preserve"> ja </w:t>
      </w:r>
      <w:proofErr w:type="spellStart"/>
      <w:r w:rsidRPr="006C35DD">
        <w:t>glüfosaadi</w:t>
      </w:r>
      <w:proofErr w:type="spellEnd"/>
      <w:r w:rsidRPr="006C35DD">
        <w:t xml:space="preserve"> suhtes tolerantsuse saavutamiseks;</w:t>
      </w:r>
    </w:p>
    <w:bookmarkEnd w:id="8"/>
    <w:p w14:paraId="25072332" w14:textId="77777777" w:rsidR="00707870" w:rsidRPr="006C35DD" w:rsidRDefault="00707870" w:rsidP="00707870">
      <w:pPr>
        <w:pStyle w:val="NormalHanging12a"/>
      </w:pPr>
      <w:r w:rsidRPr="006C35DD">
        <w:t>D.</w:t>
      </w:r>
      <w:r w:rsidRPr="006C35DD">
        <w:tab/>
        <w:t xml:space="preserve">arvestades, et </w:t>
      </w:r>
      <w:proofErr w:type="spellStart"/>
      <w:r w:rsidRPr="006C35DD">
        <w:t>EFSA</w:t>
      </w:r>
      <w:proofErr w:type="spellEnd"/>
      <w:r w:rsidRPr="006C35DD">
        <w:t xml:space="preserve"> tehtud riskihindamised ei hõlmanud pikaajalisi toksikoloogilisi uuringuid ega kumulatiivse ja kombineeritud mõju üksikasjalikku analüüsi, sealhulgas võimalikku koostoimet </w:t>
      </w:r>
      <w:proofErr w:type="spellStart"/>
      <w:r w:rsidRPr="006C35DD">
        <w:t>sojaoa</w:t>
      </w:r>
      <w:proofErr w:type="spellEnd"/>
      <w:r w:rsidRPr="006C35DD">
        <w:t xml:space="preserve"> kasvatamisel tavaliselt kasutatavate pestitsiidide jääkidega;</w:t>
      </w:r>
    </w:p>
    <w:p w14:paraId="1DDE03EB" w14:textId="77777777" w:rsidR="00707870" w:rsidRPr="006C35DD" w:rsidRDefault="00707870" w:rsidP="00707870">
      <w:pPr>
        <w:pStyle w:val="NormalHanging12a"/>
        <w:rPr>
          <w:color w:val="000000" w:themeColor="text1"/>
          <w:szCs w:val="24"/>
        </w:rPr>
      </w:pPr>
      <w:r w:rsidRPr="006C35DD">
        <w:rPr>
          <w:color w:val="000000" w:themeColor="text1"/>
        </w:rPr>
        <w:t>E.</w:t>
      </w:r>
      <w:r w:rsidRPr="006C35DD">
        <w:rPr>
          <w:color w:val="000000" w:themeColor="text1"/>
        </w:rPr>
        <w:tab/>
      </w:r>
      <w:r w:rsidRPr="006C35DD">
        <w:t xml:space="preserve">arvestades, et valdavat osa geneetiliselt muundatud põllukultuuridest, sealhulgas geneetiliselt muundatud sojauba, on geneetiliselt muundatud nii, et need on tolerantsed vähemalt veel ühe herbitsiidi suhtes, mida saab kasutada kogu geneetiliselt muundatud kultuuri kasvatamise ajal, ilma et taimed sureks, nagu juhtuks herbitsiidide suhtes mittetolerantsete kultuuride puhul; </w:t>
      </w:r>
      <w:r w:rsidRPr="006C35DD">
        <w:rPr>
          <w:color w:val="000000" w:themeColor="text1"/>
        </w:rPr>
        <w:t>arvestades, et mitu uuringut näitab, et herbitsiiditolerantsete geneetiliselt muundatud kultuuride kasvatamise tõttu hakatakse rohkem kasutama lisaherbitsiide, seda peamiselt herbitsiiditolerantse umbrohu tekke tõttu</w:t>
      </w:r>
      <w:r w:rsidRPr="006C35DD">
        <w:rPr>
          <w:rStyle w:val="FootnoteReference"/>
          <w:color w:val="000000" w:themeColor="text1"/>
          <w:szCs w:val="24"/>
        </w:rPr>
        <w:footnoteReference w:id="5"/>
      </w:r>
      <w:r w:rsidRPr="006C35DD">
        <w:rPr>
          <w:color w:val="000000" w:themeColor="text1"/>
        </w:rPr>
        <w:t>;</w:t>
      </w:r>
    </w:p>
    <w:p w14:paraId="6948FE2C" w14:textId="77777777" w:rsidR="00707870" w:rsidRPr="006C35DD" w:rsidRDefault="00707870" w:rsidP="00707870">
      <w:pPr>
        <w:spacing w:after="240"/>
        <w:ind w:left="567" w:hanging="567"/>
        <w:rPr>
          <w:color w:val="000000" w:themeColor="text1"/>
          <w:szCs w:val="24"/>
        </w:rPr>
      </w:pPr>
      <w:r w:rsidRPr="006C35DD">
        <w:t>F.</w:t>
      </w:r>
      <w:r w:rsidRPr="006C35DD">
        <w:tab/>
        <w:t xml:space="preserve">arvestades, et </w:t>
      </w:r>
      <w:r w:rsidRPr="006C35DD">
        <w:rPr>
          <w:color w:val="000000" w:themeColor="text1"/>
        </w:rPr>
        <w:t xml:space="preserve">herbitsiiditolerantsete geneetiliselt muundatud kultuuride puhul sõltuvad </w:t>
      </w:r>
      <w:r w:rsidRPr="006C35DD">
        <w:rPr>
          <w:color w:val="000000" w:themeColor="text1"/>
        </w:rPr>
        <w:lastRenderedPageBreak/>
        <w:t>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sojauba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r w:rsidRPr="006C35DD">
        <w:rPr>
          <w:rStyle w:val="FootnoteReference"/>
          <w:color w:val="000000" w:themeColor="text1"/>
          <w:szCs w:val="24"/>
        </w:rPr>
        <w:footnoteReference w:id="6"/>
      </w:r>
      <w:r w:rsidRPr="006C35DD">
        <w:rPr>
          <w:color w:val="000000" w:themeColor="text1"/>
        </w:rPr>
        <w:t>;</w:t>
      </w:r>
    </w:p>
    <w:p w14:paraId="304BD9D8" w14:textId="77777777" w:rsidR="00707870" w:rsidRPr="006C35DD" w:rsidRDefault="00707870" w:rsidP="00707870">
      <w:pPr>
        <w:pStyle w:val="NormalWeb"/>
        <w:widowControl w:val="0"/>
        <w:spacing w:before="0" w:beforeAutospacing="0" w:after="240" w:afterAutospacing="0"/>
        <w:ind w:left="567" w:hanging="567"/>
      </w:pPr>
      <w:r w:rsidRPr="006C35DD">
        <w:t>G.</w:t>
      </w:r>
      <w:r w:rsidRPr="006C35DD">
        <w:tab/>
        <w:t xml:space="preserve">arvestades, et </w:t>
      </w:r>
      <w:proofErr w:type="spellStart"/>
      <w:r w:rsidRPr="006C35DD">
        <w:t>glufosinaat</w:t>
      </w:r>
      <w:proofErr w:type="spellEnd"/>
      <w:r w:rsidRPr="006C35DD">
        <w:t xml:space="preserve"> on klassifitseeritud kategooria </w:t>
      </w:r>
      <w:proofErr w:type="spellStart"/>
      <w:r w:rsidRPr="006C35DD">
        <w:t>1B</w:t>
      </w:r>
      <w:proofErr w:type="spellEnd"/>
      <w:r w:rsidRPr="006C35DD">
        <w:t xml:space="preserve"> reproduktiivtoksiliseks aineks ning seetõttu kehtivad selle suhtes Euroopa Parlamendi ja nõukogu määruses (EÜ) nr 1107/2009</w:t>
      </w:r>
      <w:r w:rsidRPr="006C35DD">
        <w:rPr>
          <w:rStyle w:val="FootnoteReference"/>
        </w:rPr>
        <w:footnoteReference w:id="7"/>
      </w:r>
      <w:r w:rsidRPr="006C35DD">
        <w:t xml:space="preserve"> sätestatud piirkriteeriumid; arvestades, et </w:t>
      </w:r>
      <w:proofErr w:type="spellStart"/>
      <w:r w:rsidRPr="006C35DD">
        <w:t>glufosinaat</w:t>
      </w:r>
      <w:proofErr w:type="spellEnd"/>
      <w:r w:rsidRPr="006C35DD">
        <w:t xml:space="preserve"> oli liidus kasutamiseks heaks kiidetud ajavahemikuks, mis lõppes 31. juulil 2018;</w:t>
      </w:r>
    </w:p>
    <w:p w14:paraId="68F0F09C" w14:textId="77777777" w:rsidR="00707870" w:rsidRPr="006C35DD" w:rsidRDefault="00707870" w:rsidP="00707870">
      <w:pPr>
        <w:pStyle w:val="NormalHanging12a"/>
      </w:pPr>
      <w:r w:rsidRPr="006C35DD">
        <w:t>H.</w:t>
      </w:r>
      <w:r w:rsidRPr="006C35DD">
        <w:tab/>
        <w:t xml:space="preserve">arvestades, et </w:t>
      </w:r>
      <w:proofErr w:type="spellStart"/>
      <w:r w:rsidRPr="006C35DD">
        <w:t>glüfosaadi</w:t>
      </w:r>
      <w:proofErr w:type="spellEnd"/>
      <w:r w:rsidRPr="006C35DD">
        <w:t xml:space="preserve"> kantserogeensuse suhtes on endiselt tõsiseid küsimusi; arvestades, et </w:t>
      </w:r>
      <w:proofErr w:type="spellStart"/>
      <w:r w:rsidRPr="006C35DD">
        <w:t>EFSA</w:t>
      </w:r>
      <w:proofErr w:type="spellEnd"/>
      <w:r w:rsidRPr="006C35DD">
        <w:t xml:space="preserve"> jõudis 2015. aasta novembris järeldusele, et </w:t>
      </w:r>
      <w:proofErr w:type="spellStart"/>
      <w:r w:rsidRPr="006C35DD">
        <w:t>glüfosaat</w:t>
      </w:r>
      <w:proofErr w:type="spellEnd"/>
      <w:r w:rsidRPr="006C35DD">
        <w:t xml:space="preserve"> ei ole tõenäoliselt kantserogeenne, ja Euroopa Kemikaaliamet jõudis 2017. aasta märtsis järeldusele, et selle klassifitseerimata jätmine oli õigustatud; arvestades, et Maailma Terviseorganisatsiooni vähile spetsialiseerunud amet Rahvusvaheline </w:t>
      </w:r>
      <w:proofErr w:type="spellStart"/>
      <w:r w:rsidRPr="006C35DD">
        <w:t>Vähiuurimiskeskus</w:t>
      </w:r>
      <w:proofErr w:type="spellEnd"/>
      <w:r w:rsidRPr="006C35DD">
        <w:t xml:space="preserve"> seevastu klassifitseeris 2015. aastal </w:t>
      </w:r>
      <w:proofErr w:type="spellStart"/>
      <w:r w:rsidRPr="006C35DD">
        <w:t>glüfosaadi</w:t>
      </w:r>
      <w:proofErr w:type="spellEnd"/>
      <w:r w:rsidRPr="006C35DD">
        <w:t xml:space="preserve"> inimeste jaoks tõenäoliselt kantserogeenseks aineks; arvestades, et mitu hiljutist eelretsenseeritud teadusuuringut kinnitavad </w:t>
      </w:r>
      <w:proofErr w:type="spellStart"/>
      <w:r w:rsidRPr="006C35DD">
        <w:t>glüfosaadi</w:t>
      </w:r>
      <w:proofErr w:type="spellEnd"/>
      <w:r w:rsidRPr="006C35DD">
        <w:t xml:space="preserve"> võimalikku kantserogeenset toimet</w:t>
      </w:r>
      <w:r w:rsidRPr="006C35DD">
        <w:rPr>
          <w:rStyle w:val="FootnoteReference"/>
        </w:rPr>
        <w:footnoteReference w:id="8"/>
      </w:r>
      <w:r w:rsidRPr="006C35DD">
        <w:t xml:space="preserve">; arvestades, et ajakiri </w:t>
      </w:r>
      <w:proofErr w:type="spellStart"/>
      <w:r w:rsidRPr="006C35DD">
        <w:t>Regulatory</w:t>
      </w:r>
      <w:proofErr w:type="spellEnd"/>
      <w:r w:rsidRPr="006C35DD">
        <w:t xml:space="preserve"> </w:t>
      </w:r>
      <w:proofErr w:type="spellStart"/>
      <w:r w:rsidRPr="006C35DD">
        <w:t>Toxicology</w:t>
      </w:r>
      <w:proofErr w:type="spellEnd"/>
      <w:r w:rsidRPr="006C35DD">
        <w:t xml:space="preserve"> and </w:t>
      </w:r>
      <w:proofErr w:type="spellStart"/>
      <w:r w:rsidRPr="006C35DD">
        <w:t>Pharmacology</w:t>
      </w:r>
      <w:proofErr w:type="spellEnd"/>
      <w:r w:rsidRPr="006C35DD">
        <w:t xml:space="preserve"> on võtnud ametlikult tagasi 2000. aastal avaldatud ja paljudes riskihinnangutes </w:t>
      </w:r>
      <w:proofErr w:type="spellStart"/>
      <w:r w:rsidRPr="006C35DD">
        <w:t>glüfosaadi</w:t>
      </w:r>
      <w:proofErr w:type="spellEnd"/>
      <w:r w:rsidRPr="006C35DD">
        <w:t xml:space="preserve"> ohutuse kaitsmiseks kasutatud teadusartikli „</w:t>
      </w:r>
      <w:proofErr w:type="spellStart"/>
      <w:r w:rsidRPr="006C35DD">
        <w:t>Safety</w:t>
      </w:r>
      <w:proofErr w:type="spellEnd"/>
      <w:r w:rsidRPr="006C35DD">
        <w:t xml:space="preserve"> </w:t>
      </w:r>
      <w:proofErr w:type="spellStart"/>
      <w:r w:rsidRPr="006C35DD">
        <w:t>Evaluation</w:t>
      </w:r>
      <w:proofErr w:type="spellEnd"/>
      <w:r w:rsidRPr="006C35DD">
        <w:t xml:space="preserve"> and Risk </w:t>
      </w:r>
      <w:proofErr w:type="spellStart"/>
      <w:r w:rsidRPr="006C35DD">
        <w:t>Assessment</w:t>
      </w:r>
      <w:proofErr w:type="spellEnd"/>
      <w:r w:rsidRPr="006C35DD">
        <w:t xml:space="preserve"> of </w:t>
      </w:r>
      <w:proofErr w:type="spellStart"/>
      <w:r w:rsidRPr="006C35DD">
        <w:t>the</w:t>
      </w:r>
      <w:proofErr w:type="spellEnd"/>
      <w:r w:rsidRPr="006C35DD">
        <w:t xml:space="preserve"> </w:t>
      </w:r>
      <w:proofErr w:type="spellStart"/>
      <w:r w:rsidRPr="006C35DD">
        <w:t>Herbicide</w:t>
      </w:r>
      <w:proofErr w:type="spellEnd"/>
      <w:r w:rsidRPr="006C35DD">
        <w:t xml:space="preserve"> </w:t>
      </w:r>
      <w:proofErr w:type="spellStart"/>
      <w:r w:rsidRPr="006C35DD">
        <w:t>Roundup</w:t>
      </w:r>
      <w:proofErr w:type="spellEnd"/>
      <w:r w:rsidRPr="006C35DD">
        <w:t xml:space="preserve"> and Its </w:t>
      </w:r>
      <w:proofErr w:type="spellStart"/>
      <w:r w:rsidRPr="006C35DD">
        <w:t>Active</w:t>
      </w:r>
      <w:proofErr w:type="spellEnd"/>
      <w:r w:rsidRPr="006C35DD">
        <w:t xml:space="preserve"> </w:t>
      </w:r>
      <w:proofErr w:type="spellStart"/>
      <w:r w:rsidRPr="006C35DD">
        <w:t>Ingredient</w:t>
      </w:r>
      <w:proofErr w:type="spellEnd"/>
      <w:r w:rsidRPr="006C35DD">
        <w:t xml:space="preserve">, </w:t>
      </w:r>
      <w:proofErr w:type="spellStart"/>
      <w:r w:rsidRPr="006C35DD">
        <w:t>Glyphosate</w:t>
      </w:r>
      <w:proofErr w:type="spellEnd"/>
      <w:r w:rsidRPr="006C35DD">
        <w:t xml:space="preserve">, </w:t>
      </w:r>
      <w:proofErr w:type="spellStart"/>
      <w:r w:rsidRPr="006C35DD">
        <w:t>for</w:t>
      </w:r>
      <w:proofErr w:type="spellEnd"/>
      <w:r w:rsidRPr="006C35DD">
        <w:t xml:space="preserve"> </w:t>
      </w:r>
      <w:proofErr w:type="spellStart"/>
      <w:r w:rsidRPr="006C35DD">
        <w:t>Humans</w:t>
      </w:r>
      <w:proofErr w:type="spellEnd"/>
      <w:r w:rsidRPr="006C35DD">
        <w:t xml:space="preserve">“ (Herbitsiidi </w:t>
      </w:r>
      <w:proofErr w:type="spellStart"/>
      <w:r w:rsidRPr="006C35DD">
        <w:t>Roundup</w:t>
      </w:r>
      <w:proofErr w:type="spellEnd"/>
      <w:r w:rsidRPr="006C35DD">
        <w:t xml:space="preserve"> ja selle toimeaine </w:t>
      </w:r>
      <w:proofErr w:type="spellStart"/>
      <w:r w:rsidRPr="006C35DD">
        <w:t>glüfosaadi</w:t>
      </w:r>
      <w:proofErr w:type="spellEnd"/>
      <w:r w:rsidRPr="006C35DD">
        <w:t xml:space="preserve"> ohutuse ja riski hindamine inimeste puhul), kuna „on tõstatatud küsimusi seoses selle autoritega, uurimistulemuste kehtivusega autorite ja uuringu sponsori panuse väärkajastamise kontekstis ning autorite võimalike huvide konfliktidega“</w:t>
      </w:r>
      <w:r w:rsidRPr="006C35DD">
        <w:rPr>
          <w:rStyle w:val="FootnoteReference"/>
        </w:rPr>
        <w:footnoteReference w:id="9"/>
      </w:r>
      <w:r w:rsidRPr="006C35DD">
        <w:t>;</w:t>
      </w:r>
    </w:p>
    <w:p w14:paraId="7E4B72E6" w14:textId="77777777" w:rsidR="00707870" w:rsidRPr="006C35DD" w:rsidRDefault="00707870" w:rsidP="00707870">
      <w:pPr>
        <w:pStyle w:val="NormalHanging12a"/>
      </w:pPr>
      <w:r w:rsidRPr="006C35DD">
        <w:t>I.</w:t>
      </w:r>
      <w:r w:rsidRPr="006C35DD">
        <w:tab/>
        <w:t>arvestades, et elurikkusele, mulla seisundile, tolmeldajatele ja mittesihtorganismidele avalduva võimaliku kahjuliku mõju sõltumatu seire ja järelevalve ei ole endiselt piisavalt tagatud;</w:t>
      </w:r>
    </w:p>
    <w:p w14:paraId="2F83E6C7" w14:textId="77777777" w:rsidR="00707870" w:rsidRPr="006C35DD" w:rsidRDefault="00707870" w:rsidP="00707870">
      <w:pPr>
        <w:spacing w:after="240"/>
        <w:ind w:left="567" w:hanging="567"/>
      </w:pPr>
      <w:r w:rsidRPr="006C35DD">
        <w:t>J.</w:t>
      </w:r>
      <w:r w:rsidRPr="006C35DD">
        <w:tab/>
        <w:t xml:space="preserve">arvestades, et teadusliku ebakindluse korral tuleks kohaldada Euroopa Liidu toimimise </w:t>
      </w:r>
      <w:r w:rsidRPr="006C35DD">
        <w:lastRenderedPageBreak/>
        <w:t>lepingu artiklis 191 sätestatud ettevaatuspõhimõtet;</w:t>
      </w:r>
    </w:p>
    <w:p w14:paraId="723938A1" w14:textId="77777777" w:rsidR="00707870" w:rsidRPr="006C35DD" w:rsidRDefault="00707870" w:rsidP="00707870">
      <w:pPr>
        <w:spacing w:after="240"/>
        <w:ind w:left="567" w:hanging="567"/>
      </w:pPr>
      <w:r w:rsidRPr="006C35DD">
        <w:t>K.</w:t>
      </w:r>
      <w:r w:rsidRPr="006C35DD">
        <w:tab/>
        <w:t>arvestades, et määruses (EÜ) nr 1829/2003 nõutakse, et geneetiliselt muundatud toit ja sööt ei tohi avaldada kahjulikku mõju inimeste ja loomade tervisele ega keskkonnale;</w:t>
      </w:r>
    </w:p>
    <w:p w14:paraId="183E7E9D" w14:textId="77777777" w:rsidR="00707870" w:rsidRPr="006C35DD" w:rsidRDefault="00707870" w:rsidP="00707870">
      <w:pPr>
        <w:pStyle w:val="NormalWeb"/>
        <w:widowControl w:val="0"/>
        <w:spacing w:before="0" w:beforeAutospacing="0" w:after="240" w:afterAutospacing="0"/>
        <w:ind w:left="567" w:hanging="567"/>
      </w:pPr>
      <w:r w:rsidRPr="006C35DD">
        <w:t>L.</w:t>
      </w:r>
      <w:r w:rsidRPr="006C35DD">
        <w:tab/>
        <w:t>arvestades, et geneetiliselt muundatud sojaoale liidu loa andmine ei oleks kooskõlas taimekaitsevahendite kasutamise vähendamist käsitlevate rahvusvaheliste kohustustega</w:t>
      </w:r>
      <w:r w:rsidRPr="006C35DD">
        <w:rPr>
          <w:vertAlign w:val="superscript"/>
        </w:rPr>
        <w:footnoteReference w:id="10"/>
      </w:r>
      <w:r w:rsidRPr="006C35DD">
        <w:t xml:space="preserve">, võttes arvesse inimeste, loomade ja keskkonna suuremat kokkupuudet </w:t>
      </w:r>
      <w:proofErr w:type="spellStart"/>
      <w:r w:rsidRPr="006C35DD">
        <w:t>glüfosaadi</w:t>
      </w:r>
      <w:proofErr w:type="spellEnd"/>
      <w:r w:rsidRPr="006C35DD">
        <w:t xml:space="preserve"> ja </w:t>
      </w:r>
      <w:proofErr w:type="spellStart"/>
      <w:r w:rsidRPr="006C35DD">
        <w:t>glufosinaadiga</w:t>
      </w:r>
      <w:proofErr w:type="spellEnd"/>
      <w:r w:rsidRPr="006C35DD">
        <w:t xml:space="preserve"> riikides, kus kasvatatakse seda herbitsiiditolerantset geneetiliselt muundatud kultuuri, ning sellega seotud võimalikke raskeid tervisemõjusid;</w:t>
      </w:r>
    </w:p>
    <w:p w14:paraId="308C05E8" w14:textId="77777777" w:rsidR="00707870" w:rsidRPr="006C35DD" w:rsidRDefault="00707870" w:rsidP="00707870">
      <w:pPr>
        <w:spacing w:after="240"/>
        <w:ind w:left="567" w:hanging="567"/>
      </w:pPr>
      <w:r w:rsidRPr="006C35DD">
        <w:t>M.</w:t>
      </w:r>
      <w:r w:rsidRPr="006C35DD">
        <w:tab/>
        <w:t>arvestades, et komisjoni rakendusotsuse eelnõu võimaldaks liitu importimist, mis ei vasta liidu põllumajandustootjate poolt järgitavatele standarditele ja seab nad seetõttu ebasoodsasse konkurentsiolukorda;</w:t>
      </w:r>
    </w:p>
    <w:p w14:paraId="06CB69F4" w14:textId="77777777" w:rsidR="00707870" w:rsidRPr="006C35DD" w:rsidRDefault="00707870" w:rsidP="00707870">
      <w:pPr>
        <w:spacing w:after="240"/>
        <w:ind w:left="567" w:hanging="567"/>
      </w:pPr>
      <w:r w:rsidRPr="006C35DD">
        <w:t>N.</w:t>
      </w:r>
      <w:r w:rsidRPr="006C35DD">
        <w:tab/>
        <w:t>arvestades, et ELi põllumajanduse tulevikku käsitleva strateegilise dialoogi järeldustes</w:t>
      </w:r>
      <w:r w:rsidRPr="006C35DD">
        <w:rPr>
          <w:rStyle w:val="FootnoteReference"/>
        </w:rPr>
        <w:footnoteReference w:id="11"/>
      </w:r>
      <w:r w:rsidRPr="006C35DD">
        <w:t xml:space="preserve"> kutsutakse komisjoni üles uuesti hindama oma lähenemisviisi põllumajanduslike toiduainete impordi ja ekspordi </w:t>
      </w:r>
      <w:proofErr w:type="spellStart"/>
      <w:r w:rsidRPr="006C35DD">
        <w:t>turulepääsule</w:t>
      </w:r>
      <w:proofErr w:type="spellEnd"/>
      <w:r w:rsidRPr="006C35DD">
        <w:t>, võttes arvesse liidu ja selle kaubanduspartnerite lahknevate standardite probleemi; arvestades, et õiglasemad kaubandussuhted ülemaailmsel tasandil, mis on kooskõlas tervisliku keskkonna eesmärkidega, olid 2023., 2024. ja 2025. aasta meeleavaldustel põllumajandustootjate üks peamisi nõudmisi;</w:t>
      </w:r>
    </w:p>
    <w:p w14:paraId="44AC72DB" w14:textId="77777777" w:rsidR="00707870" w:rsidRPr="006C35DD" w:rsidRDefault="00707870" w:rsidP="00707870">
      <w:pPr>
        <w:spacing w:after="240"/>
        <w:ind w:left="567" w:hanging="567"/>
      </w:pPr>
      <w:r w:rsidRPr="006C35DD">
        <w:t>O.</w:t>
      </w:r>
      <w:r w:rsidRPr="006C35DD">
        <w:tab/>
        <w:t xml:space="preserve">arvestades, et Euroopa Parlament on korduvalt rõhutanud, et demokraatia püsiva puudujäägiga tegelemiseks ei tohiks komisjon anda luba </w:t>
      </w:r>
      <w:proofErr w:type="spellStart"/>
      <w:r w:rsidRPr="006C35DD">
        <w:t>GMOdele</w:t>
      </w:r>
      <w:proofErr w:type="spellEnd"/>
      <w:r w:rsidRPr="006C35DD">
        <w:t xml:space="preserve"> juhtudel, kui liikmesriigid ei saavuta alalises taime-, looma-, toidu- ja söödakomitees või apellatsioonikomitees kvalifitseeritud häälteenamust;</w:t>
      </w:r>
    </w:p>
    <w:p w14:paraId="26BF24C3" w14:textId="77777777" w:rsidR="00707870" w:rsidRPr="006C35DD" w:rsidRDefault="00707870" w:rsidP="00707870">
      <w:pPr>
        <w:pStyle w:val="NormalWeb"/>
        <w:widowControl w:val="0"/>
        <w:shd w:val="clear" w:color="auto" w:fill="FFFFFF"/>
        <w:spacing w:before="0" w:beforeAutospacing="0" w:after="240" w:afterAutospacing="0"/>
        <w:ind w:left="567" w:hanging="567"/>
        <w:rPr>
          <w:color w:val="000000" w:themeColor="text1"/>
        </w:rPr>
      </w:pPr>
      <w:r w:rsidRPr="006C35DD">
        <w:rPr>
          <w:color w:val="000000" w:themeColor="text1"/>
        </w:rPr>
        <w:t>P.</w:t>
      </w:r>
      <w:r w:rsidRPr="006C35DD">
        <w:rPr>
          <w:color w:val="000000" w:themeColor="text1"/>
        </w:rPr>
        <w:tab/>
        <w:t xml:space="preserve">arvestades, et kuigi komisjon tunnistab puudujääke demokraatlikus protsessis, liikmesriikide toetuse puudumist ja Euroopa Parlamendi vastuväiteid, jätkab ta siiski </w:t>
      </w:r>
      <w:proofErr w:type="spellStart"/>
      <w:r w:rsidRPr="006C35DD">
        <w:rPr>
          <w:color w:val="000000" w:themeColor="text1"/>
        </w:rPr>
        <w:t>GMOdele</w:t>
      </w:r>
      <w:proofErr w:type="spellEnd"/>
      <w:r w:rsidRPr="006C35DD">
        <w:rPr>
          <w:color w:val="000000" w:themeColor="text1"/>
        </w:rPr>
        <w:t xml:space="preserve"> lubade andmist;</w:t>
      </w:r>
    </w:p>
    <w:p w14:paraId="0DF20138" w14:textId="77777777" w:rsidR="00707870" w:rsidRPr="006C35DD" w:rsidRDefault="00707870" w:rsidP="00707870">
      <w:pPr>
        <w:spacing w:after="240"/>
        <w:ind w:left="567" w:hanging="567"/>
      </w:pPr>
      <w:r w:rsidRPr="006C35DD">
        <w:t>Q.</w:t>
      </w:r>
      <w:r w:rsidRPr="006C35DD">
        <w:tab/>
        <w:t xml:space="preserve">arvestades, et terviseühtsuse põhimõtte kohaselt tuleb </w:t>
      </w:r>
      <w:proofErr w:type="spellStart"/>
      <w:r w:rsidRPr="006C35DD">
        <w:t>GMOde</w:t>
      </w:r>
      <w:proofErr w:type="spellEnd"/>
      <w:r w:rsidRPr="006C35DD">
        <w:t xml:space="preserve"> pikaajalise kestlikkuse ja ohutuse hindamisel arvesse võtta inimeste, loomade, taimede ja keskkonna tervise vastastikust sõltuvust;</w:t>
      </w:r>
    </w:p>
    <w:p w14:paraId="1825738C" w14:textId="0E611792" w:rsidR="00707870" w:rsidRPr="006C35DD" w:rsidRDefault="00707870" w:rsidP="00707870">
      <w:pPr>
        <w:spacing w:after="240"/>
        <w:ind w:left="567" w:hanging="567"/>
      </w:pPr>
      <w:r w:rsidRPr="006C35DD">
        <w:t>R.</w:t>
      </w:r>
      <w:r w:rsidRPr="006C35DD">
        <w:tab/>
        <w:t>arvestades, et käesolev resolutsioon on</w:t>
      </w:r>
      <w:r w:rsidR="00023F46">
        <w:t xml:space="preserve"> peaaegu</w:t>
      </w:r>
      <w:r w:rsidRPr="006C35DD">
        <w:t xml:space="preserve"> sajas Euroopa Parlamendi resolutsioon, milles väljendatakse vastuseisu geneetiliselt muundatud põllukultuuride impordi lubamisele; </w:t>
      </w:r>
    </w:p>
    <w:p w14:paraId="6FCE9028" w14:textId="77777777" w:rsidR="00707870" w:rsidRPr="006C35DD" w:rsidRDefault="00707870" w:rsidP="00707870">
      <w:pPr>
        <w:pStyle w:val="NormalHanging12a"/>
      </w:pPr>
      <w:r w:rsidRPr="006C35DD">
        <w:t>1.</w:t>
      </w:r>
      <w:r w:rsidRPr="006C35DD">
        <w:tab/>
        <w:t>on seisukohal, et komisjoni rakendusotsuse eelnõu ületab määruses (EÜ) nr 1829/2003 sätestatud rakendamisvolitusi;</w:t>
      </w:r>
    </w:p>
    <w:p w14:paraId="627D479D" w14:textId="77777777" w:rsidR="00707870" w:rsidRPr="006C35DD" w:rsidRDefault="00707870" w:rsidP="00707870">
      <w:pPr>
        <w:pStyle w:val="NormalHanging12a"/>
      </w:pPr>
      <w:bookmarkStart w:id="9" w:name="_Hlk218675825"/>
      <w:r w:rsidRPr="006C35DD">
        <w:t>2.</w:t>
      </w:r>
      <w:r w:rsidRPr="006C35DD">
        <w:tab/>
        <w:t xml:space="preserve">on seisukohal, et komisjoni rakendusotsuse eelnõu on vastuolus liidu õigusega, sest see </w:t>
      </w:r>
      <w:r w:rsidRPr="006C35DD">
        <w:lastRenderedPageBreak/>
        <w:t>ei ole kooskõlas määruse (EÜ) nr 1829/2003 eesmärgiga, milleks Euroopa Parlamendi ja nõukogu määruses (EÜ) nr 178/2002</w:t>
      </w:r>
      <w:r w:rsidRPr="006C35DD">
        <w:rPr>
          <w:vertAlign w:val="superscript"/>
        </w:rPr>
        <w:footnoteReference w:id="12"/>
      </w:r>
      <w:r w:rsidRPr="006C35DD">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w:t>
      </w:r>
    </w:p>
    <w:bookmarkEnd w:id="9"/>
    <w:p w14:paraId="7B314040" w14:textId="77777777" w:rsidR="00707870" w:rsidRPr="006C35DD" w:rsidRDefault="00707870" w:rsidP="00707870">
      <w:pPr>
        <w:pStyle w:val="NormalHanging12a"/>
      </w:pPr>
      <w:r w:rsidRPr="006C35DD">
        <w:t>3.</w:t>
      </w:r>
      <w:r w:rsidRPr="006C35DD">
        <w:tab/>
        <w:t>palub komisjonil oma rakendusotsuse eelnõu tagasi võtta;</w:t>
      </w:r>
    </w:p>
    <w:p w14:paraId="2B7ADEDF" w14:textId="77777777" w:rsidR="00707870" w:rsidRPr="006C35DD" w:rsidRDefault="00707870" w:rsidP="00707870">
      <w:pPr>
        <w:spacing w:after="240"/>
        <w:ind w:left="567" w:hanging="567"/>
      </w:pPr>
      <w:r w:rsidRPr="006C35DD">
        <w:t>4.</w:t>
      </w:r>
      <w:r w:rsidRPr="006C35DD">
        <w:tab/>
        <w:t>kutsub komisjoni üles geneetiliselt muundatud sojaoale luba mitte andma, kuna puuduvad piisavad tõendid pikaajalise mõju kohta elurikkusele, toiduohutusele, põllumajandustootjate elatusvahenditele ja loomatervisele kooskõlas terviseühtsuse põhimõttega;</w:t>
      </w:r>
    </w:p>
    <w:p w14:paraId="23C4E229" w14:textId="77777777" w:rsidR="00707870" w:rsidRPr="006C35DD" w:rsidRDefault="00707870" w:rsidP="00707870">
      <w:pPr>
        <w:spacing w:after="240"/>
        <w:ind w:left="567" w:hanging="567"/>
      </w:pPr>
      <w:bookmarkStart w:id="10" w:name="_Hlk210900300"/>
      <w:r w:rsidRPr="006C35DD">
        <w:t>5.</w:t>
      </w:r>
      <w:r w:rsidRPr="006C35DD">
        <w:tab/>
        <w:t xml:space="preserve">kutsub komisjoni üles esitama viivitamata seadusandliku ettepaneku </w:t>
      </w:r>
      <w:proofErr w:type="spellStart"/>
      <w:r w:rsidRPr="006C35DD">
        <w:t>GMOsid</w:t>
      </w:r>
      <w:proofErr w:type="spellEnd"/>
      <w:r w:rsidRPr="006C35DD">
        <w:t xml:space="preserve"> käsitleva otsustusprotsessi reformimiseks, et reageerida Euroopa Parlamendi järjepidevatele vastuväidetele ja liikmesriikide pooldava kvalifitseeritud häälteenamuse puudumisele;</w:t>
      </w:r>
      <w:bookmarkEnd w:id="10"/>
    </w:p>
    <w:p w14:paraId="53250DDE" w14:textId="77777777" w:rsidR="00707870" w:rsidRPr="006C35DD" w:rsidRDefault="00707870" w:rsidP="00707870">
      <w:pPr>
        <w:spacing w:after="240"/>
        <w:ind w:left="567" w:hanging="567"/>
      </w:pPr>
      <w:bookmarkStart w:id="11" w:name="_Hlk210900241"/>
      <w:r w:rsidRPr="006C35DD">
        <w:t>6.</w:t>
      </w:r>
      <w:r w:rsidRPr="006C35DD">
        <w:tab/>
        <w:t xml:space="preserve">rõhutab sellega seoses, et liidus keelatud herbitsiidide, näiteks </w:t>
      </w:r>
      <w:proofErr w:type="spellStart"/>
      <w:r w:rsidRPr="006C35DD">
        <w:t>glufosinaadi</w:t>
      </w:r>
      <w:proofErr w:type="spellEnd"/>
      <w:r w:rsidRPr="006C35DD">
        <w:t xml:space="preserve"> suhtes tolerantseks muudetud geneetiliselt muundatud taimede importimise lubamine toidu, sööda või toodetena kasutamiseks on vastuolus liidu rahvusvaheliste kohustustega, mis tulenevad muu hulgas ÜRO bioloogilise mitmekesisuse konventsioonist ja ÜRO kestliku arengu eesmärkidest, sealhulgas </w:t>
      </w:r>
      <w:proofErr w:type="spellStart"/>
      <w:r w:rsidRPr="006C35DD">
        <w:t>Kunmingi-Montréali</w:t>
      </w:r>
      <w:proofErr w:type="spellEnd"/>
      <w:r w:rsidRPr="006C35DD">
        <w:t xml:space="preserve"> raamistikust, ning et see loob liidu põllumajandustootjatele ebavõrdsed tingimused;</w:t>
      </w:r>
      <w:bookmarkEnd w:id="11"/>
    </w:p>
    <w:p w14:paraId="4F91E8B8" w14:textId="10732DB2" w:rsidR="006C35DD" w:rsidRPr="006C35DD" w:rsidRDefault="00707870" w:rsidP="006C35DD">
      <w:pPr>
        <w:pStyle w:val="NormalHanging12a"/>
        <w:rPr>
          <w:sz w:val="28"/>
          <w:lang w:eastAsia="fr-FR"/>
        </w:rPr>
      </w:pPr>
      <w:r w:rsidRPr="006C35DD">
        <w:t>7.</w:t>
      </w:r>
      <w:r w:rsidRPr="006C35DD">
        <w:tab/>
        <w:t>teeb presidendile ülesandeks edastada käesolev resolutsioon nõukogule ja komisjonile ning liikmesriikide valitsustele ja parlamentidele.</w:t>
      </w:r>
    </w:p>
    <w:p w14:paraId="7D566A02" w14:textId="6882C26A" w:rsidR="00E365E1" w:rsidRPr="006C35DD" w:rsidRDefault="00E365E1" w:rsidP="00707870">
      <w:pPr>
        <w:rPr>
          <w:sz w:val="28"/>
          <w:lang w:eastAsia="fr-FR"/>
        </w:rPr>
      </w:pPr>
    </w:p>
    <w:sectPr w:rsidR="00E365E1" w:rsidRPr="006C35DD" w:rsidSect="006C35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B6D0" w14:textId="77777777" w:rsidR="00114212" w:rsidRPr="006C35DD" w:rsidRDefault="00114212">
      <w:r w:rsidRPr="006C35DD">
        <w:separator/>
      </w:r>
    </w:p>
  </w:endnote>
  <w:endnote w:type="continuationSeparator" w:id="0">
    <w:p w14:paraId="593EBD0F" w14:textId="77777777" w:rsidR="00114212" w:rsidRPr="006C35DD" w:rsidRDefault="00114212">
      <w:r w:rsidRPr="006C3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0AC9" w14:textId="77777777" w:rsidR="00064002" w:rsidRPr="006C35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B555" w14:textId="77777777" w:rsidR="00064002" w:rsidRPr="006C35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E04C" w14:textId="77777777" w:rsidR="00064002" w:rsidRPr="006C35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4C629" w14:textId="77777777" w:rsidR="00114212" w:rsidRPr="006C35DD" w:rsidRDefault="00114212">
      <w:r w:rsidRPr="006C35DD">
        <w:separator/>
      </w:r>
    </w:p>
  </w:footnote>
  <w:footnote w:type="continuationSeparator" w:id="0">
    <w:p w14:paraId="2FC7368E" w14:textId="77777777" w:rsidR="00114212" w:rsidRPr="006C35DD" w:rsidRDefault="00114212">
      <w:r w:rsidRPr="006C35DD">
        <w:continuationSeparator/>
      </w:r>
    </w:p>
  </w:footnote>
  <w:footnote w:id="1">
    <w:p w14:paraId="45F429DF" w14:textId="12D00DCC"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proofErr w:type="spellStart"/>
      <w:r w:rsidRPr="006C35DD">
        <w:rPr>
          <w:sz w:val="24"/>
          <w:lang w:val="et-EE"/>
        </w:rPr>
        <w:t>ELT</w:t>
      </w:r>
      <w:proofErr w:type="spellEnd"/>
      <w:r w:rsidRPr="006C35DD">
        <w:rPr>
          <w:sz w:val="24"/>
          <w:lang w:val="et-EE"/>
        </w:rPr>
        <w:t xml:space="preserve"> L 268, 18.10.2003, lk 1, ELI: </w:t>
      </w:r>
      <w:hyperlink r:id="rId1" w:history="1">
        <w:r w:rsidRPr="006C35DD">
          <w:rPr>
            <w:rStyle w:val="Hyperlink"/>
            <w:sz w:val="24"/>
            <w:lang w:val="et-EE"/>
          </w:rPr>
          <w:t>http://data.europa.eu/eli/reg/2003/1829/oj</w:t>
        </w:r>
      </w:hyperlink>
      <w:r w:rsidRPr="006C35DD">
        <w:rPr>
          <w:sz w:val="24"/>
          <w:u w:val="single"/>
          <w:lang w:val="et-EE"/>
        </w:rPr>
        <w:t>.</w:t>
      </w:r>
    </w:p>
  </w:footnote>
  <w:footnote w:id="2">
    <w:p w14:paraId="42F727AE" w14:textId="4EA8106C"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proofErr w:type="spellStart"/>
      <w:r w:rsidRPr="006C35DD">
        <w:rPr>
          <w:sz w:val="24"/>
          <w:lang w:val="et-EE"/>
        </w:rPr>
        <w:t>ELT</w:t>
      </w:r>
      <w:proofErr w:type="spellEnd"/>
      <w:r w:rsidRPr="006C35DD">
        <w:rPr>
          <w:sz w:val="24"/>
          <w:lang w:val="et-EE"/>
        </w:rPr>
        <w:t xml:space="preserve"> L 55, 28.2.2011, lk 13, ELI: </w:t>
      </w:r>
      <w:hyperlink r:id="rId2" w:history="1">
        <w:r w:rsidRPr="006C35DD">
          <w:rPr>
            <w:rStyle w:val="Hyperlink"/>
            <w:sz w:val="24"/>
            <w:lang w:val="et-EE"/>
          </w:rPr>
          <w:t>http://data.europa.eu/eli/reg/2011/182/oj</w:t>
        </w:r>
      </w:hyperlink>
      <w:r w:rsidRPr="006C35DD">
        <w:rPr>
          <w:rStyle w:val="Hyperlink"/>
          <w:sz w:val="24"/>
          <w:lang w:val="et-EE"/>
        </w:rPr>
        <w:t>.</w:t>
      </w:r>
    </w:p>
  </w:footnote>
  <w:footnote w:id="3">
    <w:p w14:paraId="1EBA059F" w14:textId="1B4C498E"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proofErr w:type="spellStart"/>
      <w:r w:rsidRPr="006C35DD">
        <w:rPr>
          <w:sz w:val="24"/>
          <w:lang w:val="et-EE"/>
        </w:rPr>
        <w:t>EFSA</w:t>
      </w:r>
      <w:proofErr w:type="spellEnd"/>
      <w:r w:rsidRPr="006C35DD">
        <w:rPr>
          <w:sz w:val="24"/>
          <w:lang w:val="et-EE"/>
        </w:rPr>
        <w:t xml:space="preserve"> geneetiliselt muundatud organismide komisjoni teaduslik arvamus „</w:t>
      </w:r>
      <w:proofErr w:type="spellStart"/>
      <w:r w:rsidRPr="006C35DD">
        <w:rPr>
          <w:sz w:val="24"/>
          <w:lang w:val="et-EE"/>
        </w:rPr>
        <w:t>Assessment</w:t>
      </w:r>
      <w:proofErr w:type="spellEnd"/>
      <w:r w:rsidRPr="006C35DD">
        <w:rPr>
          <w:sz w:val="24"/>
          <w:lang w:val="et-EE"/>
        </w:rPr>
        <w:t xml:space="preserve"> of </w:t>
      </w:r>
      <w:proofErr w:type="spellStart"/>
      <w:r w:rsidRPr="006C35DD">
        <w:rPr>
          <w:sz w:val="24"/>
          <w:lang w:val="et-EE"/>
        </w:rPr>
        <w:t>genetically</w:t>
      </w:r>
      <w:proofErr w:type="spellEnd"/>
      <w:r w:rsidRPr="006C35DD">
        <w:rPr>
          <w:sz w:val="24"/>
          <w:lang w:val="et-EE"/>
        </w:rPr>
        <w:t xml:space="preserve"> </w:t>
      </w:r>
      <w:proofErr w:type="spellStart"/>
      <w:r w:rsidRPr="006C35DD">
        <w:rPr>
          <w:sz w:val="24"/>
          <w:lang w:val="et-EE"/>
        </w:rPr>
        <w:t>modified</w:t>
      </w:r>
      <w:proofErr w:type="spellEnd"/>
      <w:r w:rsidRPr="006C35DD">
        <w:rPr>
          <w:sz w:val="24"/>
          <w:lang w:val="et-EE"/>
        </w:rPr>
        <w:t xml:space="preserve"> </w:t>
      </w:r>
      <w:proofErr w:type="spellStart"/>
      <w:r w:rsidRPr="006C35DD">
        <w:rPr>
          <w:sz w:val="24"/>
          <w:lang w:val="et-EE"/>
        </w:rPr>
        <w:t>soybean</w:t>
      </w:r>
      <w:proofErr w:type="spellEnd"/>
      <w:r w:rsidRPr="006C35DD">
        <w:rPr>
          <w:sz w:val="24"/>
          <w:lang w:val="et-EE"/>
        </w:rPr>
        <w:t xml:space="preserve"> </w:t>
      </w:r>
      <w:proofErr w:type="spellStart"/>
      <w:r w:rsidRPr="006C35DD">
        <w:rPr>
          <w:sz w:val="24"/>
          <w:lang w:val="et-EE"/>
        </w:rPr>
        <w:t>DBN9004</w:t>
      </w:r>
      <w:proofErr w:type="spellEnd"/>
      <w:r w:rsidRPr="006C35DD">
        <w:rPr>
          <w:sz w:val="24"/>
          <w:lang w:val="et-EE"/>
        </w:rPr>
        <w:t xml:space="preserve"> (</w:t>
      </w:r>
      <w:proofErr w:type="spellStart"/>
      <w:r w:rsidRPr="006C35DD">
        <w:rPr>
          <w:sz w:val="24"/>
          <w:lang w:val="et-EE"/>
        </w:rPr>
        <w:t>application</w:t>
      </w:r>
      <w:proofErr w:type="spellEnd"/>
      <w:r w:rsidRPr="006C35DD">
        <w:rPr>
          <w:sz w:val="24"/>
          <w:lang w:val="et-EE"/>
        </w:rPr>
        <w:t xml:space="preserve"> </w:t>
      </w:r>
      <w:proofErr w:type="spellStart"/>
      <w:r w:rsidRPr="006C35DD">
        <w:rPr>
          <w:sz w:val="24"/>
          <w:lang w:val="et-EE"/>
        </w:rPr>
        <w:t>EFSA</w:t>
      </w:r>
      <w:proofErr w:type="spellEnd"/>
      <w:r w:rsidRPr="006C35DD">
        <w:rPr>
          <w:sz w:val="24"/>
          <w:lang w:val="et-EE"/>
        </w:rPr>
        <w:t>-</w:t>
      </w:r>
      <w:proofErr w:type="spellStart"/>
      <w:r w:rsidRPr="006C35DD">
        <w:rPr>
          <w:sz w:val="24"/>
          <w:lang w:val="et-EE"/>
        </w:rPr>
        <w:t>GMO</w:t>
      </w:r>
      <w:proofErr w:type="spellEnd"/>
      <w:r w:rsidRPr="006C35DD">
        <w:rPr>
          <w:sz w:val="24"/>
          <w:lang w:val="et-EE"/>
        </w:rPr>
        <w:t>-</w:t>
      </w:r>
      <w:proofErr w:type="spellStart"/>
      <w:r w:rsidRPr="006C35DD">
        <w:rPr>
          <w:sz w:val="24"/>
          <w:lang w:val="et-EE"/>
        </w:rPr>
        <w:t>BE</w:t>
      </w:r>
      <w:proofErr w:type="spellEnd"/>
      <w:r w:rsidRPr="006C35DD">
        <w:rPr>
          <w:sz w:val="24"/>
          <w:lang w:val="et-EE"/>
        </w:rPr>
        <w:t xml:space="preserve">-2019-165)“ (Geneetiliselt muundatud </w:t>
      </w:r>
      <w:proofErr w:type="spellStart"/>
      <w:r w:rsidRPr="006C35DD">
        <w:rPr>
          <w:sz w:val="24"/>
          <w:lang w:val="et-EE"/>
        </w:rPr>
        <w:t>sojaoa</w:t>
      </w:r>
      <w:proofErr w:type="spellEnd"/>
      <w:r w:rsidRPr="006C35DD">
        <w:rPr>
          <w:sz w:val="24"/>
          <w:lang w:val="et-EE"/>
        </w:rPr>
        <w:t xml:space="preserve"> </w:t>
      </w:r>
      <w:proofErr w:type="spellStart"/>
      <w:r w:rsidRPr="006C35DD">
        <w:rPr>
          <w:sz w:val="24"/>
          <w:lang w:val="et-EE"/>
        </w:rPr>
        <w:t>DBN9004</w:t>
      </w:r>
      <w:proofErr w:type="spellEnd"/>
      <w:r w:rsidRPr="006C35DD">
        <w:rPr>
          <w:sz w:val="24"/>
          <w:lang w:val="et-EE"/>
        </w:rPr>
        <w:t xml:space="preserve"> hindamine (taotlus </w:t>
      </w:r>
      <w:proofErr w:type="spellStart"/>
      <w:r w:rsidRPr="006C35DD">
        <w:rPr>
          <w:sz w:val="24"/>
          <w:lang w:val="et-EE"/>
        </w:rPr>
        <w:t>EFSA</w:t>
      </w:r>
      <w:proofErr w:type="spellEnd"/>
      <w:r w:rsidRPr="006C35DD">
        <w:rPr>
          <w:sz w:val="24"/>
          <w:lang w:val="et-EE"/>
        </w:rPr>
        <w:t>-</w:t>
      </w:r>
      <w:proofErr w:type="spellStart"/>
      <w:r w:rsidRPr="006C35DD">
        <w:rPr>
          <w:sz w:val="24"/>
          <w:lang w:val="et-EE"/>
        </w:rPr>
        <w:t>GMO</w:t>
      </w:r>
      <w:proofErr w:type="spellEnd"/>
      <w:r w:rsidRPr="006C35DD">
        <w:rPr>
          <w:sz w:val="24"/>
          <w:lang w:val="et-EE"/>
        </w:rPr>
        <w:t>-</w:t>
      </w:r>
      <w:proofErr w:type="spellStart"/>
      <w:r w:rsidRPr="006C35DD">
        <w:rPr>
          <w:sz w:val="24"/>
          <w:lang w:val="et-EE"/>
        </w:rPr>
        <w:t>BE</w:t>
      </w:r>
      <w:proofErr w:type="spellEnd"/>
      <w:r w:rsidRPr="006C35DD">
        <w:rPr>
          <w:sz w:val="24"/>
          <w:lang w:val="et-EE"/>
        </w:rPr>
        <w:t xml:space="preserve">-2019-165)), </w:t>
      </w:r>
      <w:proofErr w:type="spellStart"/>
      <w:r w:rsidRPr="006C35DD">
        <w:rPr>
          <w:sz w:val="24"/>
          <w:lang w:val="et-EE"/>
        </w:rPr>
        <w:t>EFSA</w:t>
      </w:r>
      <w:proofErr w:type="spellEnd"/>
      <w:r w:rsidRPr="006C35DD">
        <w:rPr>
          <w:sz w:val="24"/>
          <w:lang w:val="et-EE"/>
        </w:rPr>
        <w:t xml:space="preserve"> </w:t>
      </w:r>
      <w:proofErr w:type="spellStart"/>
      <w:r w:rsidRPr="006C35DD">
        <w:rPr>
          <w:sz w:val="24"/>
          <w:lang w:val="et-EE"/>
        </w:rPr>
        <w:t>Journal</w:t>
      </w:r>
      <w:proofErr w:type="spellEnd"/>
      <w:r w:rsidRPr="006C35DD">
        <w:rPr>
          <w:sz w:val="24"/>
          <w:lang w:val="et-EE"/>
        </w:rPr>
        <w:t>, 2025, 23(7):</w:t>
      </w:r>
      <w:proofErr w:type="spellStart"/>
      <w:r w:rsidRPr="006C35DD">
        <w:rPr>
          <w:sz w:val="24"/>
          <w:lang w:val="et-EE"/>
        </w:rPr>
        <w:t>e9503</w:t>
      </w:r>
      <w:proofErr w:type="spellEnd"/>
      <w:r w:rsidRPr="006C35DD">
        <w:rPr>
          <w:sz w:val="24"/>
          <w:lang w:val="et-EE"/>
        </w:rPr>
        <w:t xml:space="preserve">, </w:t>
      </w:r>
      <w:hyperlink r:id="rId3" w:history="1">
        <w:r w:rsidRPr="006C35DD">
          <w:rPr>
            <w:rStyle w:val="Hyperlink"/>
            <w:sz w:val="24"/>
            <w:lang w:val="et-EE"/>
          </w:rPr>
          <w:t>https://doi.org/10.2903/j.efsa.2025.9503</w:t>
        </w:r>
      </w:hyperlink>
      <w:r w:rsidRPr="006C35DD">
        <w:rPr>
          <w:sz w:val="24"/>
          <w:lang w:val="et-EE"/>
        </w:rPr>
        <w:t xml:space="preserve">. </w:t>
      </w:r>
    </w:p>
  </w:footnote>
  <w:footnote w:id="4">
    <w:p w14:paraId="61765C35" w14:textId="224BD607" w:rsidR="00707870" w:rsidRPr="006C35DD" w:rsidRDefault="00707870" w:rsidP="006C35DD">
      <w:pPr>
        <w:pStyle w:val="FootnoteText"/>
        <w:ind w:left="567" w:hanging="567"/>
        <w:rPr>
          <w:sz w:val="24"/>
          <w:vertAlign w:val="superscript"/>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r w:rsidR="00C7706F">
        <w:rPr>
          <w:sz w:val="24"/>
          <w:lang w:val="et-EE"/>
        </w:rPr>
        <w:t xml:space="preserve">Euroopa </w:t>
      </w:r>
      <w:r w:rsidRPr="006C35DD">
        <w:rPr>
          <w:sz w:val="24"/>
          <w:lang w:val="et-EE"/>
        </w:rPr>
        <w:t xml:space="preserve">Parlament võttis kaheksandal ametiajal vastu 36 resolutsiooni ja üheksandal ametiajal 38 resolutsiooni, milles vaidlustati </w:t>
      </w:r>
      <w:proofErr w:type="spellStart"/>
      <w:r w:rsidRPr="006C35DD">
        <w:rPr>
          <w:sz w:val="24"/>
          <w:lang w:val="et-EE"/>
        </w:rPr>
        <w:t>GMOde</w:t>
      </w:r>
      <w:proofErr w:type="spellEnd"/>
      <w:r w:rsidRPr="006C35DD">
        <w:rPr>
          <w:sz w:val="24"/>
          <w:lang w:val="et-EE"/>
        </w:rPr>
        <w:t xml:space="preserve"> lubamine. Lisaks on Euroopa Parlament kümnendal ametiajal vastu võtnud järgmised resolutsioonid:</w:t>
      </w:r>
    </w:p>
    <w:p w14:paraId="14BC46FB" w14:textId="7814D02B"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2024/2628 kohta, millega pikendatakse geneetiliselt muundatud maisi MON 89034 × 1507 × </w:t>
      </w:r>
      <w:proofErr w:type="spellStart"/>
      <w:r w:rsidR="00707870" w:rsidRPr="006C35DD">
        <w:rPr>
          <w:sz w:val="24"/>
          <w:lang w:val="et-EE"/>
        </w:rPr>
        <w:t>NK603</w:t>
      </w:r>
      <w:proofErr w:type="spellEnd"/>
      <w:r w:rsidR="00707870" w:rsidRPr="006C35DD">
        <w:rPr>
          <w:sz w:val="24"/>
          <w:lang w:val="et-EE"/>
        </w:rPr>
        <w:t xml:space="preserve"> sisaldavate, sellest koosnevate või sellest valmistatud toodete turule laskmise loa kehtivust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C, C/2025/1797, 4.4.2025, ELI: </w:t>
      </w:r>
      <w:hyperlink r:id="rId4" w:history="1">
        <w:r w:rsidR="00707870" w:rsidRPr="006C35DD">
          <w:rPr>
            <w:rStyle w:val="Hyperlink"/>
            <w:sz w:val="24"/>
            <w:lang w:val="et-EE"/>
          </w:rPr>
          <w:t>http://data.europa.eu/eli/C/2025/1797/oj</w:t>
        </w:r>
      </w:hyperlink>
      <w:r w:rsidR="00707870" w:rsidRPr="006C35DD">
        <w:rPr>
          <w:sz w:val="24"/>
          <w:lang w:val="et-EE"/>
        </w:rPr>
        <w:t>).</w:t>
      </w:r>
    </w:p>
    <w:p w14:paraId="15FBC9FA" w14:textId="2837C0DB" w:rsidR="00707870" w:rsidRPr="006C35DD" w:rsidRDefault="006C35DD" w:rsidP="006C35DD">
      <w:pPr>
        <w:pStyle w:val="FootnoteText"/>
        <w:keepN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2024/2627 kohta, millega lubatakse viia turule geneetiliselt muundatud puuvilla </w:t>
      </w:r>
      <w:proofErr w:type="spellStart"/>
      <w:r w:rsidR="00707870" w:rsidRPr="006C35DD">
        <w:rPr>
          <w:sz w:val="24"/>
          <w:lang w:val="et-EE"/>
        </w:rPr>
        <w:t>COT102</w:t>
      </w:r>
      <w:proofErr w:type="spellEnd"/>
      <w:r w:rsidR="00707870" w:rsidRPr="006C35DD">
        <w:rPr>
          <w:sz w:val="24"/>
          <w:lang w:val="et-EE"/>
        </w:rPr>
        <w:t xml:space="preserve">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C/2025/1798, 4.4.2025, ELI: </w:t>
      </w:r>
      <w:hyperlink r:id="rId5" w:history="1">
        <w:r w:rsidR="00707870" w:rsidRPr="006C35DD">
          <w:rPr>
            <w:rStyle w:val="Hyperlink"/>
            <w:sz w:val="24"/>
            <w:lang w:val="et-EE"/>
          </w:rPr>
          <w:t>http://data.europa.eu/eli/C/2025/1798/oj</w:t>
        </w:r>
      </w:hyperlink>
      <w:r w:rsidR="00707870" w:rsidRPr="006C35DD">
        <w:rPr>
          <w:sz w:val="24"/>
          <w:lang w:val="et-EE"/>
        </w:rPr>
        <w:t>).</w:t>
      </w:r>
    </w:p>
    <w:p w14:paraId="77803789" w14:textId="3A0ECE1B"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C, C/2025/1799, 4.4.2025, ELI: </w:t>
      </w:r>
      <w:hyperlink r:id="rId6" w:history="1">
        <w:r w:rsidR="00707870" w:rsidRPr="006C35DD">
          <w:rPr>
            <w:rStyle w:val="Hyperlink"/>
            <w:sz w:val="24"/>
            <w:lang w:val="et-EE"/>
          </w:rPr>
          <w:t>http://data.europa.eu/eli/C/2025/1799/oj</w:t>
        </w:r>
      </w:hyperlink>
      <w:r w:rsidR="00707870" w:rsidRPr="006C35DD">
        <w:rPr>
          <w:sz w:val="24"/>
          <w:lang w:val="et-EE"/>
        </w:rPr>
        <w:t>).</w:t>
      </w:r>
    </w:p>
    <w:p w14:paraId="0CDF7A0F" w14:textId="25170258"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707870" w:rsidRPr="006C35DD">
        <w:rPr>
          <w:sz w:val="24"/>
          <w:lang w:val="et-EE"/>
        </w:rPr>
        <w:t>turuleviimise</w:t>
      </w:r>
      <w:proofErr w:type="spellEnd"/>
      <w:r w:rsidR="00707870" w:rsidRPr="006C35DD">
        <w:rPr>
          <w:sz w:val="24"/>
          <w:lang w:val="et-EE"/>
        </w:rPr>
        <w:t xml:space="preserve"> loa kehtivust vastavalt Euroopa Parlamendi ja nõukogu määrusele (EÜ) nr 1829/2003 ning tunnistatakse kehtetuks komisjoni rakendusotsus (EL) 2017/1207 (</w:t>
      </w:r>
      <w:proofErr w:type="spellStart"/>
      <w:r w:rsidR="00707870" w:rsidRPr="006C35DD">
        <w:rPr>
          <w:sz w:val="24"/>
          <w:lang w:val="et-EE"/>
        </w:rPr>
        <w:t>ELT</w:t>
      </w:r>
      <w:proofErr w:type="spellEnd"/>
      <w:r w:rsidR="00707870" w:rsidRPr="006C35DD">
        <w:rPr>
          <w:sz w:val="24"/>
          <w:lang w:val="et-EE"/>
        </w:rPr>
        <w:t> C, C/2025/1800, 4.4.2025, ELI: </w:t>
      </w:r>
      <w:hyperlink r:id="rId7" w:history="1">
        <w:r w:rsidR="00707870" w:rsidRPr="006C35DD">
          <w:rPr>
            <w:rStyle w:val="Hyperlink"/>
            <w:sz w:val="24"/>
            <w:lang w:val="et-EE"/>
          </w:rPr>
          <w:t>http://data.europa.eu/eli/C/2025/1800/oj</w:t>
        </w:r>
      </w:hyperlink>
      <w:r w:rsidR="00707870" w:rsidRPr="006C35DD">
        <w:rPr>
          <w:sz w:val="24"/>
          <w:lang w:val="et-EE"/>
        </w:rPr>
        <w:t>).</w:t>
      </w:r>
    </w:p>
    <w:p w14:paraId="745A4B84" w14:textId="68CCC187"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2024/1822 kohta, millega lubatakse viia turule geneetiliselt muundatud maisi </w:t>
      </w:r>
      <w:proofErr w:type="spellStart"/>
      <w:r w:rsidR="00707870" w:rsidRPr="006C35DD">
        <w:rPr>
          <w:sz w:val="24"/>
          <w:lang w:val="et-EE"/>
        </w:rPr>
        <w:t>DP915635</w:t>
      </w:r>
      <w:proofErr w:type="spellEnd"/>
      <w:r w:rsidR="00707870" w:rsidRPr="006C35DD">
        <w:rPr>
          <w:sz w:val="24"/>
          <w:lang w:val="et-EE"/>
        </w:rPr>
        <w:t xml:space="preserve">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C/2025/1801, 4.4.2025, ELI: </w:t>
      </w:r>
      <w:hyperlink r:id="rId8" w:history="1">
        <w:r w:rsidR="00707870" w:rsidRPr="006C35DD">
          <w:rPr>
            <w:rStyle w:val="Hyperlink"/>
            <w:sz w:val="24"/>
            <w:lang w:val="et-EE"/>
          </w:rPr>
          <w:t>http://data.europa.eu/eli/C/2025/1801/oj</w:t>
        </w:r>
      </w:hyperlink>
      <w:r w:rsidR="00707870" w:rsidRPr="006C35DD">
        <w:rPr>
          <w:sz w:val="24"/>
          <w:lang w:val="et-EE"/>
        </w:rPr>
        <w:t>).</w:t>
      </w:r>
    </w:p>
    <w:p w14:paraId="470FFE64" w14:textId="5342E790"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2024/1826 kohta, millega lubatakse geneetiliselt muundatud maisi </w:t>
      </w:r>
      <w:proofErr w:type="spellStart"/>
      <w:r w:rsidR="00707870" w:rsidRPr="006C35DD">
        <w:rPr>
          <w:sz w:val="24"/>
          <w:lang w:val="et-EE"/>
        </w:rPr>
        <w:t>DP23211</w:t>
      </w:r>
      <w:proofErr w:type="spellEnd"/>
      <w:r w:rsidR="00707870" w:rsidRPr="006C35DD">
        <w:rPr>
          <w:sz w:val="24"/>
          <w:lang w:val="et-EE"/>
        </w:rPr>
        <w:t xml:space="preserve"> sisaldavate, sellest koosnevate või sellest toodetud kaupade turule laskmist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C/2025/1802, 4.4.2025, ELI: </w:t>
      </w:r>
      <w:hyperlink r:id="rId9" w:history="1">
        <w:r w:rsidR="00707870" w:rsidRPr="006C35DD">
          <w:rPr>
            <w:rStyle w:val="Hyperlink"/>
            <w:sz w:val="24"/>
            <w:lang w:val="et-EE"/>
          </w:rPr>
          <w:t>http://data.europa.eu/eli/C/2025/1802/oj</w:t>
        </w:r>
      </w:hyperlink>
      <w:r w:rsidR="00707870" w:rsidRPr="006C35DD">
        <w:rPr>
          <w:sz w:val="24"/>
          <w:lang w:val="et-EE"/>
        </w:rPr>
        <w:t>).</w:t>
      </w:r>
    </w:p>
    <w:p w14:paraId="4B9F0A7C" w14:textId="321D2645"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26. novembri 2024. aasta resolutsioon komisjoni rakendusotsuse (EL) 2024/2618 kohta, millega lubatakse viia turule geneetiliselt muundatud maisi </w:t>
      </w:r>
      <w:proofErr w:type="spellStart"/>
      <w:r w:rsidR="00707870" w:rsidRPr="006C35DD">
        <w:rPr>
          <w:sz w:val="24"/>
          <w:lang w:val="et-EE"/>
        </w:rPr>
        <w:t>DP202216</w:t>
      </w:r>
      <w:proofErr w:type="spellEnd"/>
      <w:r w:rsidR="00707870" w:rsidRPr="006C35DD">
        <w:rPr>
          <w:sz w:val="24"/>
          <w:lang w:val="et-EE"/>
        </w:rPr>
        <w:t xml:space="preserve">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C/2025/1803, 4.4.2025, ELI: </w:t>
      </w:r>
      <w:hyperlink r:id="rId10" w:history="1">
        <w:r w:rsidR="00707870" w:rsidRPr="006C35DD">
          <w:rPr>
            <w:rStyle w:val="Hyperlink"/>
            <w:sz w:val="24"/>
            <w:lang w:val="et-EE"/>
          </w:rPr>
          <w:t>http://data.europa.eu/eli/C/2025/1803/oj</w:t>
        </w:r>
      </w:hyperlink>
      <w:r w:rsidR="00707870" w:rsidRPr="006C35DD">
        <w:rPr>
          <w:sz w:val="24"/>
          <w:lang w:val="et-EE"/>
        </w:rPr>
        <w:t>).</w:t>
      </w:r>
    </w:p>
    <w:p w14:paraId="2F620DD1" w14:textId="193FF7E4"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C/2025/1804, 4.4.2025, ELI: </w:t>
      </w:r>
      <w:hyperlink r:id="rId11" w:history="1">
        <w:r w:rsidR="00707870" w:rsidRPr="006C35DD">
          <w:rPr>
            <w:rStyle w:val="Hyperlink"/>
            <w:sz w:val="24"/>
            <w:lang w:val="et-EE"/>
          </w:rPr>
          <w:t>http://data.europa.eu/eli/C/2025/1804/oj</w:t>
        </w:r>
      </w:hyperlink>
      <w:r w:rsidR="00707870" w:rsidRPr="006C35DD">
        <w:rPr>
          <w:sz w:val="24"/>
          <w:lang w:val="et-EE"/>
        </w:rPr>
        <w:t>).</w:t>
      </w:r>
    </w:p>
    <w:p w14:paraId="5FB8CB70" w14:textId="46C0CA55"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12. veebruari 2025. aasta resolutsioon komisjoni rakendusotsuse eelnõu kohta, millega lubatakse viia turule geneetiliselt muundatud maisi </w:t>
      </w:r>
      <w:proofErr w:type="spellStart"/>
      <w:r w:rsidR="00707870" w:rsidRPr="006C35DD">
        <w:rPr>
          <w:sz w:val="24"/>
          <w:lang w:val="et-EE"/>
        </w:rPr>
        <w:t>DP910521</w:t>
      </w:r>
      <w:proofErr w:type="spellEnd"/>
      <w:r w:rsidR="00707870" w:rsidRPr="006C35DD">
        <w:rPr>
          <w:sz w:val="24"/>
          <w:lang w:val="et-EE"/>
        </w:rPr>
        <w:t xml:space="preserve">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xml:space="preserve"> C, C/2025/2246, 29.4.2025, ELI: </w:t>
      </w:r>
      <w:hyperlink r:id="rId12" w:tooltip="Annab juurdepääsu sellele dokumendile tema ELI URI kaudu." w:history="1">
        <w:r w:rsidR="00707870" w:rsidRPr="006C35DD">
          <w:rPr>
            <w:rStyle w:val="Hyperlink"/>
            <w:sz w:val="24"/>
            <w:lang w:val="et-EE"/>
          </w:rPr>
          <w:t>http://data.europa.eu/eli/C/2025/2246/oj</w:t>
        </w:r>
      </w:hyperlink>
      <w:r w:rsidR="00707870" w:rsidRPr="006C35DD">
        <w:rPr>
          <w:sz w:val="24"/>
          <w:lang w:val="et-EE"/>
        </w:rPr>
        <w:t>).</w:t>
      </w:r>
    </w:p>
    <w:p w14:paraId="4F617096" w14:textId="5ADEDDFE"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w:t>
      </w:r>
      <w:proofErr w:type="spellStart"/>
      <w:r w:rsidR="00707870" w:rsidRPr="006C35DD">
        <w:rPr>
          <w:sz w:val="24"/>
          <w:lang w:val="et-EE"/>
        </w:rPr>
        <w:t>ELT</w:t>
      </w:r>
      <w:proofErr w:type="spellEnd"/>
      <w:r w:rsidR="00707870" w:rsidRPr="006C35DD">
        <w:rPr>
          <w:sz w:val="24"/>
          <w:lang w:val="et-EE"/>
        </w:rPr>
        <w:t> C, C/2025/2247, 29.4.2025, ELI: </w:t>
      </w:r>
      <w:hyperlink r:id="rId13" w:history="1">
        <w:r w:rsidR="00707870" w:rsidRPr="006C35DD">
          <w:rPr>
            <w:rStyle w:val="Hyperlink"/>
            <w:sz w:val="24"/>
            <w:lang w:val="et-EE"/>
          </w:rPr>
          <w:t>http://data.europa.eu/eli/C/2025/2247/oj</w:t>
        </w:r>
      </w:hyperlink>
      <w:r w:rsidR="00707870" w:rsidRPr="006C35DD">
        <w:rPr>
          <w:sz w:val="24"/>
          <w:lang w:val="et-EE"/>
        </w:rPr>
        <w:t>).</w:t>
      </w:r>
    </w:p>
    <w:p w14:paraId="68290FB8" w14:textId="1CAD9A7C"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w:t>
      </w:r>
      <w:r w:rsidR="00147FEA">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(2025)0106).</w:t>
      </w:r>
    </w:p>
    <w:p w14:paraId="0A4CEEE6" w14:textId="7D7F534D"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8. oktoobri 2025. aasta resolutsioon komisjoni 22. septembri 2025. aasta rakendusotsuse (EL) 2025/1898 kohta, millega lubatakse turule lasta geneetiliselt muundatud maisi </w:t>
      </w:r>
      <w:proofErr w:type="spellStart"/>
      <w:r w:rsidR="00707870" w:rsidRPr="006C35DD">
        <w:rPr>
          <w:sz w:val="24"/>
          <w:lang w:val="et-EE"/>
        </w:rPr>
        <w:t>DP51291</w:t>
      </w:r>
      <w:proofErr w:type="spellEnd"/>
      <w:r w:rsidR="00707870" w:rsidRPr="006C35DD">
        <w:rPr>
          <w:sz w:val="24"/>
          <w:lang w:val="et-EE"/>
        </w:rPr>
        <w:t xml:space="preserve"> sisaldavaid, sellest koosnevaid või sellest valmistatud tooteid vastavalt Euroopa Parlamendi ja nõukogu määrusele (EÜ) nr 1829/2003 (</w:t>
      </w:r>
      <w:r w:rsidR="00A8734C">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(2025)0222).</w:t>
      </w:r>
    </w:p>
    <w:p w14:paraId="447593FE" w14:textId="3C9B9FB2"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25. novembri 2025. aasta resolutsioon komisjoni rakendusotsuse eelnõu kohta, millega lubatakse turule lasta geneetiliselt muundatud maisi </w:t>
      </w:r>
      <w:proofErr w:type="spellStart"/>
      <w:r w:rsidR="00707870" w:rsidRPr="006C35DD">
        <w:rPr>
          <w:sz w:val="24"/>
          <w:lang w:val="et-EE"/>
        </w:rPr>
        <w:t>DAS1131</w:t>
      </w:r>
      <w:proofErr w:type="spellEnd"/>
      <w:r w:rsidR="00707870" w:rsidRPr="006C35DD">
        <w:rPr>
          <w:sz w:val="24"/>
          <w:lang w:val="et-EE"/>
        </w:rPr>
        <w:t xml:space="preserve"> sisaldavaid, sellest koosnevaid või sellest valmistatud tooteid vastavalt Euroopa Parlamendi ja nõukogu määrusele (EÜ) nr 1829/2003 (</w:t>
      </w:r>
      <w:r w:rsidR="00384F79">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(2025)0288).</w:t>
      </w:r>
    </w:p>
    <w:p w14:paraId="6DBB5814" w14:textId="6A82F261"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w:t>
      </w:r>
      <w:r w:rsidR="00D60FF8">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(2025)0289).</w:t>
      </w:r>
    </w:p>
    <w:p w14:paraId="472EEB2E" w14:textId="4D95F7DA"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w:t>
      </w:r>
      <w:r w:rsidR="00021545">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(2025)0290).</w:t>
      </w:r>
    </w:p>
    <w:p w14:paraId="6E011D8C" w14:textId="7AC226E4"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w:t>
      </w:r>
      <w:r w:rsidR="00C155B6">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(2025)0291).</w:t>
      </w:r>
    </w:p>
    <w:p w14:paraId="3BD77BE5" w14:textId="1C5BB15B"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w:t>
      </w:r>
      <w:r w:rsidR="00C56B77">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(2025)0292).</w:t>
      </w:r>
    </w:p>
    <w:p w14:paraId="54B8D9BB" w14:textId="1317FFF5" w:rsidR="00707870" w:rsidRPr="006C35DD" w:rsidRDefault="006C35DD" w:rsidP="006C35DD">
      <w:pPr>
        <w:pStyle w:val="FootnoteText"/>
        <w:ind w:left="567" w:hanging="567"/>
        <w:rPr>
          <w:sz w:val="24"/>
          <w:vertAlign w:val="superscript"/>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16. detsembri 2025. aasta resolutsioon komisjoni rakendusotsuse eelnõu kohta, millega pikendatakse geneetiliselt muundatud maisi </w:t>
      </w:r>
      <w:proofErr w:type="spellStart"/>
      <w:r w:rsidR="00707870" w:rsidRPr="006C35DD">
        <w:rPr>
          <w:sz w:val="24"/>
          <w:lang w:val="et-EE"/>
        </w:rPr>
        <w:t>NK603</w:t>
      </w:r>
      <w:proofErr w:type="spellEnd"/>
      <w:r w:rsidR="00707870" w:rsidRPr="006C35DD">
        <w:rPr>
          <w:sz w:val="24"/>
          <w:lang w:val="et-EE"/>
        </w:rPr>
        <w:t xml:space="preserve"> sisaldavate, sellest koosnevate või sellest valmistatud toodete turule laskmise loa kehtivust vastavalt Euroopa Parlamendi ja nõukogu määrusele (EÜ) nr 1829/2003 (</w:t>
      </w:r>
      <w:r w:rsidR="00BF7D3A">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(2025)0327).</w:t>
      </w:r>
    </w:p>
    <w:p w14:paraId="5285B718" w14:textId="78128E74" w:rsidR="00707870" w:rsidRPr="006C35DD" w:rsidRDefault="006C35DD" w:rsidP="006C35DD">
      <w:pPr>
        <w:pStyle w:val="FootnoteText"/>
        <w:ind w:left="567" w:hanging="567"/>
        <w:rPr>
          <w:sz w:val="24"/>
          <w:lang w:val="et-EE"/>
        </w:rPr>
      </w:pPr>
      <w:r w:rsidRPr="006C35DD">
        <w:rPr>
          <w:sz w:val="24"/>
          <w:lang w:val="et-EE"/>
        </w:rPr>
        <w:t xml:space="preserve"> </w:t>
      </w:r>
      <w:r w:rsidRPr="006C35DD">
        <w:rPr>
          <w:sz w:val="24"/>
          <w:lang w:val="et-EE"/>
        </w:rPr>
        <w:tab/>
      </w:r>
      <w:r w:rsidR="00707870" w:rsidRPr="006C35DD">
        <w:rPr>
          <w:sz w:val="24"/>
          <w:lang w:val="et-EE"/>
        </w:rPr>
        <w:t>–</w:t>
      </w:r>
      <w:r w:rsidR="00707870" w:rsidRPr="006C35DD">
        <w:rPr>
          <w:sz w:val="24"/>
          <w:lang w:val="et-EE"/>
        </w:rPr>
        <w:tab/>
        <w:t xml:space="preserve">Euroopa Parlamendi 16. detsembri 2025. aasta resolutsioon komisjoni rakendusotsuse eelnõu kohta, millega lubatakse lasta turule geneetiliselt muundatud suhkrupeedist </w:t>
      </w:r>
      <w:proofErr w:type="spellStart"/>
      <w:r w:rsidR="00707870" w:rsidRPr="006C35DD">
        <w:rPr>
          <w:sz w:val="24"/>
          <w:lang w:val="et-EE"/>
        </w:rPr>
        <w:t>KWS20</w:t>
      </w:r>
      <w:proofErr w:type="spellEnd"/>
      <w:r w:rsidR="00707870" w:rsidRPr="006C35DD">
        <w:rPr>
          <w:sz w:val="24"/>
          <w:lang w:val="et-EE"/>
        </w:rPr>
        <w:t>-1 valmistatud toitu, toidu koostisosi ja sööta vastavalt Euroopa Parlamendi ja nõukogu määrusele (EÜ) nr 1829/2003 (</w:t>
      </w:r>
      <w:r w:rsidR="00B434F2">
        <w:rPr>
          <w:sz w:val="24"/>
          <w:lang w:val="et-EE"/>
        </w:rPr>
        <w:t xml:space="preserve">Vastuvõetud tekstid, </w:t>
      </w:r>
      <w:proofErr w:type="spellStart"/>
      <w:r w:rsidR="00707870" w:rsidRPr="006C35DD">
        <w:rPr>
          <w:sz w:val="24"/>
          <w:lang w:val="et-EE"/>
        </w:rPr>
        <w:t>P10_TA</w:t>
      </w:r>
      <w:proofErr w:type="spellEnd"/>
      <w:r w:rsidR="00707870" w:rsidRPr="006C35DD">
        <w:rPr>
          <w:sz w:val="24"/>
          <w:lang w:val="et-EE"/>
        </w:rPr>
        <w:t>(2025)0328).</w:t>
      </w:r>
    </w:p>
  </w:footnote>
  <w:footnote w:id="5">
    <w:p w14:paraId="6ECDFD97" w14:textId="28879EC8"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shd w:val="clear" w:color="auto" w:fill="FFFFFF"/>
          <w:lang w:val="et-EE"/>
        </w:rPr>
        <w:t xml:space="preserve"> </w:t>
      </w:r>
      <w:r w:rsidR="006C35DD" w:rsidRPr="006C35DD">
        <w:rPr>
          <w:sz w:val="24"/>
          <w:shd w:val="clear" w:color="auto" w:fill="FFFFFF"/>
          <w:lang w:val="et-EE"/>
        </w:rPr>
        <w:tab/>
      </w:r>
      <w:r w:rsidRPr="006C35DD">
        <w:rPr>
          <w:sz w:val="24"/>
          <w:shd w:val="clear" w:color="auto" w:fill="FFFFFF"/>
          <w:lang w:val="et-EE"/>
        </w:rPr>
        <w:t xml:space="preserve">Vt nt </w:t>
      </w:r>
      <w:proofErr w:type="spellStart"/>
      <w:r w:rsidRPr="006C35DD">
        <w:rPr>
          <w:sz w:val="24"/>
          <w:shd w:val="clear" w:color="auto" w:fill="FFFFFF"/>
          <w:lang w:val="et-EE"/>
        </w:rPr>
        <w:t>Bonny</w:t>
      </w:r>
      <w:proofErr w:type="spellEnd"/>
      <w:r w:rsidRPr="006C35DD">
        <w:rPr>
          <w:sz w:val="24"/>
          <w:shd w:val="clear" w:color="auto" w:fill="FFFFFF"/>
          <w:lang w:val="et-EE"/>
        </w:rPr>
        <w:t>, S., „</w:t>
      </w:r>
      <w:proofErr w:type="spellStart"/>
      <w:r w:rsidRPr="006C35DD">
        <w:rPr>
          <w:sz w:val="24"/>
          <w:shd w:val="clear" w:color="auto" w:fill="FFFFFF"/>
          <w:lang w:val="et-EE"/>
        </w:rPr>
        <w:t>Genetically</w:t>
      </w:r>
      <w:proofErr w:type="spellEnd"/>
      <w:r w:rsidRPr="006C35DD">
        <w:rPr>
          <w:sz w:val="24"/>
          <w:shd w:val="clear" w:color="auto" w:fill="FFFFFF"/>
          <w:lang w:val="et-EE"/>
        </w:rPr>
        <w:t xml:space="preserve"> </w:t>
      </w:r>
      <w:proofErr w:type="spellStart"/>
      <w:r w:rsidRPr="006C35DD">
        <w:rPr>
          <w:sz w:val="24"/>
          <w:shd w:val="clear" w:color="auto" w:fill="FFFFFF"/>
          <w:lang w:val="et-EE"/>
        </w:rPr>
        <w:t>Modified</w:t>
      </w:r>
      <w:proofErr w:type="spellEnd"/>
      <w:r w:rsidRPr="006C35DD">
        <w:rPr>
          <w:sz w:val="24"/>
          <w:shd w:val="clear" w:color="auto" w:fill="FFFFFF"/>
          <w:lang w:val="et-EE"/>
        </w:rPr>
        <w:t xml:space="preserve"> </w:t>
      </w:r>
      <w:proofErr w:type="spellStart"/>
      <w:r w:rsidRPr="006C35DD">
        <w:rPr>
          <w:sz w:val="24"/>
          <w:shd w:val="clear" w:color="auto" w:fill="FFFFFF"/>
          <w:lang w:val="et-EE"/>
        </w:rPr>
        <w:t>Herbicide</w:t>
      </w:r>
      <w:proofErr w:type="spellEnd"/>
      <w:r w:rsidRPr="006C35DD">
        <w:rPr>
          <w:sz w:val="24"/>
          <w:shd w:val="clear" w:color="auto" w:fill="FFFFFF"/>
          <w:lang w:val="et-EE"/>
        </w:rPr>
        <w:t xml:space="preserve">-Tolerant </w:t>
      </w:r>
      <w:proofErr w:type="spellStart"/>
      <w:r w:rsidRPr="006C35DD">
        <w:rPr>
          <w:sz w:val="24"/>
          <w:shd w:val="clear" w:color="auto" w:fill="FFFFFF"/>
          <w:lang w:val="et-EE"/>
        </w:rPr>
        <w:t>Crops</w:t>
      </w:r>
      <w:proofErr w:type="spellEnd"/>
      <w:r w:rsidRPr="006C35DD">
        <w:rPr>
          <w:sz w:val="24"/>
          <w:shd w:val="clear" w:color="auto" w:fill="FFFFFF"/>
          <w:lang w:val="et-EE"/>
        </w:rPr>
        <w:t xml:space="preserve">, </w:t>
      </w:r>
      <w:proofErr w:type="spellStart"/>
      <w:r w:rsidRPr="006C35DD">
        <w:rPr>
          <w:sz w:val="24"/>
          <w:shd w:val="clear" w:color="auto" w:fill="FFFFFF"/>
          <w:lang w:val="et-EE"/>
        </w:rPr>
        <w:t>Weeds</w:t>
      </w:r>
      <w:proofErr w:type="spellEnd"/>
      <w:r w:rsidRPr="006C35DD">
        <w:rPr>
          <w:sz w:val="24"/>
          <w:shd w:val="clear" w:color="auto" w:fill="FFFFFF"/>
          <w:lang w:val="et-EE"/>
        </w:rPr>
        <w:t xml:space="preserve">, and </w:t>
      </w:r>
      <w:proofErr w:type="spellStart"/>
      <w:r w:rsidRPr="006C35DD">
        <w:rPr>
          <w:sz w:val="24"/>
          <w:shd w:val="clear" w:color="auto" w:fill="FFFFFF"/>
          <w:lang w:val="et-EE"/>
        </w:rPr>
        <w:t>Herbicides</w:t>
      </w:r>
      <w:proofErr w:type="spellEnd"/>
      <w:r w:rsidRPr="006C35DD">
        <w:rPr>
          <w:sz w:val="24"/>
          <w:shd w:val="clear" w:color="auto" w:fill="FFFFFF"/>
          <w:lang w:val="et-EE"/>
        </w:rPr>
        <w:t xml:space="preserve">: </w:t>
      </w:r>
      <w:proofErr w:type="spellStart"/>
      <w:r w:rsidRPr="006C35DD">
        <w:rPr>
          <w:sz w:val="24"/>
          <w:shd w:val="clear" w:color="auto" w:fill="FFFFFF"/>
          <w:lang w:val="et-EE"/>
        </w:rPr>
        <w:t>Overview</w:t>
      </w:r>
      <w:proofErr w:type="spellEnd"/>
      <w:r w:rsidRPr="006C35DD">
        <w:rPr>
          <w:sz w:val="24"/>
          <w:shd w:val="clear" w:color="auto" w:fill="FFFFFF"/>
          <w:lang w:val="et-EE"/>
        </w:rPr>
        <w:t xml:space="preserve"> and </w:t>
      </w:r>
      <w:proofErr w:type="spellStart"/>
      <w:r w:rsidRPr="006C35DD">
        <w:rPr>
          <w:sz w:val="24"/>
          <w:shd w:val="clear" w:color="auto" w:fill="FFFFFF"/>
          <w:lang w:val="et-EE"/>
        </w:rPr>
        <w:t>Impact</w:t>
      </w:r>
      <w:proofErr w:type="spellEnd"/>
      <w:r w:rsidRPr="006C35DD">
        <w:rPr>
          <w:sz w:val="24"/>
          <w:shd w:val="clear" w:color="auto" w:fill="FFFFFF"/>
          <w:lang w:val="et-EE"/>
        </w:rPr>
        <w:t xml:space="preserve">“ (Geneetiliselt muundatud herbitsiiditolerantsed põllukultuurid, umbrohi ja taimemürgid: ülevaade ja mõju), </w:t>
      </w:r>
      <w:proofErr w:type="spellStart"/>
      <w:r w:rsidRPr="006C35DD">
        <w:rPr>
          <w:sz w:val="24"/>
          <w:shd w:val="clear" w:color="auto" w:fill="FFFFFF"/>
          <w:lang w:val="et-EE"/>
        </w:rPr>
        <w:t>Environmental</w:t>
      </w:r>
      <w:proofErr w:type="spellEnd"/>
      <w:r w:rsidRPr="006C35DD">
        <w:rPr>
          <w:sz w:val="24"/>
          <w:shd w:val="clear" w:color="auto" w:fill="FFFFFF"/>
          <w:lang w:val="et-EE"/>
        </w:rPr>
        <w:t xml:space="preserve"> Management, jaanuar 2016, 57(1), lk 31–48,</w:t>
      </w:r>
      <w:r w:rsidRPr="006C35DD">
        <w:rPr>
          <w:sz w:val="24"/>
          <w:lang w:val="et-EE"/>
        </w:rPr>
        <w:t xml:space="preserve"> </w:t>
      </w:r>
      <w:hyperlink r:id="rId14" w:history="1">
        <w:r w:rsidRPr="006C35DD">
          <w:rPr>
            <w:rStyle w:val="Hyperlink"/>
            <w:sz w:val="24"/>
            <w:shd w:val="clear" w:color="auto" w:fill="FFFFFF"/>
            <w:lang w:val="et-EE"/>
          </w:rPr>
          <w:t>https://doi.org/10.1007/s00267-015-0589-7</w:t>
        </w:r>
      </w:hyperlink>
      <w:r w:rsidRPr="006C35DD">
        <w:rPr>
          <w:sz w:val="24"/>
          <w:shd w:val="clear" w:color="auto" w:fill="FFFFFF"/>
          <w:lang w:val="et-EE"/>
        </w:rPr>
        <w:t xml:space="preserve">, ja </w:t>
      </w:r>
      <w:proofErr w:type="spellStart"/>
      <w:r w:rsidRPr="006C35DD">
        <w:rPr>
          <w:sz w:val="24"/>
          <w:shd w:val="clear" w:color="auto" w:fill="FFFFFF"/>
          <w:lang w:val="et-EE"/>
        </w:rPr>
        <w:t>Benbrook</w:t>
      </w:r>
      <w:proofErr w:type="spellEnd"/>
      <w:r w:rsidRPr="006C35DD">
        <w:rPr>
          <w:sz w:val="24"/>
          <w:shd w:val="clear" w:color="auto" w:fill="FFFFFF"/>
          <w:lang w:val="et-EE"/>
        </w:rPr>
        <w:t>, C. M., „</w:t>
      </w:r>
      <w:proofErr w:type="spellStart"/>
      <w:r w:rsidRPr="006C35DD">
        <w:rPr>
          <w:sz w:val="24"/>
          <w:shd w:val="clear" w:color="auto" w:fill="FFFFFF"/>
          <w:lang w:val="et-EE"/>
        </w:rPr>
        <w:t>Impacts</w:t>
      </w:r>
      <w:proofErr w:type="spellEnd"/>
      <w:r w:rsidRPr="006C35DD">
        <w:rPr>
          <w:sz w:val="24"/>
          <w:shd w:val="clear" w:color="auto" w:fill="FFFFFF"/>
          <w:lang w:val="et-EE"/>
        </w:rPr>
        <w:t xml:space="preserve"> of </w:t>
      </w:r>
      <w:proofErr w:type="spellStart"/>
      <w:r w:rsidRPr="006C35DD">
        <w:rPr>
          <w:sz w:val="24"/>
          <w:shd w:val="clear" w:color="auto" w:fill="FFFFFF"/>
          <w:lang w:val="et-EE"/>
        </w:rPr>
        <w:t>genetically</w:t>
      </w:r>
      <w:proofErr w:type="spellEnd"/>
      <w:r w:rsidRPr="006C35DD">
        <w:rPr>
          <w:sz w:val="24"/>
          <w:shd w:val="clear" w:color="auto" w:fill="FFFFFF"/>
          <w:lang w:val="et-EE"/>
        </w:rPr>
        <w:t xml:space="preserve"> </w:t>
      </w:r>
      <w:proofErr w:type="spellStart"/>
      <w:r w:rsidRPr="006C35DD">
        <w:rPr>
          <w:sz w:val="24"/>
          <w:shd w:val="clear" w:color="auto" w:fill="FFFFFF"/>
          <w:lang w:val="et-EE"/>
        </w:rPr>
        <w:t>engineered</w:t>
      </w:r>
      <w:proofErr w:type="spellEnd"/>
      <w:r w:rsidRPr="006C35DD">
        <w:rPr>
          <w:sz w:val="24"/>
          <w:shd w:val="clear" w:color="auto" w:fill="FFFFFF"/>
          <w:lang w:val="et-EE"/>
        </w:rPr>
        <w:t xml:space="preserve"> </w:t>
      </w:r>
      <w:proofErr w:type="spellStart"/>
      <w:r w:rsidRPr="006C35DD">
        <w:rPr>
          <w:sz w:val="24"/>
          <w:shd w:val="clear" w:color="auto" w:fill="FFFFFF"/>
          <w:lang w:val="et-EE"/>
        </w:rPr>
        <w:t>crops</w:t>
      </w:r>
      <w:proofErr w:type="spellEnd"/>
      <w:r w:rsidRPr="006C35DD">
        <w:rPr>
          <w:sz w:val="24"/>
          <w:shd w:val="clear" w:color="auto" w:fill="FFFFFF"/>
          <w:lang w:val="et-EE"/>
        </w:rPr>
        <w:t xml:space="preserve"> on </w:t>
      </w:r>
      <w:proofErr w:type="spellStart"/>
      <w:r w:rsidRPr="006C35DD">
        <w:rPr>
          <w:sz w:val="24"/>
          <w:shd w:val="clear" w:color="auto" w:fill="FFFFFF"/>
          <w:lang w:val="et-EE"/>
        </w:rPr>
        <w:t>pesticide</w:t>
      </w:r>
      <w:proofErr w:type="spellEnd"/>
      <w:r w:rsidRPr="006C35DD">
        <w:rPr>
          <w:sz w:val="24"/>
          <w:shd w:val="clear" w:color="auto" w:fill="FFFFFF"/>
          <w:lang w:val="et-EE"/>
        </w:rPr>
        <w:t xml:space="preserve"> </w:t>
      </w:r>
      <w:proofErr w:type="spellStart"/>
      <w:r w:rsidRPr="006C35DD">
        <w:rPr>
          <w:sz w:val="24"/>
          <w:shd w:val="clear" w:color="auto" w:fill="FFFFFF"/>
          <w:lang w:val="et-EE"/>
        </w:rPr>
        <w:t>use</w:t>
      </w:r>
      <w:proofErr w:type="spellEnd"/>
      <w:r w:rsidRPr="006C35DD">
        <w:rPr>
          <w:sz w:val="24"/>
          <w:shd w:val="clear" w:color="auto" w:fill="FFFFFF"/>
          <w:lang w:val="et-EE"/>
        </w:rPr>
        <w:t xml:space="preserve"> in </w:t>
      </w:r>
      <w:proofErr w:type="spellStart"/>
      <w:r w:rsidRPr="006C35DD">
        <w:rPr>
          <w:sz w:val="24"/>
          <w:shd w:val="clear" w:color="auto" w:fill="FFFFFF"/>
          <w:lang w:val="et-EE"/>
        </w:rPr>
        <w:t>the</w:t>
      </w:r>
      <w:proofErr w:type="spellEnd"/>
      <w:r w:rsidRPr="006C35DD">
        <w:rPr>
          <w:sz w:val="24"/>
          <w:shd w:val="clear" w:color="auto" w:fill="FFFFFF"/>
          <w:lang w:val="et-EE"/>
        </w:rPr>
        <w:t xml:space="preserve"> </w:t>
      </w:r>
      <w:proofErr w:type="spellStart"/>
      <w:r w:rsidRPr="006C35DD">
        <w:rPr>
          <w:sz w:val="24"/>
          <w:shd w:val="clear" w:color="auto" w:fill="FFFFFF"/>
          <w:lang w:val="et-EE"/>
        </w:rPr>
        <w:t>U.S</w:t>
      </w:r>
      <w:proofErr w:type="spellEnd"/>
      <w:r w:rsidRPr="006C35DD">
        <w:rPr>
          <w:sz w:val="24"/>
          <w:shd w:val="clear" w:color="auto" w:fill="FFFFFF"/>
          <w:lang w:val="et-EE"/>
        </w:rPr>
        <w:t xml:space="preserve">. – </w:t>
      </w:r>
      <w:proofErr w:type="spellStart"/>
      <w:r w:rsidRPr="006C35DD">
        <w:rPr>
          <w:sz w:val="24"/>
          <w:shd w:val="clear" w:color="auto" w:fill="FFFFFF"/>
          <w:lang w:val="et-EE"/>
        </w:rPr>
        <w:t>the</w:t>
      </w:r>
      <w:proofErr w:type="spellEnd"/>
      <w:r w:rsidRPr="006C35DD">
        <w:rPr>
          <w:sz w:val="24"/>
          <w:shd w:val="clear" w:color="auto" w:fill="FFFFFF"/>
          <w:lang w:val="et-EE"/>
        </w:rPr>
        <w:t xml:space="preserve"> </w:t>
      </w:r>
      <w:proofErr w:type="spellStart"/>
      <w:r w:rsidRPr="006C35DD">
        <w:rPr>
          <w:sz w:val="24"/>
          <w:shd w:val="clear" w:color="auto" w:fill="FFFFFF"/>
          <w:lang w:val="et-EE"/>
        </w:rPr>
        <w:t>first</w:t>
      </w:r>
      <w:proofErr w:type="spellEnd"/>
      <w:r w:rsidRPr="006C35DD">
        <w:rPr>
          <w:sz w:val="24"/>
          <w:shd w:val="clear" w:color="auto" w:fill="FFFFFF"/>
          <w:lang w:val="et-EE"/>
        </w:rPr>
        <w:t xml:space="preserve"> </w:t>
      </w:r>
      <w:proofErr w:type="spellStart"/>
      <w:r w:rsidRPr="006C35DD">
        <w:rPr>
          <w:sz w:val="24"/>
          <w:shd w:val="clear" w:color="auto" w:fill="FFFFFF"/>
          <w:lang w:val="et-EE"/>
        </w:rPr>
        <w:t>sixteen</w:t>
      </w:r>
      <w:proofErr w:type="spellEnd"/>
      <w:r w:rsidRPr="006C35DD">
        <w:rPr>
          <w:sz w:val="24"/>
          <w:shd w:val="clear" w:color="auto" w:fill="FFFFFF"/>
          <w:lang w:val="et-EE"/>
        </w:rPr>
        <w:t xml:space="preserve"> </w:t>
      </w:r>
      <w:proofErr w:type="spellStart"/>
      <w:r w:rsidRPr="006C35DD">
        <w:rPr>
          <w:sz w:val="24"/>
          <w:shd w:val="clear" w:color="auto" w:fill="FFFFFF"/>
          <w:lang w:val="et-EE"/>
        </w:rPr>
        <w:t>years</w:t>
      </w:r>
      <w:proofErr w:type="spellEnd"/>
      <w:r w:rsidRPr="006C35DD">
        <w:rPr>
          <w:sz w:val="24"/>
          <w:shd w:val="clear" w:color="auto" w:fill="FFFFFF"/>
          <w:lang w:val="et-EE"/>
        </w:rPr>
        <w:t xml:space="preserve">“ (Geneetiliselt muudetud põllukultuuride mõju pestitsiidikasutusele USAs – esimesed 16 aastat), </w:t>
      </w:r>
      <w:proofErr w:type="spellStart"/>
      <w:r w:rsidRPr="006C35DD">
        <w:rPr>
          <w:sz w:val="24"/>
          <w:shd w:val="clear" w:color="auto" w:fill="FFFFFF"/>
          <w:lang w:val="et-EE"/>
        </w:rPr>
        <w:t>Environmental</w:t>
      </w:r>
      <w:proofErr w:type="spellEnd"/>
      <w:r w:rsidRPr="006C35DD">
        <w:rPr>
          <w:sz w:val="24"/>
          <w:shd w:val="clear" w:color="auto" w:fill="FFFFFF"/>
          <w:lang w:val="et-EE"/>
        </w:rPr>
        <w:t xml:space="preserve"> </w:t>
      </w:r>
      <w:proofErr w:type="spellStart"/>
      <w:r w:rsidRPr="006C35DD">
        <w:rPr>
          <w:sz w:val="24"/>
          <w:shd w:val="clear" w:color="auto" w:fill="FFFFFF"/>
          <w:lang w:val="et-EE"/>
        </w:rPr>
        <w:t>Sciences</w:t>
      </w:r>
      <w:proofErr w:type="spellEnd"/>
      <w:r w:rsidRPr="006C35DD">
        <w:rPr>
          <w:sz w:val="24"/>
          <w:shd w:val="clear" w:color="auto" w:fill="FFFFFF"/>
          <w:lang w:val="et-EE"/>
        </w:rPr>
        <w:t xml:space="preserve"> Europe</w:t>
      </w:r>
      <w:r w:rsidRPr="006C35DD">
        <w:rPr>
          <w:sz w:val="24"/>
          <w:lang w:val="et-EE"/>
        </w:rPr>
        <w:t>,</w:t>
      </w:r>
      <w:r w:rsidRPr="006C35DD">
        <w:rPr>
          <w:sz w:val="24"/>
          <w:shd w:val="clear" w:color="auto" w:fill="FFFFFF"/>
          <w:lang w:val="et-EE"/>
        </w:rPr>
        <w:t xml:space="preserve"> 28. september 2012, köide 24(1)</w:t>
      </w:r>
      <w:r w:rsidRPr="006C35DD">
        <w:rPr>
          <w:sz w:val="24"/>
          <w:lang w:val="et-EE"/>
        </w:rPr>
        <w:t xml:space="preserve">, </w:t>
      </w:r>
      <w:hyperlink r:id="rId15" w:history="1">
        <w:r w:rsidRPr="006C35DD">
          <w:rPr>
            <w:rStyle w:val="Hyperlink"/>
            <w:sz w:val="24"/>
            <w:lang w:val="et-EE"/>
          </w:rPr>
          <w:t>https://doi.org/10.1186/2190-4715-24-24</w:t>
        </w:r>
      </w:hyperlink>
      <w:r w:rsidRPr="006C35DD">
        <w:rPr>
          <w:sz w:val="24"/>
          <w:lang w:val="et-EE"/>
        </w:rPr>
        <w:t>.</w:t>
      </w:r>
      <w:r w:rsidRPr="006C35DD">
        <w:rPr>
          <w:sz w:val="24"/>
          <w:shd w:val="clear" w:color="auto" w:fill="FFFFFF"/>
          <w:lang w:val="et-EE"/>
        </w:rPr>
        <w:t xml:space="preserve"> </w:t>
      </w:r>
    </w:p>
  </w:footnote>
  <w:footnote w:id="6">
    <w:p w14:paraId="6F867CF1" w14:textId="27E17E7C" w:rsidR="00707870" w:rsidRPr="006C35DD" w:rsidRDefault="00707870" w:rsidP="006C35DD">
      <w:pPr>
        <w:pStyle w:val="FootnoteText"/>
        <w:ind w:left="567" w:hanging="567"/>
        <w:rPr>
          <w:sz w:val="24"/>
          <w:shd w:val="clear" w:color="auto" w:fill="FFFFFF"/>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r w:rsidRPr="006C35DD">
        <w:rPr>
          <w:sz w:val="24"/>
          <w:lang w:val="et-EE"/>
        </w:rPr>
        <w:t xml:space="preserve">Vt nt: </w:t>
      </w:r>
      <w:hyperlink r:id="rId16" w:history="1">
        <w:r w:rsidRPr="006C35DD">
          <w:rPr>
            <w:rStyle w:val="Hyperlink"/>
            <w:sz w:val="24"/>
            <w:lang w:val="et-EE"/>
          </w:rPr>
          <w:t>https://doi.org/10.1002/ps.8105</w:t>
        </w:r>
      </w:hyperlink>
      <w:r w:rsidRPr="006C35DD">
        <w:rPr>
          <w:sz w:val="24"/>
          <w:shd w:val="clear" w:color="auto" w:fill="FFFFFF"/>
          <w:lang w:val="et-EE"/>
        </w:rPr>
        <w:t xml:space="preserve"> ja </w:t>
      </w:r>
      <w:hyperlink r:id="rId17" w:history="1">
        <w:r w:rsidRPr="006C35DD">
          <w:rPr>
            <w:rStyle w:val="Hyperlink"/>
            <w:sz w:val="24"/>
            <w:lang w:val="et-EE"/>
          </w:rPr>
          <w:t>https://doi.org/10.1016/j.geoforum.2009.03.009</w:t>
        </w:r>
      </w:hyperlink>
      <w:r w:rsidRPr="006C35DD">
        <w:rPr>
          <w:sz w:val="24"/>
          <w:lang w:val="et-EE"/>
        </w:rPr>
        <w:t>.</w:t>
      </w:r>
    </w:p>
  </w:footnote>
  <w:footnote w:id="7">
    <w:p w14:paraId="157429C2" w14:textId="6936DA35"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r w:rsidRPr="006C35DD">
        <w:rPr>
          <w:sz w:val="24"/>
          <w:lang w:val="et-EE"/>
        </w:rPr>
        <w:t xml:space="preserve">Euroopa Parlamendi ja nõukogu 21. oktoobri 2009. aasta määrus (EÜ) nr 1107/2009 taimekaitsevahendite </w:t>
      </w:r>
      <w:proofErr w:type="spellStart"/>
      <w:r w:rsidRPr="006C35DD">
        <w:rPr>
          <w:sz w:val="24"/>
          <w:lang w:val="et-EE"/>
        </w:rPr>
        <w:t>turulelaskmise</w:t>
      </w:r>
      <w:proofErr w:type="spellEnd"/>
      <w:r w:rsidRPr="006C35DD">
        <w:rPr>
          <w:sz w:val="24"/>
          <w:lang w:val="et-EE"/>
        </w:rPr>
        <w:t xml:space="preserve"> ja nõukogu direktiivide 79/117/EMÜ ja 91/414/EMÜ kehtetuks tunnistamise kohta (</w:t>
      </w:r>
      <w:proofErr w:type="spellStart"/>
      <w:r w:rsidRPr="006C35DD">
        <w:rPr>
          <w:sz w:val="24"/>
          <w:lang w:val="et-EE"/>
        </w:rPr>
        <w:t>ELT</w:t>
      </w:r>
      <w:proofErr w:type="spellEnd"/>
      <w:r w:rsidRPr="006C35DD">
        <w:rPr>
          <w:sz w:val="24"/>
          <w:lang w:val="et-EE"/>
        </w:rPr>
        <w:t> L 309, 24.11.2009, lk 1, ELI: </w:t>
      </w:r>
      <w:hyperlink r:id="rId18" w:history="1">
        <w:r w:rsidRPr="006C35DD">
          <w:rPr>
            <w:rStyle w:val="Hyperlink"/>
            <w:sz w:val="24"/>
            <w:lang w:val="et-EE"/>
          </w:rPr>
          <w:t>http://data.europa.eu/eli/reg/2009/1107/oj</w:t>
        </w:r>
      </w:hyperlink>
      <w:r w:rsidRPr="006C35DD">
        <w:rPr>
          <w:sz w:val="24"/>
          <w:lang w:val="et-EE"/>
        </w:rPr>
        <w:t>).</w:t>
      </w:r>
    </w:p>
  </w:footnote>
  <w:footnote w:id="8">
    <w:p w14:paraId="2472A2DD" w14:textId="4C60E9BF"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r w:rsidRPr="006C35DD">
        <w:rPr>
          <w:sz w:val="24"/>
          <w:lang w:val="et-EE"/>
        </w:rPr>
        <w:t xml:space="preserve">Vt nt: </w:t>
      </w:r>
      <w:hyperlink r:id="rId19" w:history="1">
        <w:r w:rsidRPr="006C35DD">
          <w:rPr>
            <w:rStyle w:val="Hyperlink"/>
            <w:sz w:val="24"/>
            <w:lang w:val="et-EE"/>
          </w:rPr>
          <w:t>https://doi.org/10.1016/j.mrrev.2019.02.001</w:t>
        </w:r>
      </w:hyperlink>
      <w:r w:rsidRPr="006C35DD">
        <w:rPr>
          <w:sz w:val="24"/>
          <w:lang w:val="et-EE"/>
        </w:rPr>
        <w:t xml:space="preserve">, </w:t>
      </w:r>
      <w:hyperlink r:id="rId20" w:history="1">
        <w:r w:rsidRPr="006C35DD">
          <w:rPr>
            <w:rStyle w:val="Hyperlink"/>
            <w:sz w:val="24"/>
            <w:lang w:val="et-EE"/>
          </w:rPr>
          <w:t>https://doi.org/10.1093/ije/dyz017</w:t>
        </w:r>
      </w:hyperlink>
      <w:r w:rsidRPr="006C35DD">
        <w:rPr>
          <w:sz w:val="24"/>
          <w:lang w:val="et-EE"/>
        </w:rPr>
        <w:t xml:space="preserve">, </w:t>
      </w:r>
      <w:hyperlink r:id="rId21" w:history="1">
        <w:r w:rsidRPr="006C35DD">
          <w:rPr>
            <w:rStyle w:val="Hyperlink"/>
            <w:sz w:val="24"/>
            <w:lang w:val="et-EE"/>
          </w:rPr>
          <w:t>https://doi.org/10.1371/journal.pone.0219610</w:t>
        </w:r>
      </w:hyperlink>
      <w:r w:rsidRPr="006C35DD">
        <w:rPr>
          <w:sz w:val="24"/>
          <w:lang w:val="et-EE"/>
        </w:rPr>
        <w:t xml:space="preserve"> ja </w:t>
      </w:r>
      <w:hyperlink r:id="rId22" w:history="1">
        <w:r w:rsidRPr="006C35DD">
          <w:rPr>
            <w:rStyle w:val="Hyperlink"/>
            <w:sz w:val="24"/>
            <w:lang w:val="et-EE"/>
          </w:rPr>
          <w:t>https://doi.org/10.1186/s13045-019-0767-9</w:t>
        </w:r>
      </w:hyperlink>
      <w:r w:rsidRPr="006C35DD">
        <w:rPr>
          <w:sz w:val="24"/>
          <w:lang w:val="et-EE"/>
        </w:rPr>
        <w:t>.</w:t>
      </w:r>
    </w:p>
  </w:footnote>
  <w:footnote w:id="9">
    <w:p w14:paraId="5CDEB247" w14:textId="7E82CE5B"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hyperlink r:id="rId23" w:history="1">
        <w:r w:rsidRPr="006C35DD">
          <w:rPr>
            <w:rStyle w:val="Hyperlink"/>
            <w:sz w:val="24"/>
            <w:lang w:val="et-EE"/>
          </w:rPr>
          <w:t>https://doi.org/10.1006/rtph.1999.1371</w:t>
        </w:r>
      </w:hyperlink>
      <w:r w:rsidRPr="006C35DD">
        <w:rPr>
          <w:sz w:val="24"/>
          <w:lang w:val="et-EE"/>
        </w:rPr>
        <w:t xml:space="preserve">. </w:t>
      </w:r>
    </w:p>
  </w:footnote>
  <w:footnote w:id="10">
    <w:p w14:paraId="666A3E42" w14:textId="3838D145"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color w:val="000000" w:themeColor="text1"/>
          <w:sz w:val="24"/>
          <w:lang w:val="et-EE"/>
        </w:rPr>
        <w:t xml:space="preserve"> </w:t>
      </w:r>
      <w:r w:rsidR="006C35DD" w:rsidRPr="006C35DD">
        <w:rPr>
          <w:color w:val="000000" w:themeColor="text1"/>
          <w:sz w:val="24"/>
          <w:lang w:val="et-EE"/>
        </w:rPr>
        <w:tab/>
      </w:r>
      <w:r w:rsidRPr="006C35DD">
        <w:rPr>
          <w:color w:val="000000" w:themeColor="text1"/>
          <w:sz w:val="24"/>
          <w:lang w:val="et-EE"/>
        </w:rPr>
        <w:t>2022. aasta detsembris lepiti ÜRO bioloogilise mitmekesisuse konventsiooni osaliste konverentsi 15. istungjärgul kokku ülemaailmses elurikkuse raamistikus, mis sisaldab üleilmset eesmärki vähendada taimekaitsevahenditest tulenevaid ohte 2030. aastaks vähemalt 50</w:t>
      </w:r>
      <w:r w:rsidRPr="006C35DD">
        <w:rPr>
          <w:sz w:val="24"/>
          <w:lang w:val="et-EE"/>
        </w:rPr>
        <w:t> </w:t>
      </w:r>
      <w:r w:rsidRPr="006C35DD">
        <w:rPr>
          <w:color w:val="000000" w:themeColor="text1"/>
          <w:sz w:val="24"/>
          <w:lang w:val="et-EE"/>
        </w:rPr>
        <w:t xml:space="preserve">% (vt </w:t>
      </w:r>
      <w:hyperlink r:id="rId24" w:history="1">
        <w:r w:rsidRPr="006C35DD">
          <w:rPr>
            <w:rStyle w:val="Hyperlink"/>
            <w:sz w:val="24"/>
            <w:lang w:val="et-EE"/>
          </w:rPr>
          <w:t>https://ec.europa.eu/commission/presscorner/detail/en/ip_22_7834</w:t>
        </w:r>
      </w:hyperlink>
      <w:r w:rsidRPr="006C35DD">
        <w:rPr>
          <w:sz w:val="24"/>
          <w:lang w:val="et-EE"/>
        </w:rPr>
        <w:t>).</w:t>
      </w:r>
    </w:p>
  </w:footnote>
  <w:footnote w:id="11">
    <w:p w14:paraId="14E35C78" w14:textId="726D4E42"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hyperlink r:id="rId25" w:history="1">
        <w:r w:rsidRPr="006C35DD">
          <w:rPr>
            <w:rStyle w:val="Hyperlink"/>
            <w:sz w:val="24"/>
            <w:lang w:val="et-EE"/>
          </w:rPr>
          <w:t>https://commission.europa.eu/strategy-and-policy/priorities-2019-2024/european-green-deal/agriculture-and-green-deal/strategic-dialogue-future-eu-agriculture_et</w:t>
        </w:r>
      </w:hyperlink>
      <w:r w:rsidRPr="006C35DD">
        <w:rPr>
          <w:rStyle w:val="Hyperlink"/>
          <w:sz w:val="24"/>
          <w:lang w:val="et-EE"/>
        </w:rPr>
        <w:t>.</w:t>
      </w:r>
      <w:r w:rsidRPr="006C35DD">
        <w:rPr>
          <w:sz w:val="24"/>
          <w:lang w:val="et-EE"/>
        </w:rPr>
        <w:t xml:space="preserve"> </w:t>
      </w:r>
    </w:p>
  </w:footnote>
  <w:footnote w:id="12">
    <w:p w14:paraId="715F300C" w14:textId="771A9027" w:rsidR="00707870" w:rsidRPr="006C35DD" w:rsidRDefault="00707870" w:rsidP="006C35DD">
      <w:pPr>
        <w:pStyle w:val="FootnoteText"/>
        <w:ind w:left="567" w:hanging="567"/>
        <w:rPr>
          <w:sz w:val="24"/>
          <w:lang w:val="et-EE"/>
        </w:rPr>
      </w:pPr>
      <w:r w:rsidRPr="006C35DD">
        <w:rPr>
          <w:rStyle w:val="FootnoteReference"/>
          <w:sz w:val="24"/>
          <w:lang w:val="et-EE"/>
        </w:rPr>
        <w:footnoteRef/>
      </w:r>
      <w:r w:rsidR="006C35DD" w:rsidRPr="006C35DD">
        <w:rPr>
          <w:sz w:val="24"/>
          <w:lang w:val="et-EE"/>
        </w:rPr>
        <w:t xml:space="preserve"> </w:t>
      </w:r>
      <w:r w:rsidR="006C35DD" w:rsidRPr="006C35DD">
        <w:rPr>
          <w:sz w:val="24"/>
          <w:lang w:val="et-EE"/>
        </w:rPr>
        <w:tab/>
      </w:r>
      <w:r w:rsidRPr="006C35DD">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w:t>
      </w:r>
      <w:proofErr w:type="spellStart"/>
      <w:r w:rsidRPr="006C35DD">
        <w:rPr>
          <w:sz w:val="24"/>
          <w:lang w:val="et-EE"/>
        </w:rPr>
        <w:t>EÜT</w:t>
      </w:r>
      <w:proofErr w:type="spellEnd"/>
      <w:r w:rsidRPr="006C35DD">
        <w:rPr>
          <w:sz w:val="24"/>
          <w:lang w:val="et-EE"/>
        </w:rPr>
        <w:t xml:space="preserve"> L 31, 1.2.2002, lk 1, </w:t>
      </w:r>
      <w:r w:rsidRPr="006C35DD">
        <w:rPr>
          <w:color w:val="000000" w:themeColor="text1"/>
          <w:sz w:val="24"/>
          <w:lang w:val="et-EE"/>
        </w:rPr>
        <w:t>ELI: </w:t>
      </w:r>
      <w:hyperlink r:id="rId26" w:tgtFrame="Gives access to this document through its ELI URI." w:history="1">
        <w:r w:rsidRPr="006C35DD">
          <w:rPr>
            <w:rStyle w:val="Hyperlink"/>
            <w:color w:val="0070C0"/>
            <w:sz w:val="24"/>
            <w:lang w:val="et-EE"/>
          </w:rPr>
          <w:t>http://data.europa.eu/eli/reg/2002/178/oj</w:t>
        </w:r>
      </w:hyperlink>
      <w:r w:rsidRPr="006C35D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EFE" w14:textId="77777777" w:rsidR="00064002" w:rsidRPr="006C35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FECE" w14:textId="77777777" w:rsidR="00064002" w:rsidRPr="006C35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C98C" w14:textId="77777777" w:rsidR="00064002" w:rsidRPr="006C35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7698194">
    <w:abstractNumId w:val="9"/>
  </w:num>
  <w:num w:numId="2" w16cid:durableId="1013385871">
    <w:abstractNumId w:val="9"/>
  </w:num>
  <w:num w:numId="3" w16cid:durableId="1811484595">
    <w:abstractNumId w:val="7"/>
  </w:num>
  <w:num w:numId="4" w16cid:durableId="755131193">
    <w:abstractNumId w:val="7"/>
  </w:num>
  <w:num w:numId="5" w16cid:durableId="737675332">
    <w:abstractNumId w:val="6"/>
  </w:num>
  <w:num w:numId="6" w16cid:durableId="577137875">
    <w:abstractNumId w:val="6"/>
  </w:num>
  <w:num w:numId="7" w16cid:durableId="101926136">
    <w:abstractNumId w:val="5"/>
  </w:num>
  <w:num w:numId="8" w16cid:durableId="1023478862">
    <w:abstractNumId w:val="5"/>
  </w:num>
  <w:num w:numId="9" w16cid:durableId="2082750895">
    <w:abstractNumId w:val="4"/>
  </w:num>
  <w:num w:numId="10" w16cid:durableId="1065106784">
    <w:abstractNumId w:val="4"/>
  </w:num>
  <w:num w:numId="11" w16cid:durableId="1215431790">
    <w:abstractNumId w:val="8"/>
  </w:num>
  <w:num w:numId="12" w16cid:durableId="882789566">
    <w:abstractNumId w:val="8"/>
  </w:num>
  <w:num w:numId="13" w16cid:durableId="183370673">
    <w:abstractNumId w:val="3"/>
  </w:num>
  <w:num w:numId="14" w16cid:durableId="399715074">
    <w:abstractNumId w:val="3"/>
  </w:num>
  <w:num w:numId="15" w16cid:durableId="1999842543">
    <w:abstractNumId w:val="2"/>
  </w:num>
  <w:num w:numId="16" w16cid:durableId="1993756091">
    <w:abstractNumId w:val="2"/>
  </w:num>
  <w:num w:numId="17" w16cid:durableId="39862022">
    <w:abstractNumId w:val="1"/>
  </w:num>
  <w:num w:numId="18" w16cid:durableId="40057865">
    <w:abstractNumId w:val="1"/>
  </w:num>
  <w:num w:numId="19" w16cid:durableId="336422444">
    <w:abstractNumId w:val="0"/>
  </w:num>
  <w:num w:numId="20" w16cid:durableId="1490442473">
    <w:abstractNumId w:val="0"/>
  </w:num>
  <w:num w:numId="21" w16cid:durableId="1483235773">
    <w:abstractNumId w:val="9"/>
  </w:num>
  <w:num w:numId="22" w16cid:durableId="661159827">
    <w:abstractNumId w:val="7"/>
  </w:num>
  <w:num w:numId="23" w16cid:durableId="208955924">
    <w:abstractNumId w:val="6"/>
  </w:num>
  <w:num w:numId="24" w16cid:durableId="87116645">
    <w:abstractNumId w:val="5"/>
  </w:num>
  <w:num w:numId="25" w16cid:durableId="329219642">
    <w:abstractNumId w:val="4"/>
  </w:num>
  <w:num w:numId="26" w16cid:durableId="1851405033">
    <w:abstractNumId w:val="8"/>
  </w:num>
  <w:num w:numId="27" w16cid:durableId="1545826608">
    <w:abstractNumId w:val="3"/>
  </w:num>
  <w:num w:numId="28" w16cid:durableId="1704088466">
    <w:abstractNumId w:val="2"/>
  </w:num>
  <w:num w:numId="29" w16cid:durableId="1867407701">
    <w:abstractNumId w:val="1"/>
  </w:num>
  <w:num w:numId="30" w16cid:durableId="71968637">
    <w:abstractNumId w:val="0"/>
  </w:num>
  <w:num w:numId="31" w16cid:durableId="901525491">
    <w:abstractNumId w:val="9"/>
  </w:num>
  <w:num w:numId="32" w16cid:durableId="63458627">
    <w:abstractNumId w:val="7"/>
  </w:num>
  <w:num w:numId="33" w16cid:durableId="530917202">
    <w:abstractNumId w:val="6"/>
  </w:num>
  <w:num w:numId="34" w16cid:durableId="1749767988">
    <w:abstractNumId w:val="5"/>
  </w:num>
  <w:num w:numId="35" w16cid:durableId="613756919">
    <w:abstractNumId w:val="4"/>
  </w:num>
  <w:num w:numId="36" w16cid:durableId="1105542544">
    <w:abstractNumId w:val="8"/>
  </w:num>
  <w:num w:numId="37" w16cid:durableId="1499536661">
    <w:abstractNumId w:val="3"/>
  </w:num>
  <w:num w:numId="38" w16cid:durableId="1865558160">
    <w:abstractNumId w:val="2"/>
  </w:num>
  <w:num w:numId="39" w16cid:durableId="260768159">
    <w:abstractNumId w:val="1"/>
  </w:num>
  <w:num w:numId="40" w16cid:durableId="1264459429">
    <w:abstractNumId w:val="0"/>
  </w:num>
  <w:num w:numId="41" w16cid:durableId="1455833130">
    <w:abstractNumId w:val="10"/>
  </w:num>
  <w:num w:numId="42" w16cid:durableId="2136214541">
    <w:abstractNumId w:val="10"/>
  </w:num>
  <w:num w:numId="43" w16cid:durableId="1771201970">
    <w:abstractNumId w:val="10"/>
  </w:num>
  <w:num w:numId="44" w16cid:durableId="16713733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ET"/>
    <w:docVar w:name="dvnumam" w:val="0"/>
    <w:docVar w:name="dvpe" w:val="782.192"/>
    <w:docVar w:name="dvtitre" w:val="Euroopa Parlamendi .... 2026. aasta resolutsioon komisjoni rakendusotsuse eelnõu kohta, millega lubatakse turule lasta geneetiliselt muundatud sojauba DBN-09004-6 sisaldavaid, sellest koosnevaid või sellest toodetud tooteid vastavalt Euroopa Parlamendi ja nõukogu määrusele (EÜ) nr 1829/2003 (D111472/02 – 2026/2523(RSP))"/>
  </w:docVars>
  <w:rsids>
    <w:rsidRoot w:val="00114212"/>
    <w:rsid w:val="00002272"/>
    <w:rsid w:val="00021545"/>
    <w:rsid w:val="00023F46"/>
    <w:rsid w:val="00064002"/>
    <w:rsid w:val="000677B9"/>
    <w:rsid w:val="000831BA"/>
    <w:rsid w:val="00093ACA"/>
    <w:rsid w:val="000A42CC"/>
    <w:rsid w:val="000E7DD9"/>
    <w:rsid w:val="0010095E"/>
    <w:rsid w:val="00114212"/>
    <w:rsid w:val="00122A50"/>
    <w:rsid w:val="00125B37"/>
    <w:rsid w:val="00147FEA"/>
    <w:rsid w:val="00164578"/>
    <w:rsid w:val="00187494"/>
    <w:rsid w:val="001F32AE"/>
    <w:rsid w:val="002767FF"/>
    <w:rsid w:val="0029044D"/>
    <w:rsid w:val="00293442"/>
    <w:rsid w:val="002A45F6"/>
    <w:rsid w:val="002B18FE"/>
    <w:rsid w:val="002B5493"/>
    <w:rsid w:val="00343214"/>
    <w:rsid w:val="00361C00"/>
    <w:rsid w:val="00384F79"/>
    <w:rsid w:val="00395FA1"/>
    <w:rsid w:val="003E15D4"/>
    <w:rsid w:val="00410CEB"/>
    <w:rsid w:val="00411CCE"/>
    <w:rsid w:val="0041666E"/>
    <w:rsid w:val="00421060"/>
    <w:rsid w:val="00471C19"/>
    <w:rsid w:val="004867E3"/>
    <w:rsid w:val="00494A28"/>
    <w:rsid w:val="004C0004"/>
    <w:rsid w:val="004C5D52"/>
    <w:rsid w:val="0050519A"/>
    <w:rsid w:val="0050520C"/>
    <w:rsid w:val="005072A1"/>
    <w:rsid w:val="00514517"/>
    <w:rsid w:val="00545827"/>
    <w:rsid w:val="00560270"/>
    <w:rsid w:val="005C2568"/>
    <w:rsid w:val="005F1B17"/>
    <w:rsid w:val="006037C0"/>
    <w:rsid w:val="00642D90"/>
    <w:rsid w:val="006631B6"/>
    <w:rsid w:val="00680577"/>
    <w:rsid w:val="006C35DD"/>
    <w:rsid w:val="006F74FA"/>
    <w:rsid w:val="00707870"/>
    <w:rsid w:val="00731ADD"/>
    <w:rsid w:val="00734777"/>
    <w:rsid w:val="00747932"/>
    <w:rsid w:val="00751A4A"/>
    <w:rsid w:val="00756632"/>
    <w:rsid w:val="00756CE3"/>
    <w:rsid w:val="00762C74"/>
    <w:rsid w:val="00786EC0"/>
    <w:rsid w:val="007D1690"/>
    <w:rsid w:val="007D724B"/>
    <w:rsid w:val="007E22AD"/>
    <w:rsid w:val="007E4726"/>
    <w:rsid w:val="00817416"/>
    <w:rsid w:val="00842779"/>
    <w:rsid w:val="00865F67"/>
    <w:rsid w:val="00881A7B"/>
    <w:rsid w:val="008840E5"/>
    <w:rsid w:val="00887B3E"/>
    <w:rsid w:val="008C2AC6"/>
    <w:rsid w:val="00930C23"/>
    <w:rsid w:val="0093193B"/>
    <w:rsid w:val="009509D8"/>
    <w:rsid w:val="00950B64"/>
    <w:rsid w:val="00981893"/>
    <w:rsid w:val="00A1687D"/>
    <w:rsid w:val="00A41AA7"/>
    <w:rsid w:val="00A43E52"/>
    <w:rsid w:val="00A4678D"/>
    <w:rsid w:val="00A778C7"/>
    <w:rsid w:val="00A8734C"/>
    <w:rsid w:val="00AB441E"/>
    <w:rsid w:val="00AB6293"/>
    <w:rsid w:val="00AE0928"/>
    <w:rsid w:val="00AF3B82"/>
    <w:rsid w:val="00B12E95"/>
    <w:rsid w:val="00B22876"/>
    <w:rsid w:val="00B434F2"/>
    <w:rsid w:val="00B558F0"/>
    <w:rsid w:val="00BD48FE"/>
    <w:rsid w:val="00BD7BD8"/>
    <w:rsid w:val="00BE6ADC"/>
    <w:rsid w:val="00BF7D3A"/>
    <w:rsid w:val="00C05BFE"/>
    <w:rsid w:val="00C155B6"/>
    <w:rsid w:val="00C23CD4"/>
    <w:rsid w:val="00C56B77"/>
    <w:rsid w:val="00C61C0C"/>
    <w:rsid w:val="00C7706F"/>
    <w:rsid w:val="00C941CB"/>
    <w:rsid w:val="00CC2357"/>
    <w:rsid w:val="00CF071A"/>
    <w:rsid w:val="00CF1570"/>
    <w:rsid w:val="00D058B8"/>
    <w:rsid w:val="00D56C11"/>
    <w:rsid w:val="00D60FF8"/>
    <w:rsid w:val="00D82CB6"/>
    <w:rsid w:val="00D834A0"/>
    <w:rsid w:val="00D872DF"/>
    <w:rsid w:val="00D91E21"/>
    <w:rsid w:val="00DA7FCD"/>
    <w:rsid w:val="00DC4DFC"/>
    <w:rsid w:val="00DF11D6"/>
    <w:rsid w:val="00E365E1"/>
    <w:rsid w:val="00E820A4"/>
    <w:rsid w:val="00EB006A"/>
    <w:rsid w:val="00EB4772"/>
    <w:rsid w:val="00ED169E"/>
    <w:rsid w:val="00ED4235"/>
    <w:rsid w:val="00EF6F56"/>
    <w:rsid w:val="00F04346"/>
    <w:rsid w:val="00F075DC"/>
    <w:rsid w:val="00F149E9"/>
    <w:rsid w:val="00F16AB7"/>
    <w:rsid w:val="00F5134D"/>
    <w:rsid w:val="00F6733D"/>
    <w:rsid w:val="00F74202"/>
    <w:rsid w:val="00F82CC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2DCBC"/>
  <w15:chartTrackingRefBased/>
  <w15:docId w15:val="{2C0162AB-22A0-40E5-A153-59BEA58D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07870"/>
    <w:pPr>
      <w:spacing w:before="480" w:after="240"/>
    </w:pPr>
  </w:style>
  <w:style w:type="paragraph" w:customStyle="1" w:styleId="NormalHanging12a">
    <w:name w:val="NormalHanging12a"/>
    <w:basedOn w:val="Normal"/>
    <w:uiPriority w:val="99"/>
    <w:qFormat/>
    <w:rsid w:val="00707870"/>
    <w:pPr>
      <w:spacing w:after="240"/>
      <w:ind w:left="567" w:hanging="567"/>
    </w:pPr>
  </w:style>
  <w:style w:type="character" w:styleId="Hyperlink">
    <w:name w:val="Hyperlink"/>
    <w:basedOn w:val="DefaultParagraphFont"/>
    <w:uiPriority w:val="99"/>
    <w:rsid w:val="00707870"/>
    <w:rPr>
      <w:color w:val="0563C1" w:themeColor="hyperlink"/>
      <w:u w:val="single"/>
    </w:rPr>
  </w:style>
  <w:style w:type="paragraph" w:styleId="NormalWeb">
    <w:name w:val="Normal (Web)"/>
    <w:basedOn w:val="Normal"/>
    <w:uiPriority w:val="99"/>
    <w:unhideWhenUsed/>
    <w:rsid w:val="00707870"/>
    <w:pPr>
      <w:widowControl/>
      <w:spacing w:before="100" w:beforeAutospacing="1" w:after="100" w:afterAutospacing="1"/>
    </w:pPr>
    <w:rPr>
      <w:szCs w:val="24"/>
    </w:rPr>
  </w:style>
  <w:style w:type="paragraph" w:styleId="Revision">
    <w:name w:val="Revision"/>
    <w:hidden/>
    <w:uiPriority w:val="99"/>
    <w:semiHidden/>
    <w:rsid w:val="00DC4DF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e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1270</Words>
  <Characters>9750</Characters>
  <Application>Microsoft Office Word</Application>
  <DocSecurity>0</DocSecurity>
  <Lines>195</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LISTMANN Anu</cp:lastModifiedBy>
  <cp:revision>2</cp:revision>
  <cp:lastPrinted>2004-11-19T15:42:00Z</cp:lastPrinted>
  <dcterms:created xsi:type="dcterms:W3CDTF">2026-03-16T14:56:00Z</dcterms:created>
  <dcterms:modified xsi:type="dcterms:W3CDTF">2026-03-16T14:56:00Z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B10-0107/2026</vt:lpwstr>
  </property>
  <property fmtid="{D5CDD505-2E9C-101B-9397-08002B2CF9AE}" pid="4" name="&lt;Type&gt;">
    <vt:lpwstr>RR</vt:lpwstr>
  </property>
</Properties>
</file>