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1F8" w14:paraId="18492A71" w14:textId="77777777" w:rsidTr="0010095E">
        <w:trPr>
          <w:trHeight w:hRule="exact" w:val="1418"/>
        </w:trPr>
        <w:tc>
          <w:tcPr>
            <w:tcW w:w="6804" w:type="dxa"/>
            <w:shd w:val="clear" w:color="auto" w:fill="auto"/>
            <w:vAlign w:val="center"/>
          </w:tcPr>
          <w:p w14:paraId="7D64A6DC" w14:textId="77777777" w:rsidR="00751A4A" w:rsidRPr="006561F8" w:rsidRDefault="008974CB" w:rsidP="0010095E">
            <w:pPr>
              <w:pStyle w:val="EPName"/>
            </w:pPr>
            <w:r w:rsidRPr="006561F8">
              <w:t>Euroopan parlamentti</w:t>
            </w:r>
          </w:p>
          <w:p w14:paraId="19623DA9" w14:textId="77777777" w:rsidR="00751A4A" w:rsidRPr="006561F8" w:rsidRDefault="005F1B17" w:rsidP="005F1B17">
            <w:pPr>
              <w:pStyle w:val="EPTerm"/>
              <w:rPr>
                <w:rStyle w:val="HideTWBExt"/>
                <w:noProof w:val="0"/>
                <w:vanish w:val="0"/>
                <w:color w:val="auto"/>
              </w:rPr>
            </w:pPr>
            <w:r w:rsidRPr="006561F8">
              <w:t>2024</w:t>
            </w:r>
            <w:r w:rsidR="00817416" w:rsidRPr="006561F8">
              <w:t>-202</w:t>
            </w:r>
            <w:r w:rsidRPr="006561F8">
              <w:t>9</w:t>
            </w:r>
          </w:p>
        </w:tc>
        <w:tc>
          <w:tcPr>
            <w:tcW w:w="2268" w:type="dxa"/>
            <w:shd w:val="clear" w:color="auto" w:fill="auto"/>
          </w:tcPr>
          <w:p w14:paraId="68E44573" w14:textId="77777777" w:rsidR="00751A4A" w:rsidRPr="006561F8" w:rsidRDefault="00187494" w:rsidP="0010095E">
            <w:pPr>
              <w:pStyle w:val="EPLogo"/>
            </w:pPr>
            <w:r w:rsidRPr="006561F8">
              <w:rPr>
                <w:noProof/>
                <w:lang w:eastAsia="ja-JP"/>
              </w:rPr>
              <w:drawing>
                <wp:inline distT="0" distB="0" distL="0" distR="0" wp14:anchorId="4CB0BCB5" wp14:editId="334455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EDE679" w14:textId="77777777" w:rsidR="00D058B8" w:rsidRPr="006561F8" w:rsidRDefault="00D058B8" w:rsidP="004C5D52">
      <w:pPr>
        <w:pStyle w:val="LineTop"/>
      </w:pPr>
    </w:p>
    <w:p w14:paraId="46AF9D5A" w14:textId="77777777" w:rsidR="00680577" w:rsidRPr="006561F8" w:rsidRDefault="008974CB" w:rsidP="00680577">
      <w:pPr>
        <w:pStyle w:val="EPBodyTA1"/>
      </w:pPr>
      <w:r w:rsidRPr="006561F8">
        <w:t>HYVÄKSYTYT TEKSTIT</w:t>
      </w:r>
    </w:p>
    <w:p w14:paraId="5A346707" w14:textId="77777777" w:rsidR="00D058B8" w:rsidRPr="006561F8" w:rsidRDefault="00D058B8" w:rsidP="00D058B8">
      <w:pPr>
        <w:pStyle w:val="LineBottom"/>
      </w:pPr>
    </w:p>
    <w:p w14:paraId="27614F83" w14:textId="074AB4AD" w:rsidR="008974CB" w:rsidRPr="006561F8" w:rsidRDefault="008974CB" w:rsidP="008974CB">
      <w:pPr>
        <w:pStyle w:val="ATHeading1"/>
      </w:pPr>
      <w:bookmarkStart w:id="0" w:name="TANumber"/>
      <w:r w:rsidRPr="006561F8">
        <w:t>P10_TA(2026)00</w:t>
      </w:r>
      <w:r w:rsidR="00C035F1">
        <w:t>41</w:t>
      </w:r>
      <w:bookmarkEnd w:id="0"/>
    </w:p>
    <w:p w14:paraId="5B341181" w14:textId="77777777" w:rsidR="008974CB" w:rsidRPr="006561F8" w:rsidRDefault="008974CB" w:rsidP="008974CB">
      <w:pPr>
        <w:pStyle w:val="ATHeading2"/>
      </w:pPr>
      <w:bookmarkStart w:id="1" w:name="title"/>
      <w:r w:rsidRPr="006561F8">
        <w:t>Muuntogeeninen soija DBN-09004-6</w:t>
      </w:r>
      <w:bookmarkEnd w:id="1"/>
    </w:p>
    <w:p w14:paraId="7790758D" w14:textId="77777777" w:rsidR="008974CB" w:rsidRPr="006561F8" w:rsidRDefault="008974CB" w:rsidP="008974CB">
      <w:pPr>
        <w:rPr>
          <w:i/>
          <w:vanish/>
        </w:rPr>
      </w:pPr>
      <w:r w:rsidRPr="006561F8">
        <w:rPr>
          <w:i/>
        </w:rPr>
        <w:fldChar w:fldCharType="begin"/>
      </w:r>
      <w:r w:rsidRPr="006561F8">
        <w:rPr>
          <w:i/>
        </w:rPr>
        <w:instrText xml:space="preserve"> TC"(</w:instrText>
      </w:r>
      <w:bookmarkStart w:id="2" w:name="DocNumber"/>
      <w:r w:rsidRPr="006561F8">
        <w:rPr>
          <w:i/>
        </w:rPr>
        <w:instrText>B10-0107/2026</w:instrText>
      </w:r>
      <w:bookmarkEnd w:id="2"/>
      <w:r w:rsidRPr="006561F8">
        <w:rPr>
          <w:i/>
        </w:rPr>
        <w:instrText xml:space="preserve">)"\l3 \n&gt; \* MERGEFORMAT </w:instrText>
      </w:r>
      <w:r w:rsidRPr="006561F8">
        <w:rPr>
          <w:i/>
        </w:rPr>
        <w:fldChar w:fldCharType="end"/>
      </w:r>
    </w:p>
    <w:p w14:paraId="7BFA8D71" w14:textId="77777777" w:rsidR="008974CB" w:rsidRPr="006561F8" w:rsidRDefault="008974CB" w:rsidP="008974CB">
      <w:pPr>
        <w:rPr>
          <w:vanish/>
        </w:rPr>
      </w:pPr>
      <w:bookmarkStart w:id="3" w:name="PE"/>
      <w:r w:rsidRPr="006561F8">
        <w:rPr>
          <w:vanish/>
        </w:rPr>
        <w:t>PE782.192</w:t>
      </w:r>
      <w:bookmarkEnd w:id="3"/>
    </w:p>
    <w:p w14:paraId="5611258E" w14:textId="77777777" w:rsidR="008974CB" w:rsidRPr="006561F8" w:rsidRDefault="008974CB" w:rsidP="008974CB">
      <w:pPr>
        <w:pStyle w:val="ATHeading3"/>
      </w:pPr>
      <w:bookmarkStart w:id="4" w:name="Sujet"/>
      <w:r w:rsidRPr="006561F8">
        <w:t xml:space="preserve">Euroopan parlamentin päätöslauselma 11. helmikuuta 2026 ehdotuksesta komission täytäntöönpanopäätökseksi luvan antamisesta muuntogeenistä soijaa DBN-09004-6 sisältävien, siitä koostuvien tai siitä valmistettujen tuotteiden saattamiseksi markkinoille Euroopan parlamentin ja neuvoston asetuksen (EY) N:o 1829/2003 mukaisesti </w:t>
      </w:r>
      <w:bookmarkEnd w:id="4"/>
      <w:r w:rsidRPr="006561F8">
        <w:t xml:space="preserve"> </w:t>
      </w:r>
      <w:bookmarkStart w:id="5" w:name="References"/>
      <w:r w:rsidRPr="006561F8">
        <w:t>(D111472/02 – 2026/2523(RSP))</w:t>
      </w:r>
      <w:bookmarkEnd w:id="5"/>
    </w:p>
    <w:p w14:paraId="6A3899E1" w14:textId="77777777" w:rsidR="003A5D20" w:rsidRPr="006561F8" w:rsidRDefault="003A5D20" w:rsidP="003A5D20">
      <w:pPr>
        <w:pStyle w:val="EPComma"/>
        <w:widowControl/>
      </w:pPr>
      <w:bookmarkStart w:id="6" w:name="TextBodyBegin"/>
      <w:bookmarkEnd w:id="6"/>
      <w:r w:rsidRPr="006561F8">
        <w:rPr>
          <w:i/>
          <w:iCs/>
        </w:rPr>
        <w:t>Euroopan parlamentti</w:t>
      </w:r>
      <w:r w:rsidRPr="006561F8">
        <w:t>, joka</w:t>
      </w:r>
    </w:p>
    <w:p w14:paraId="1874345E" w14:textId="77777777" w:rsidR="003A5D20" w:rsidRPr="006561F8" w:rsidRDefault="003A5D20" w:rsidP="007C7A13">
      <w:pPr>
        <w:pStyle w:val="NormalHanging12a"/>
        <w:widowControl/>
      </w:pPr>
      <w:r w:rsidRPr="006561F8">
        <w:t>–</w:t>
      </w:r>
      <w:r w:rsidRPr="006561F8">
        <w:tab/>
        <w:t>ottaa huomioon ehdotuksen komission täytäntöönpanopäätökseksi luvan antamisesta muuntogeenistä soijaa DBN-09004-6 sisältävien, siitä koostuvien tai siitä valmistettujen tuotteiden saattamiseksi markkinoille Euroopan parlamentin ja neuvoston asetuksen (EY) N:o 1829/2003 mukaisesti (D111472/02),</w:t>
      </w:r>
    </w:p>
    <w:p w14:paraId="3D09B5A4" w14:textId="77777777" w:rsidR="003A5D20" w:rsidRPr="006561F8" w:rsidRDefault="003A5D20" w:rsidP="007C7A13">
      <w:pPr>
        <w:pStyle w:val="NormalHanging12a"/>
        <w:widowControl/>
      </w:pPr>
      <w:r w:rsidRPr="006561F8">
        <w:t>–</w:t>
      </w:r>
      <w:r w:rsidRPr="006561F8">
        <w:tab/>
        <w:t>ottaa huomioon muuntogeenisistä elintarvikkeista ja rehuista 22. syyskuuta 2003 annetun Euroopan parlamentin ja neuvoston asetuksen (EY) N:o 1829/2003</w:t>
      </w:r>
      <w:r w:rsidRPr="006561F8">
        <w:rPr>
          <w:rStyle w:val="FootnoteReference"/>
        </w:rPr>
        <w:footnoteReference w:id="1"/>
      </w:r>
      <w:r w:rsidRPr="006561F8">
        <w:t xml:space="preserve"> ja erityisesti sen 7 artiklan 3 kohdan ja 19 artiklan 3 kohdan,</w:t>
      </w:r>
    </w:p>
    <w:p w14:paraId="388A36F6" w14:textId="72C40AC4" w:rsidR="003A5D20" w:rsidRPr="006561F8" w:rsidRDefault="003A5D20" w:rsidP="007C7A13">
      <w:pPr>
        <w:pStyle w:val="NormalHanging12a"/>
        <w:widowControl/>
      </w:pPr>
      <w:r w:rsidRPr="006561F8">
        <w:t>–</w:t>
      </w:r>
      <w:r w:rsidRPr="006561F8">
        <w:tab/>
        <w:t>ottaa huomioon asetuksen (EY) N:o 1829/2003 35 artiklassa tarkoitetussa pysyvässä kasvi-, eläin-, elintarvike- ja rehukomiteassa 12. joulukuuta 2025 toimitetun äänestyksen, jossa päätettiin olla antamatta lausuntoa</w:t>
      </w:r>
      <w:bookmarkStart w:id="7" w:name="_Hlk219206484"/>
      <w:r w:rsidRPr="006561F8">
        <w:t>,</w:t>
      </w:r>
      <w:bookmarkEnd w:id="7"/>
      <w:r w:rsidR="00CA5C98" w:rsidRPr="006561F8">
        <w:t xml:space="preserve"> ja muutoksenhakukomiteassa 27. tammikuuta 2026 toimitetun äänestyksen, jossa päätettiin niin ikään olla antamatta lausuntoa,</w:t>
      </w:r>
    </w:p>
    <w:p w14:paraId="296B41CD" w14:textId="77777777" w:rsidR="003A5D20" w:rsidRPr="006561F8" w:rsidRDefault="003A5D20" w:rsidP="007C7A13">
      <w:pPr>
        <w:pStyle w:val="NormalHanging12a"/>
        <w:widowControl/>
      </w:pPr>
      <w:r w:rsidRPr="006561F8">
        <w:t>–</w:t>
      </w:r>
      <w:r w:rsidRPr="006561F8">
        <w:tab/>
        <w:t>ottaa huomioon yleisistä säännöistä ja periaatteista, joiden mukaisesti jäsenvaltiot valvovat komission täytäntöönpanovallan käyttöä, 16. helmikuuta 2011 annetun Euroopan parlamentin ja neuvoston asetuksen (EU) N:o 182/2011</w:t>
      </w:r>
      <w:r w:rsidRPr="006561F8">
        <w:rPr>
          <w:rStyle w:val="FootnoteReference"/>
        </w:rPr>
        <w:footnoteReference w:id="2"/>
      </w:r>
      <w:r w:rsidRPr="006561F8">
        <w:t xml:space="preserve"> 11 artiklan,</w:t>
      </w:r>
    </w:p>
    <w:p w14:paraId="12C8256D" w14:textId="77777777" w:rsidR="003A5D20" w:rsidRPr="006561F8" w:rsidRDefault="003A5D20" w:rsidP="007C7A13">
      <w:pPr>
        <w:pStyle w:val="NormalHanging12a"/>
        <w:widowControl/>
      </w:pPr>
      <w:r w:rsidRPr="006561F8">
        <w:t>–</w:t>
      </w:r>
      <w:r w:rsidRPr="006561F8">
        <w:tab/>
        <w:t>ottaa huomioon Euroopan elintarviketurvallisuusviranomaisen (EFSA) 21. toukokuuta 2025 antaman lausunnon, joka julkaistiin 7. heinäkuuta 2025</w:t>
      </w:r>
      <w:r w:rsidRPr="006561F8">
        <w:rPr>
          <w:rStyle w:val="FootnoteReference"/>
        </w:rPr>
        <w:footnoteReference w:id="3"/>
      </w:r>
      <w:r w:rsidRPr="006561F8">
        <w:t>,</w:t>
      </w:r>
    </w:p>
    <w:p w14:paraId="235072CF" w14:textId="77777777" w:rsidR="003A5D20" w:rsidRPr="006561F8" w:rsidRDefault="003A5D20" w:rsidP="007C7A13">
      <w:pPr>
        <w:pStyle w:val="NormalHanging12a"/>
        <w:widowControl/>
      </w:pPr>
      <w:r w:rsidRPr="006561F8">
        <w:lastRenderedPageBreak/>
        <w:t>–</w:t>
      </w:r>
      <w:r w:rsidRPr="006561F8">
        <w:tab/>
        <w:t>ottaa huomioon aiemmat päätöslauselmansa, joissa vastustetaan lupien myöntämistä muuntogeenisille organismeille</w:t>
      </w:r>
      <w:r w:rsidRPr="006561F8">
        <w:rPr>
          <w:rStyle w:val="FootnoteReference"/>
        </w:rPr>
        <w:footnoteReference w:id="4"/>
      </w:r>
      <w:r w:rsidRPr="006561F8">
        <w:t>,</w:t>
      </w:r>
    </w:p>
    <w:p w14:paraId="6051291E" w14:textId="77777777" w:rsidR="003A5D20" w:rsidRPr="006561F8" w:rsidRDefault="003A5D20" w:rsidP="007C7A13">
      <w:pPr>
        <w:pStyle w:val="NormalHanging12a"/>
        <w:widowControl/>
      </w:pPr>
      <w:r w:rsidRPr="006561F8">
        <w:lastRenderedPageBreak/>
        <w:t>–</w:t>
      </w:r>
      <w:r w:rsidRPr="006561F8">
        <w:tab/>
        <w:t>ottaa huomioon työjärjestyksen 115 artiklan 2 ja 3 kohdan,</w:t>
      </w:r>
    </w:p>
    <w:p w14:paraId="24A34D66" w14:textId="77777777" w:rsidR="003A5D20" w:rsidRPr="006561F8" w:rsidRDefault="003A5D20" w:rsidP="007C7A13">
      <w:pPr>
        <w:pStyle w:val="NormalHanging12a"/>
        <w:widowControl/>
      </w:pPr>
      <w:r w:rsidRPr="006561F8">
        <w:t>–</w:t>
      </w:r>
      <w:r w:rsidRPr="006561F8">
        <w:tab/>
        <w:t>ottaa huomioon ympäristön, ilmaston ja elintarvikkeiden turvallisuuden valiokunnan päätöslauselmaesityksen,</w:t>
      </w:r>
    </w:p>
    <w:p w14:paraId="27DD124E" w14:textId="77777777" w:rsidR="003A5D20" w:rsidRPr="006561F8" w:rsidRDefault="003A5D20" w:rsidP="007C7A13">
      <w:pPr>
        <w:pStyle w:val="NormalHanging12a"/>
        <w:widowControl/>
      </w:pPr>
      <w:r w:rsidRPr="006561F8">
        <w:t>A.</w:t>
      </w:r>
      <w:r w:rsidRPr="006561F8">
        <w:tab/>
        <w:t xml:space="preserve">ottaa huomioon, että Belgiaan sijoittautunut Perseus BV toimitti 20. joulukuuta 2019 Kiinaan sijoittautuneen yrityksen Beijing </w:t>
      </w:r>
      <w:proofErr w:type="spellStart"/>
      <w:r w:rsidRPr="006561F8">
        <w:t>DaBeiNong</w:t>
      </w:r>
      <w:proofErr w:type="spellEnd"/>
      <w:r w:rsidRPr="006561F8">
        <w:t xml:space="preserve"> </w:t>
      </w:r>
      <w:proofErr w:type="spellStart"/>
      <w:r w:rsidRPr="006561F8">
        <w:t>Biotechnology</w:t>
      </w:r>
      <w:proofErr w:type="spellEnd"/>
      <w:r w:rsidRPr="006561F8">
        <w:t xml:space="preserve"> Co., Ltd. puolesta Belgian kansalliselle toimivaltaiselle viranomaiselle asetuksen (EY) N:o 1829/2003 5 ja 17 artiklan mukaisesti hakemuksen muuntogeenistä soijaa DBN-09004-6, jäljempänä ’muuntogeeninen soija’, sisältävien, siitä koostuvien tai siitä valmistettujen elintarvikkeiden, elintarvikkeiden ainesosien ja rehun saattamiseksi markkinoille; ottaa huomioon, että hakemus koski myös muuntogeenistä soijaa sisältävien tai siitä koostuvien tuotteiden saattamista markkinoille muuhun kuin elintarvike- ja rehukäyttöön, viljelyä lukuun ottamatta;</w:t>
      </w:r>
    </w:p>
    <w:p w14:paraId="6714026A" w14:textId="77777777" w:rsidR="003A5D20" w:rsidRPr="006561F8" w:rsidRDefault="003A5D20" w:rsidP="007C7A13">
      <w:pPr>
        <w:pStyle w:val="NormalHanging12a"/>
        <w:widowControl/>
      </w:pPr>
      <w:bookmarkStart w:id="8" w:name="_Hlk218675754"/>
      <w:r w:rsidRPr="006561F8">
        <w:t>B.</w:t>
      </w:r>
      <w:r w:rsidRPr="006561F8">
        <w:tab/>
        <w:t>ottaa huomioon, että EFSA antoi 7. heinäkuuta 2025 asetuksen (EY) N:o 1829/2003 6 ja 18 artiklan mukaisesti myönteisen tieteellisen lausunnon, jossa se totesi, että muuntogeeninen soija, sellaisena kuin se on kuvattu hakemuksessa, on yhtä turvallista kuin sen tavanomainen vastine ja testatut geneettisesti muuntamattomat soijan vertailulajikkeet, kun tarkastellaan sen mahdollisia vaikutuksia ihmisten ja eläinten terveyteen sekä ympäristöön; ottaa huomioon, että EFSA katsoo monien laajempien ympäristöön liittyvien, sosioekonomisten ja kumulatiivisten vaikutusten jäävän sen toimivallan ulkopuolelle, minkä vuoksi se ei käsitellyt niitä lausunnossaan;</w:t>
      </w:r>
    </w:p>
    <w:p w14:paraId="05AD92AC" w14:textId="77777777" w:rsidR="003A5D20" w:rsidRPr="006561F8" w:rsidRDefault="003A5D20" w:rsidP="007C7A13">
      <w:pPr>
        <w:pStyle w:val="NormalHanging12a"/>
        <w:widowControl/>
      </w:pPr>
      <w:r w:rsidRPr="006561F8">
        <w:t>C.</w:t>
      </w:r>
      <w:r w:rsidRPr="006561F8">
        <w:tab/>
        <w:t xml:space="preserve">ottaa huomioon, että muuntogeeninen soija on kehitetty sietämään </w:t>
      </w:r>
      <w:proofErr w:type="spellStart"/>
      <w:r w:rsidRPr="006561F8">
        <w:t>glufosinaattia</w:t>
      </w:r>
      <w:proofErr w:type="spellEnd"/>
      <w:r w:rsidRPr="006561F8">
        <w:t xml:space="preserve"> ja glyfosaattia;</w:t>
      </w:r>
    </w:p>
    <w:bookmarkEnd w:id="8"/>
    <w:p w14:paraId="6EE0951E" w14:textId="77777777" w:rsidR="003A5D20" w:rsidRPr="006561F8" w:rsidRDefault="003A5D20" w:rsidP="007C7A13">
      <w:pPr>
        <w:pStyle w:val="NormalHanging12a"/>
        <w:widowControl/>
      </w:pPr>
      <w:r w:rsidRPr="006561F8">
        <w:t>D.</w:t>
      </w:r>
      <w:r w:rsidRPr="006561F8">
        <w:tab/>
        <w:t xml:space="preserve">ottaa huomioon, että </w:t>
      </w:r>
      <w:proofErr w:type="spellStart"/>
      <w:r w:rsidRPr="006561F8">
        <w:t>EFSAn</w:t>
      </w:r>
      <w:proofErr w:type="spellEnd"/>
      <w:r w:rsidRPr="006561F8">
        <w:t xml:space="preserve"> tekemiin riskinarviointeihin ei sisältynyt pitkän ajan toksikologisia tutkimuksia eikä yksityiskohtaista analyysia kumulatiivisista ja yhteisvaikutuksista, kuten mahdollisesta vuorovaikutuksesta soijanviljelyssä yleisesti käytettyjen torjunta-aineiden jäämien kanssa;</w:t>
      </w:r>
    </w:p>
    <w:p w14:paraId="38C5886D" w14:textId="77777777" w:rsidR="003A5D20" w:rsidRPr="006561F8" w:rsidRDefault="003A5D20" w:rsidP="007C7A13">
      <w:pPr>
        <w:pStyle w:val="NormalHanging12a"/>
        <w:widowControl/>
      </w:pPr>
      <w:r w:rsidRPr="006561F8">
        <w:t>E.</w:t>
      </w:r>
      <w:r w:rsidRPr="006561F8">
        <w:tab/>
        <w:t xml:space="preserve">ottaa huomioon, että suurinta osaa muuntogeenisistä viljelykasveista, muuntogeeninen soija mukaan lukien, on muunnettu geneettisesti siten, että ne sietävät yhtä tai useampaa ”täydentävää” rikkakasvien torjunta-ainetta, jota voidaan käyttää koko muuntogeenisen viljelykasvin viljelyn ajan ilman, että viljelykasvi kuolee, kuten käy niiden viljelykasvien tapauksessa, jotka eivät siedä torjunta-aineita; toteaa, että rikkakasvien torjunta-aineita sietävien muuntogeenisten viljelykasvien on erinäisissä tutkimuksissa </w:t>
      </w:r>
      <w:r w:rsidRPr="006561F8">
        <w:lastRenderedPageBreak/>
        <w:t>osoitettu lisäävän täydentävien rikkakasvien torjunta-aineiden käyttöä, mikä johtuu etenkin siitä, että yhä useammat rikkakasvit sietävät rikkakasvien torjunta-aineita</w:t>
      </w:r>
      <w:r w:rsidRPr="006561F8">
        <w:rPr>
          <w:rStyle w:val="FootnoteReference"/>
        </w:rPr>
        <w:footnoteReference w:id="5"/>
      </w:r>
      <w:r w:rsidRPr="006561F8">
        <w:t>;</w:t>
      </w:r>
    </w:p>
    <w:p w14:paraId="0D0F8010" w14:textId="77777777" w:rsidR="003A5D20" w:rsidRPr="006561F8" w:rsidRDefault="003A5D20" w:rsidP="006561F8">
      <w:pPr>
        <w:spacing w:after="240"/>
        <w:ind w:left="567" w:hanging="567"/>
      </w:pPr>
      <w:r w:rsidRPr="006561F8">
        <w:t>F.</w:t>
      </w:r>
      <w:r w:rsidRPr="006561F8">
        <w:tab/>
        <w:t>toteaa, että rikkakasvien torjunta-aineita sietävien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 ottaa huomioon, että lisääntynyt riippuvuus täydentävistä rikkakasvien torjunta-aineista muuntogeenistä soijaa viljelevillä tiloilla nopeuttaa näille torjunta-aineille sietokykyisten rikkakasvien ilmaantumista ja leviämistä, mikä johtaa noidankehään, jossa rikkakasvien torjunta-aineita on käytettävä jatkuvasti enemmän; toteaa, että rikkakasvien torjunta-aineiden liiallisesta käytöstä aiheutuvat haitalliset vaikutukset heikentävät maaperän terveyttä ja veden laatua, köyhdyttävät maanpäällistä ja -alaista biologista monimuotoisuutta ja lisäävät ihmisten ja eläinten altistumista, mahdollisesti myös sen kautta, että rikkakasvien torjunta-aineiden jäämät elintarvikkeissa ja rehuissa lisääntyvät</w:t>
      </w:r>
      <w:r w:rsidRPr="006561F8">
        <w:rPr>
          <w:rStyle w:val="FootnoteReference"/>
        </w:rPr>
        <w:footnoteReference w:id="6"/>
      </w:r>
      <w:r w:rsidRPr="006561F8">
        <w:t>;</w:t>
      </w:r>
    </w:p>
    <w:p w14:paraId="26B09DB6" w14:textId="77777777" w:rsidR="003A5D20" w:rsidRPr="006561F8" w:rsidRDefault="003A5D20" w:rsidP="006561F8">
      <w:pPr>
        <w:widowControl/>
        <w:spacing w:after="240"/>
        <w:ind w:left="567" w:hanging="567"/>
      </w:pPr>
      <w:r w:rsidRPr="006561F8">
        <w:t>G.</w:t>
      </w:r>
      <w:r w:rsidRPr="006561F8">
        <w:tab/>
        <w:t xml:space="preserve">ottaa huomioon, että </w:t>
      </w:r>
      <w:proofErr w:type="spellStart"/>
      <w:r w:rsidRPr="006561F8">
        <w:t>glufosinaatti</w:t>
      </w:r>
      <w:proofErr w:type="spellEnd"/>
      <w:r w:rsidRPr="006561F8">
        <w:t xml:space="preserve"> on luokiteltu lisääntymiselle vaarallisten aineiden kategoriaan 1B ja näin ollen se täyttää Euroopan parlamentin ja neuvoston asetuksessa (EY) N:o 1107/2009</w:t>
      </w:r>
      <w:r w:rsidRPr="006561F8">
        <w:rPr>
          <w:rStyle w:val="FootnoteReference"/>
        </w:rPr>
        <w:footnoteReference w:id="7"/>
      </w:r>
      <w:r w:rsidRPr="006561F8">
        <w:t xml:space="preserve"> säädetyt poissulkemiskriteerit; ottaa huomioon, että </w:t>
      </w:r>
      <w:proofErr w:type="spellStart"/>
      <w:r w:rsidRPr="006561F8">
        <w:t>glufosinaatin</w:t>
      </w:r>
      <w:proofErr w:type="spellEnd"/>
      <w:r w:rsidRPr="006561F8">
        <w:t xml:space="preserve"> käyttöä unionissa koskevan hyväksynnän voimassaolo päättyi 31. heinäkuuta 2018;</w:t>
      </w:r>
    </w:p>
    <w:p w14:paraId="609F15EC" w14:textId="77777777" w:rsidR="003A5D20" w:rsidRPr="006561F8" w:rsidRDefault="003A5D20" w:rsidP="006561F8">
      <w:pPr>
        <w:widowControl/>
        <w:spacing w:after="240"/>
        <w:ind w:left="567" w:hanging="567"/>
      </w:pPr>
      <w:r w:rsidRPr="006561F8">
        <w:t>H.</w:t>
      </w:r>
      <w:r w:rsidRPr="006561F8">
        <w:tab/>
        <w:t>toteaa, että glyfosaatin karsinogeenisyydestä on noussut esiin huolta aiheuttavia kysymyksiä, jotka ovat edelleen vailla vastausta; ottaa huomioon, että EFSA totesi marraskuussa 2015, että glyfosaatti ei todennäköisesti ole syöpää aiheuttava aine, ja että Euroopan kemikaalivirasto totesi maaliskuussa 2017, että vaaraluokitus ei ollut aiheellinen; ottaa huomioon, että Kansainvälinen syöväntutkimuslaitos, joka on Maailman terveysjärjestön syöväntutkimukseen erikoistunut virasto, sen sijaan luokitteli glyfosaatin vuonna 2015 todennäköisesti ihmisille syöpää aiheuttavaksi aineeksi; ottaa huomioon, että erinäisissä viimeaikaisissa vertaisarvioiduissa tieteellisissä tutkimuksissa vahvistetaan glyfosaatin syöpää aiheuttavat vaikutukset</w:t>
      </w:r>
      <w:r w:rsidRPr="006561F8">
        <w:rPr>
          <w:rStyle w:val="FootnoteReference"/>
        </w:rPr>
        <w:footnoteReference w:id="8"/>
      </w:r>
      <w:r w:rsidRPr="006561F8">
        <w:t>; ottaa huomioon, että julkaisu ”</w:t>
      </w:r>
      <w:proofErr w:type="spellStart"/>
      <w:r w:rsidRPr="006561F8">
        <w:t>Regulatory</w:t>
      </w:r>
      <w:proofErr w:type="spellEnd"/>
      <w:r w:rsidRPr="006561F8">
        <w:t xml:space="preserve"> </w:t>
      </w:r>
      <w:proofErr w:type="spellStart"/>
      <w:r w:rsidRPr="006561F8">
        <w:t>Toxicology</w:t>
      </w:r>
      <w:proofErr w:type="spellEnd"/>
      <w:r w:rsidRPr="006561F8">
        <w:t xml:space="preserve"> and </w:t>
      </w:r>
      <w:proofErr w:type="spellStart"/>
      <w:r w:rsidRPr="006561F8">
        <w:t>Pharmacology</w:t>
      </w:r>
      <w:proofErr w:type="spellEnd"/>
      <w:r w:rsidRPr="006561F8">
        <w:t>” on virallisesti perunut glyfosaatin turvallisuuden puolustamiseen monissa riskinarvioinneissa käytetyn vuonna 2000 julkaistun tieteellisen asiakirjan ”</w:t>
      </w:r>
      <w:proofErr w:type="spellStart"/>
      <w:r w:rsidRPr="006561F8">
        <w:t>Safety</w:t>
      </w:r>
      <w:proofErr w:type="spellEnd"/>
      <w:r w:rsidRPr="006561F8">
        <w:t xml:space="preserve"> Evaluation and Risk </w:t>
      </w:r>
      <w:proofErr w:type="spellStart"/>
      <w:r w:rsidRPr="006561F8">
        <w:t>Assessment</w:t>
      </w:r>
      <w:proofErr w:type="spellEnd"/>
      <w:r w:rsidRPr="006561F8">
        <w:t xml:space="preserve"> of </w:t>
      </w:r>
      <w:proofErr w:type="spellStart"/>
      <w:r w:rsidRPr="006561F8">
        <w:t>the</w:t>
      </w:r>
      <w:proofErr w:type="spellEnd"/>
      <w:r w:rsidRPr="006561F8">
        <w:t xml:space="preserve"> </w:t>
      </w:r>
      <w:proofErr w:type="spellStart"/>
      <w:r w:rsidRPr="006561F8">
        <w:t>Herbicide</w:t>
      </w:r>
      <w:proofErr w:type="spellEnd"/>
      <w:r w:rsidRPr="006561F8">
        <w:t xml:space="preserve"> Roundup and </w:t>
      </w:r>
      <w:proofErr w:type="spellStart"/>
      <w:r w:rsidRPr="006561F8">
        <w:t>Its</w:t>
      </w:r>
      <w:proofErr w:type="spellEnd"/>
      <w:r w:rsidRPr="006561F8">
        <w:t xml:space="preserve"> Active </w:t>
      </w:r>
      <w:proofErr w:type="spellStart"/>
      <w:r w:rsidRPr="006561F8">
        <w:t>Ingredient</w:t>
      </w:r>
      <w:proofErr w:type="spellEnd"/>
      <w:r w:rsidRPr="006561F8">
        <w:t xml:space="preserve">, </w:t>
      </w:r>
      <w:proofErr w:type="spellStart"/>
      <w:r w:rsidRPr="006561F8">
        <w:t>Glyphosate</w:t>
      </w:r>
      <w:proofErr w:type="spellEnd"/>
      <w:r w:rsidRPr="006561F8">
        <w:t xml:space="preserve">, for </w:t>
      </w:r>
      <w:proofErr w:type="spellStart"/>
      <w:r w:rsidRPr="006561F8">
        <w:t>Humans</w:t>
      </w:r>
      <w:proofErr w:type="spellEnd"/>
      <w:r w:rsidRPr="006561F8">
        <w:t xml:space="preserve">” asiakirjan laatijoista ja tutkimustulosten paikkansapitävyydestä esiin nousseiden huolenaiheiden </w:t>
      </w:r>
      <w:r w:rsidRPr="006561F8">
        <w:lastRenderedPageBreak/>
        <w:t>takia, jotka liittyvät asiakirjan laatijoiden antamiin vääriin tietoihin, tutkimuksen rahoittajaan sekä asiakirjan laatijoiden mahdollisiin eturistiriitoihin</w:t>
      </w:r>
      <w:r w:rsidRPr="006561F8">
        <w:rPr>
          <w:rStyle w:val="FootnoteReference"/>
        </w:rPr>
        <w:footnoteReference w:id="9"/>
      </w:r>
      <w:r w:rsidRPr="006561F8">
        <w:t>;</w:t>
      </w:r>
    </w:p>
    <w:p w14:paraId="5218F186" w14:textId="77777777" w:rsidR="003A5D20" w:rsidRPr="006561F8" w:rsidRDefault="003A5D20" w:rsidP="006561F8">
      <w:pPr>
        <w:widowControl/>
        <w:spacing w:after="240"/>
        <w:ind w:left="567" w:hanging="567"/>
      </w:pPr>
      <w:r w:rsidRPr="006561F8">
        <w:t>I.</w:t>
      </w:r>
      <w:r w:rsidRPr="006561F8">
        <w:tab/>
        <w:t>ottaa huomioon, että biologiseen monimuotoisuuteen, maaperän terveyteen, pölyttäjiin ja muihin kuin kohdeorganismeihin kohdistuvien mahdollisten haitallisten vaikutusten riippumatonta seurantaa ja valvontaa ei ole edelleenkään varmistettu riittävällä tavalla;</w:t>
      </w:r>
    </w:p>
    <w:p w14:paraId="21F68603" w14:textId="77777777" w:rsidR="003A5D20" w:rsidRPr="006561F8" w:rsidRDefault="003A5D20" w:rsidP="007C7A13">
      <w:pPr>
        <w:widowControl/>
        <w:spacing w:after="240"/>
        <w:ind w:left="567" w:hanging="567"/>
      </w:pPr>
      <w:r w:rsidRPr="006561F8">
        <w:t>J.</w:t>
      </w:r>
      <w:r w:rsidRPr="006561F8">
        <w:tab/>
        <w:t>katsoo, että tapauksissa, joissa tieteellistä varmuutta ei ole, olisi sovellettava Euroopan unionin toiminnasta tehdyn sopimuksen 191 artiklassa tarkoitettua ennalta varautumisen periaatetta;</w:t>
      </w:r>
    </w:p>
    <w:p w14:paraId="097FDCE3" w14:textId="77777777" w:rsidR="003A5D20" w:rsidRPr="006561F8" w:rsidRDefault="003A5D20" w:rsidP="007C7A13">
      <w:pPr>
        <w:widowControl/>
        <w:spacing w:after="240"/>
        <w:ind w:left="567" w:hanging="567"/>
      </w:pPr>
      <w:r w:rsidRPr="006561F8">
        <w:t>K.</w:t>
      </w:r>
      <w:r w:rsidRPr="006561F8">
        <w:tab/>
        <w:t>ottaa huomioon, että asetuksen (EY) N:o 1829/2003 mukaan muuntogeeniset elintarvikkeet tai rehut eivät saa vaikuttaa haitallisesti ihmisten terveyteen, eläinten terveyteen tai ympäristöön;</w:t>
      </w:r>
    </w:p>
    <w:p w14:paraId="0949A1FF" w14:textId="77777777" w:rsidR="003A5D20" w:rsidRPr="006561F8" w:rsidRDefault="003A5D20" w:rsidP="006561F8">
      <w:pPr>
        <w:widowControl/>
        <w:spacing w:after="240"/>
        <w:ind w:left="567" w:hanging="567"/>
      </w:pPr>
      <w:r w:rsidRPr="006561F8">
        <w:t>L.</w:t>
      </w:r>
      <w:r w:rsidRPr="006561F8">
        <w:tab/>
        <w:t>toteaa, että unionin lupa muuntogeeniselle soijalle ei olisi torjunta-aineiden vähentämistä koskevien kansainvälisten sitoumusten mukainen</w:t>
      </w:r>
      <w:r w:rsidRPr="006561F8">
        <w:rPr>
          <w:rStyle w:val="FootnoteReference"/>
        </w:rPr>
        <w:footnoteReference w:id="10"/>
      </w:r>
      <w:r w:rsidRPr="006561F8">
        <w:t xml:space="preserve">, kun otetaan huomioon ihmisten, eläinten ja ympäristön lisääntynyt altistuminen glyfosaatille ja </w:t>
      </w:r>
      <w:proofErr w:type="spellStart"/>
      <w:r w:rsidRPr="006561F8">
        <w:t>glufosinaatille</w:t>
      </w:r>
      <w:proofErr w:type="spellEnd"/>
      <w:r w:rsidRPr="006561F8">
        <w:t xml:space="preserve"> maissa, joissa viljellään kyseistä torjunta-aineita sietävää muuntogeenistä kasvia, sekä siihen mahdollisesti liittyvät vakavat terveysvaikutukset;</w:t>
      </w:r>
    </w:p>
    <w:p w14:paraId="68D86995" w14:textId="77777777" w:rsidR="003A5D20" w:rsidRPr="006561F8" w:rsidRDefault="003A5D20" w:rsidP="007C7A13">
      <w:pPr>
        <w:widowControl/>
        <w:spacing w:after="240"/>
        <w:ind w:left="567" w:hanging="567"/>
      </w:pPr>
      <w:r w:rsidRPr="006561F8">
        <w:t>M.</w:t>
      </w:r>
      <w:r w:rsidRPr="006561F8">
        <w:tab/>
        <w:t>toteaa, että ehdotus komission täytäntöönpanopäätökseksi sallisi sen, että unioniin tuodaan tuotteita, jotka eivät ole unionin viljelijöiden noudattamien normien mukaisia, mikä asettaisi unionin viljelijät epäedulliseen kilpailuasemaan;</w:t>
      </w:r>
    </w:p>
    <w:p w14:paraId="515770F0" w14:textId="77777777" w:rsidR="003A5D20" w:rsidRPr="006561F8" w:rsidRDefault="003A5D20" w:rsidP="007C7A13">
      <w:pPr>
        <w:widowControl/>
        <w:spacing w:after="240"/>
        <w:ind w:left="567" w:hanging="567"/>
      </w:pPr>
      <w:r w:rsidRPr="006561F8">
        <w:t>N.</w:t>
      </w:r>
      <w:r w:rsidRPr="006561F8">
        <w:tab/>
        <w:t>ottaa huomioon, että EU:n maatalouden tulevaisuudesta käydyn strategisen vuoropuhelun päätelmissä</w:t>
      </w:r>
      <w:r w:rsidRPr="006561F8">
        <w:rPr>
          <w:rStyle w:val="FootnoteReference"/>
        </w:rPr>
        <w:footnoteReference w:id="11"/>
      </w:r>
      <w:r w:rsidRPr="006561F8">
        <w:t xml:space="preserve"> kehotetaan komissiota arvioimaan uudelleen lähestymistapaansa tuotavien ja vietävien maatalouselintarvikkeiden markkinoille pääsyyn, kun otetaan huomioon unionin ja sen kauppakumppanien toisistaan poikkeavien normien aiheuttama haaste; ottaa huomioon, että maailmanlaajuisesti oikeudenmukaisemmat kauppasuhteet, jotka ovat johdonmukaisia terveellistä ympäristöä koskevien tavoitteiden kanssa, olivat yksi viljelijöiden keskeisistä vaatimuksista vuosien 2023, 2024 ja 2025 mielenosoituksissa;</w:t>
      </w:r>
    </w:p>
    <w:p w14:paraId="2294920A" w14:textId="77777777" w:rsidR="003A5D20" w:rsidRPr="006561F8" w:rsidRDefault="003A5D20" w:rsidP="007C7A13">
      <w:pPr>
        <w:widowControl/>
        <w:spacing w:after="240"/>
        <w:ind w:left="567" w:hanging="567"/>
      </w:pPr>
      <w:r w:rsidRPr="006561F8">
        <w:t>O.</w:t>
      </w:r>
      <w:r w:rsidRPr="006561F8">
        <w:tab/>
        <w:t>toteaa korostaneensa toistuvasti, että jatkuvan demokratiavajeen korjaamiseksi komission ei pitäisi antaa lupaa muuntogeenisille organismeille silloin, kun jäsenvaltiot eivät ole saavuttaneet määräenemmistöä pysyvässä kasvi-, eläin-, elintarvike- ja rehukomiteassa tai muutoksenhakukomiteassa;</w:t>
      </w:r>
    </w:p>
    <w:p w14:paraId="38B33DDC" w14:textId="77777777" w:rsidR="003A5D20" w:rsidRPr="006561F8" w:rsidRDefault="003A5D20" w:rsidP="006561F8">
      <w:pPr>
        <w:widowControl/>
        <w:spacing w:after="240"/>
        <w:ind w:left="567" w:hanging="567"/>
      </w:pPr>
      <w:r w:rsidRPr="006561F8">
        <w:t>P.</w:t>
      </w:r>
      <w:r w:rsidRPr="006561F8">
        <w:tab/>
        <w:t>toteaa, että komissio jatkaa lupien myöntämistä muuntogeenisille organismeille, vaikka se itse myöntää demokraattisuuden puutteen, ja huolimatta jäsenvaltioiden tuen puuttumisesta ja parlamentin vastustuksesta;</w:t>
      </w:r>
    </w:p>
    <w:p w14:paraId="4F58EB8D" w14:textId="77777777" w:rsidR="003A5D20" w:rsidRPr="006561F8" w:rsidRDefault="003A5D20" w:rsidP="007C7A13">
      <w:pPr>
        <w:widowControl/>
        <w:spacing w:after="240"/>
        <w:ind w:left="567" w:hanging="567"/>
      </w:pPr>
      <w:r w:rsidRPr="006561F8">
        <w:lastRenderedPageBreak/>
        <w:t>Q.</w:t>
      </w:r>
      <w:r w:rsidRPr="006561F8">
        <w:tab/>
        <w:t>ottaa huomioon, että yhteinen terveys -mallissa edellytetään ihmisten, eläinten, kasvien ja ympäristön terveyden keskinäisen riippuvuuden huomioon ottamista arvioitaessa muuntogeenisten organismien kestävyyttä ja turvallisuutta pitkällä aikavälillä;</w:t>
      </w:r>
    </w:p>
    <w:p w14:paraId="215156C4" w14:textId="401418E6" w:rsidR="003A5D20" w:rsidRPr="006561F8" w:rsidRDefault="003A5D20" w:rsidP="007C7A13">
      <w:pPr>
        <w:widowControl/>
        <w:spacing w:after="240"/>
        <w:ind w:left="567" w:hanging="567"/>
      </w:pPr>
      <w:r w:rsidRPr="006561F8">
        <w:t>R.</w:t>
      </w:r>
      <w:r w:rsidRPr="006561F8">
        <w:tab/>
        <w:t xml:space="preserve">toteaa, että tämä päätöslauselma on </w:t>
      </w:r>
      <w:r w:rsidR="007C7A13" w:rsidRPr="006561F8">
        <w:t xml:space="preserve">lähes </w:t>
      </w:r>
      <w:r w:rsidRPr="006561F8">
        <w:t xml:space="preserve">sadas Euroopan parlamentin antama päätöslauselma, jossa vastustetaan muuntogeenisten viljelykasvien tuonnin sallimista; </w:t>
      </w:r>
    </w:p>
    <w:p w14:paraId="487A6F2D" w14:textId="77777777" w:rsidR="003A5D20" w:rsidRPr="006561F8" w:rsidRDefault="003A5D20" w:rsidP="007C7A13">
      <w:pPr>
        <w:pStyle w:val="NormalHanging12a"/>
        <w:widowControl/>
      </w:pPr>
      <w:r w:rsidRPr="006561F8">
        <w:t>1.</w:t>
      </w:r>
      <w:r w:rsidRPr="006561F8">
        <w:tab/>
        <w:t>katsoo, että ehdotus komission täytäntöönpanopäätökseksi ylittää asetuksessa (EY) N:o 1829/2003 säädetyn täytäntöönpanovallan;</w:t>
      </w:r>
    </w:p>
    <w:p w14:paraId="1C07E040" w14:textId="77777777" w:rsidR="003A5D20" w:rsidRPr="006561F8" w:rsidRDefault="003A5D20" w:rsidP="007C7A13">
      <w:pPr>
        <w:pStyle w:val="NormalHanging12a"/>
        <w:widowControl/>
      </w:pPr>
      <w:bookmarkStart w:id="9" w:name="_Hlk218675825"/>
      <w:r w:rsidRPr="006561F8">
        <w:t>2.</w:t>
      </w:r>
      <w:r w:rsidRPr="006561F8">
        <w:tab/>
        <w:t>katsoo, että ehdotus komission täytäntöönpanopäätökseksi ei ole unionin oikeuden mukainen, sillä se on yhteensopimaton asetuksen (EY) N:o 1829/2003 tavoitteen kanssa; toteaa, että kyseisen asetuksen tavoitteena on Euroopan parlamentin ja neuvoston asetuksessa (EY) N:o 178/2002</w:t>
      </w:r>
      <w:r w:rsidRPr="006561F8">
        <w:rPr>
          <w:rStyle w:val="FootnoteReference"/>
        </w:rPr>
        <w:footnoteReference w:id="12"/>
      </w:r>
      <w:r w:rsidRPr="006561F8">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 </w:t>
      </w:r>
    </w:p>
    <w:bookmarkEnd w:id="9"/>
    <w:p w14:paraId="7532B4FD" w14:textId="77777777" w:rsidR="003A5D20" w:rsidRPr="006561F8" w:rsidRDefault="003A5D20" w:rsidP="007C7A13">
      <w:pPr>
        <w:pStyle w:val="NormalHanging12a"/>
        <w:widowControl/>
      </w:pPr>
      <w:r w:rsidRPr="006561F8">
        <w:t>3.</w:t>
      </w:r>
      <w:r w:rsidRPr="006561F8">
        <w:tab/>
        <w:t>pyytää komissiota peruuttamaan ehdotuksen täytäntöönpanopäätökseksi;</w:t>
      </w:r>
    </w:p>
    <w:p w14:paraId="35564187" w14:textId="77777777" w:rsidR="003A5D20" w:rsidRPr="006561F8" w:rsidRDefault="003A5D20" w:rsidP="007C7A13">
      <w:pPr>
        <w:widowControl/>
        <w:spacing w:after="240"/>
        <w:ind w:left="567" w:hanging="567"/>
      </w:pPr>
      <w:r w:rsidRPr="006561F8">
        <w:t>4.</w:t>
      </w:r>
      <w:r w:rsidRPr="006561F8">
        <w:tab/>
        <w:t>pyytää komissiota olemaan myöntämättä lupaa muuntogeeniselle soijalle, koska biologiseen monimuotoisuuteen, elintarviketurvallisuuteen, viljelijöiden toimeentuloon ja eläinten terveyteen kohdistuvista pitkän aikavälin vaikutuksista ei ole riittävästi yhteinen terveys -mallin edellyttämää näyttöä;</w:t>
      </w:r>
    </w:p>
    <w:p w14:paraId="491C9602" w14:textId="77777777" w:rsidR="003A5D20" w:rsidRPr="006561F8" w:rsidRDefault="003A5D20" w:rsidP="007C7A13">
      <w:pPr>
        <w:widowControl/>
        <w:spacing w:after="240"/>
        <w:ind w:left="567" w:hanging="567"/>
      </w:pPr>
      <w:bookmarkStart w:id="10" w:name="_Hlk210900300"/>
      <w:r w:rsidRPr="006561F8">
        <w:t>5.</w:t>
      </w:r>
      <w:r w:rsidRPr="006561F8">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bookmarkEnd w:id="10"/>
      <w:r w:rsidRPr="006561F8">
        <w:t>;</w:t>
      </w:r>
    </w:p>
    <w:p w14:paraId="68B3ACE1" w14:textId="77777777" w:rsidR="003A5D20" w:rsidRPr="006561F8" w:rsidRDefault="003A5D20" w:rsidP="007C7A13">
      <w:pPr>
        <w:widowControl/>
        <w:spacing w:after="240"/>
        <w:ind w:left="567" w:hanging="567"/>
      </w:pPr>
      <w:bookmarkStart w:id="11" w:name="_Hlk210900241"/>
      <w:r w:rsidRPr="006561F8">
        <w:t>6.</w:t>
      </w:r>
      <w:r w:rsidRPr="006561F8">
        <w:tab/>
        <w:t xml:space="preserve">korostaa tässä yhteydessä, että luvan myöntäminen minkä tahansa sellaisen muuntogeenisen kasvin -tuonnille elintarvikkeeksi, rehuksi tai tuotteissa käytettäväksi, josta on tehty sietokykyinen unionissa kielletyille rikkakasvien torjunta-aineille, kuten </w:t>
      </w:r>
      <w:proofErr w:type="spellStart"/>
      <w:r w:rsidRPr="006561F8">
        <w:t>glufosinaatille</w:t>
      </w:r>
      <w:proofErr w:type="spellEnd"/>
      <w:r w:rsidRPr="006561F8">
        <w:t>, on ristiriidassa muun muassa biologista monimuotoisuutta koskevasta YK:n yleissopimuksesta ja YK:n kestävän kehityksen tavoitteista, mukaan lukien Kunmingin-Montrealin maailmanlaajuinen luonnon monimuotoisuuskehys, johtuvien unionin kansainvälisten sitoumusten kanssa ja johtaa unionin viljelijöiden kannalta epätasapuolisiin toimintaedellytyksiin;</w:t>
      </w:r>
      <w:bookmarkEnd w:id="11"/>
    </w:p>
    <w:p w14:paraId="1D13EF9D" w14:textId="65A40508" w:rsidR="00E365E1" w:rsidRPr="006561F8" w:rsidRDefault="003A5D20" w:rsidP="007C7A13">
      <w:pPr>
        <w:widowControl/>
        <w:spacing w:after="240"/>
        <w:ind w:left="567" w:hanging="567"/>
      </w:pPr>
      <w:r w:rsidRPr="006561F8">
        <w:t>7.</w:t>
      </w:r>
      <w:r w:rsidRPr="006561F8">
        <w:tab/>
        <w:t>kehottaa puhemiestä välittämään tämän päätöslauselman neuvostolle ja komissiolle sekä jäsenvaltioiden hallituksille ja parlamenteille.</w:t>
      </w:r>
    </w:p>
    <w:sectPr w:rsidR="00E365E1" w:rsidRPr="006561F8" w:rsidSect="00225F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3F3E8" w14:textId="77777777" w:rsidR="008974CB" w:rsidRPr="00225FAC" w:rsidRDefault="008974CB">
      <w:r w:rsidRPr="00225FAC">
        <w:separator/>
      </w:r>
    </w:p>
  </w:endnote>
  <w:endnote w:type="continuationSeparator" w:id="0">
    <w:p w14:paraId="7B4BB384" w14:textId="77777777" w:rsidR="008974CB" w:rsidRPr="00225FAC" w:rsidRDefault="008974CB">
      <w:r w:rsidRPr="00225F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19EB2" w14:textId="77777777" w:rsidR="008974CB" w:rsidRPr="00225FAC" w:rsidRDefault="008974CB">
      <w:r w:rsidRPr="00225FAC">
        <w:separator/>
      </w:r>
    </w:p>
  </w:footnote>
  <w:footnote w:type="continuationSeparator" w:id="0">
    <w:p w14:paraId="077E95CF" w14:textId="77777777" w:rsidR="008974CB" w:rsidRPr="00225FAC" w:rsidRDefault="008974CB">
      <w:r w:rsidRPr="00225FAC">
        <w:continuationSeparator/>
      </w:r>
    </w:p>
  </w:footnote>
  <w:footnote w:id="1">
    <w:p w14:paraId="1916B996" w14:textId="65D87965" w:rsidR="003A5D20" w:rsidRPr="000B6F87" w:rsidRDefault="003A5D20" w:rsidP="00225FAC">
      <w:pPr>
        <w:pStyle w:val="FootnoteText"/>
        <w:ind w:left="567" w:hanging="567"/>
        <w:rPr>
          <w:sz w:val="24"/>
          <w:lang w:val="fr-BE"/>
        </w:rPr>
      </w:pPr>
      <w:r w:rsidRPr="00225FAC">
        <w:rPr>
          <w:rStyle w:val="FootnoteReference"/>
          <w:sz w:val="24"/>
          <w:lang w:val="fi-FI"/>
        </w:rPr>
        <w:footnoteRef/>
      </w:r>
      <w:r w:rsidR="00225FAC" w:rsidRPr="000B6F87">
        <w:rPr>
          <w:sz w:val="24"/>
          <w:lang w:val="fr-BE"/>
        </w:rPr>
        <w:t xml:space="preserve"> </w:t>
      </w:r>
      <w:r w:rsidR="00225FAC" w:rsidRPr="000B6F87">
        <w:rPr>
          <w:sz w:val="24"/>
          <w:lang w:val="fr-BE"/>
        </w:rPr>
        <w:tab/>
      </w:r>
      <w:r w:rsidRPr="000B6F87">
        <w:rPr>
          <w:sz w:val="24"/>
          <w:lang w:val="fr-BE"/>
        </w:rPr>
        <w:t xml:space="preserve">EUVL L 268, 18.10.2003, s. 1, </w:t>
      </w:r>
      <w:proofErr w:type="gramStart"/>
      <w:r w:rsidRPr="000B6F87">
        <w:rPr>
          <w:sz w:val="24"/>
          <w:lang w:val="fr-BE"/>
        </w:rPr>
        <w:t>ELI:</w:t>
      </w:r>
      <w:proofErr w:type="gramEnd"/>
      <w:r w:rsidRPr="000B6F87">
        <w:rPr>
          <w:sz w:val="24"/>
          <w:lang w:val="fr-BE"/>
        </w:rPr>
        <w:t> </w:t>
      </w:r>
      <w:hyperlink r:id="rId1" w:history="1">
        <w:r w:rsidRPr="000B6F87">
          <w:rPr>
            <w:rStyle w:val="Hyperlink"/>
            <w:sz w:val="24"/>
            <w:lang w:val="fr-BE"/>
          </w:rPr>
          <w:t>http://data.europa.eu/eli/reg/2003/1829/oj</w:t>
        </w:r>
      </w:hyperlink>
      <w:r w:rsidRPr="000B6F87">
        <w:rPr>
          <w:sz w:val="24"/>
          <w:u w:val="single"/>
          <w:lang w:val="fr-BE"/>
        </w:rPr>
        <w:t>.</w:t>
      </w:r>
    </w:p>
  </w:footnote>
  <w:footnote w:id="2">
    <w:p w14:paraId="17DA80F1" w14:textId="0470F354" w:rsidR="003A5D20" w:rsidRPr="000B6F87" w:rsidRDefault="003A5D20" w:rsidP="00225FAC">
      <w:pPr>
        <w:pStyle w:val="FootnoteText"/>
        <w:ind w:left="567" w:hanging="567"/>
        <w:rPr>
          <w:sz w:val="24"/>
          <w:lang w:val="fr-BE"/>
        </w:rPr>
      </w:pPr>
      <w:r w:rsidRPr="00225FAC">
        <w:rPr>
          <w:rStyle w:val="FootnoteReference"/>
          <w:sz w:val="24"/>
          <w:lang w:val="fi-FI"/>
        </w:rPr>
        <w:footnoteRef/>
      </w:r>
      <w:r w:rsidR="00225FAC" w:rsidRPr="000B6F87">
        <w:rPr>
          <w:sz w:val="24"/>
          <w:lang w:val="fr-BE"/>
        </w:rPr>
        <w:t xml:space="preserve"> </w:t>
      </w:r>
      <w:r w:rsidR="00225FAC" w:rsidRPr="000B6F87">
        <w:rPr>
          <w:sz w:val="24"/>
          <w:lang w:val="fr-BE"/>
        </w:rPr>
        <w:tab/>
      </w:r>
      <w:r w:rsidRPr="000B6F87">
        <w:rPr>
          <w:sz w:val="24"/>
          <w:lang w:val="fr-BE"/>
        </w:rPr>
        <w:t xml:space="preserve">EUVL L 55, 28.2.2011, s. 13, </w:t>
      </w:r>
      <w:proofErr w:type="gramStart"/>
      <w:r w:rsidRPr="000B6F87">
        <w:rPr>
          <w:sz w:val="24"/>
          <w:lang w:val="fr-BE"/>
        </w:rPr>
        <w:t>ELI:</w:t>
      </w:r>
      <w:proofErr w:type="gramEnd"/>
      <w:r w:rsidRPr="000B6F87">
        <w:rPr>
          <w:sz w:val="24"/>
          <w:lang w:val="fr-BE"/>
        </w:rPr>
        <w:t> </w:t>
      </w:r>
      <w:hyperlink r:id="rId2" w:history="1">
        <w:r w:rsidRPr="000B6F87">
          <w:rPr>
            <w:rStyle w:val="Hyperlink"/>
            <w:sz w:val="24"/>
            <w:lang w:val="fr-BE"/>
          </w:rPr>
          <w:t>http://data.europa.eu/eli/reg/2011/182/oj</w:t>
        </w:r>
      </w:hyperlink>
      <w:r w:rsidRPr="000B6F87">
        <w:rPr>
          <w:rStyle w:val="Hyperlink"/>
          <w:sz w:val="24"/>
          <w:lang w:val="fr-BE"/>
        </w:rPr>
        <w:t>.</w:t>
      </w:r>
    </w:p>
  </w:footnote>
  <w:footnote w:id="3">
    <w:p w14:paraId="34916209" w14:textId="489B3A9F" w:rsidR="003A5D20" w:rsidRPr="000B6F87" w:rsidRDefault="003A5D20" w:rsidP="00225FAC">
      <w:pPr>
        <w:pStyle w:val="FootnoteText"/>
        <w:ind w:left="567" w:hanging="567"/>
        <w:rPr>
          <w:sz w:val="24"/>
          <w:lang w:val="fr-BE"/>
        </w:rPr>
      </w:pPr>
      <w:r w:rsidRPr="00225FAC">
        <w:rPr>
          <w:rStyle w:val="FootnoteReference"/>
          <w:sz w:val="24"/>
          <w:lang w:val="fi-FI"/>
        </w:rPr>
        <w:footnoteRef/>
      </w:r>
      <w:r w:rsidR="00225FAC" w:rsidRPr="000B6F87">
        <w:rPr>
          <w:sz w:val="24"/>
          <w:lang w:val="fr-BE"/>
        </w:rPr>
        <w:t xml:space="preserve"> </w:t>
      </w:r>
      <w:r w:rsidR="00225FAC" w:rsidRPr="000B6F87">
        <w:rPr>
          <w:sz w:val="24"/>
          <w:lang w:val="fr-BE"/>
        </w:rPr>
        <w:tab/>
      </w:r>
      <w:proofErr w:type="spellStart"/>
      <w:r w:rsidRPr="000B6F87">
        <w:rPr>
          <w:sz w:val="24"/>
          <w:lang w:val="fr-BE"/>
        </w:rPr>
        <w:t>Muuntogeenisiä</w:t>
      </w:r>
      <w:proofErr w:type="spellEnd"/>
      <w:r w:rsidRPr="000B6F87">
        <w:rPr>
          <w:sz w:val="24"/>
          <w:lang w:val="fr-BE"/>
        </w:rPr>
        <w:t xml:space="preserve"> </w:t>
      </w:r>
      <w:proofErr w:type="spellStart"/>
      <w:r w:rsidRPr="000B6F87">
        <w:rPr>
          <w:sz w:val="24"/>
          <w:lang w:val="fr-BE"/>
        </w:rPr>
        <w:t>organismeja</w:t>
      </w:r>
      <w:proofErr w:type="spellEnd"/>
      <w:r w:rsidRPr="000B6F87">
        <w:rPr>
          <w:sz w:val="24"/>
          <w:lang w:val="fr-BE"/>
        </w:rPr>
        <w:t xml:space="preserve"> </w:t>
      </w:r>
      <w:proofErr w:type="spellStart"/>
      <w:r w:rsidRPr="000B6F87">
        <w:rPr>
          <w:sz w:val="24"/>
          <w:lang w:val="fr-BE"/>
        </w:rPr>
        <w:t>käsittelevän</w:t>
      </w:r>
      <w:proofErr w:type="spellEnd"/>
      <w:r w:rsidRPr="000B6F87">
        <w:rPr>
          <w:sz w:val="24"/>
          <w:lang w:val="fr-BE"/>
        </w:rPr>
        <w:t xml:space="preserve"> </w:t>
      </w:r>
      <w:proofErr w:type="spellStart"/>
      <w:r w:rsidRPr="000B6F87">
        <w:rPr>
          <w:sz w:val="24"/>
          <w:lang w:val="fr-BE"/>
        </w:rPr>
        <w:t>EFSAn</w:t>
      </w:r>
      <w:proofErr w:type="spellEnd"/>
      <w:r w:rsidRPr="000B6F87">
        <w:rPr>
          <w:sz w:val="24"/>
          <w:lang w:val="fr-BE"/>
        </w:rPr>
        <w:t xml:space="preserve"> </w:t>
      </w:r>
      <w:proofErr w:type="spellStart"/>
      <w:r w:rsidRPr="000B6F87">
        <w:rPr>
          <w:sz w:val="24"/>
          <w:lang w:val="fr-BE"/>
        </w:rPr>
        <w:t>tiedelautakunnan</w:t>
      </w:r>
      <w:proofErr w:type="spellEnd"/>
      <w:r w:rsidRPr="000B6F87">
        <w:rPr>
          <w:sz w:val="24"/>
          <w:lang w:val="fr-BE"/>
        </w:rPr>
        <w:t xml:space="preserve"> </w:t>
      </w:r>
      <w:proofErr w:type="spellStart"/>
      <w:r w:rsidRPr="000B6F87">
        <w:rPr>
          <w:sz w:val="24"/>
          <w:lang w:val="fr-BE"/>
        </w:rPr>
        <w:t>tieteellinen</w:t>
      </w:r>
      <w:proofErr w:type="spellEnd"/>
      <w:r w:rsidRPr="000B6F87">
        <w:rPr>
          <w:sz w:val="24"/>
          <w:lang w:val="fr-BE"/>
        </w:rPr>
        <w:t xml:space="preserve"> </w:t>
      </w:r>
      <w:proofErr w:type="spellStart"/>
      <w:r w:rsidRPr="000B6F87">
        <w:rPr>
          <w:sz w:val="24"/>
          <w:lang w:val="fr-BE"/>
        </w:rPr>
        <w:t>lausunto</w:t>
      </w:r>
      <w:proofErr w:type="spellEnd"/>
      <w:r w:rsidRPr="000B6F87">
        <w:rPr>
          <w:sz w:val="24"/>
          <w:lang w:val="fr-BE"/>
        </w:rPr>
        <w:t xml:space="preserve"> ”</w:t>
      </w:r>
      <w:proofErr w:type="spellStart"/>
      <w:r w:rsidRPr="000B6F87">
        <w:rPr>
          <w:sz w:val="24"/>
          <w:lang w:val="fr-BE"/>
        </w:rPr>
        <w:t>Assessment</w:t>
      </w:r>
      <w:proofErr w:type="spellEnd"/>
      <w:r w:rsidRPr="000B6F87">
        <w:rPr>
          <w:sz w:val="24"/>
          <w:lang w:val="fr-BE"/>
        </w:rPr>
        <w:t xml:space="preserve"> of </w:t>
      </w:r>
      <w:proofErr w:type="spellStart"/>
      <w:r w:rsidRPr="000B6F87">
        <w:rPr>
          <w:sz w:val="24"/>
          <w:lang w:val="fr-BE"/>
        </w:rPr>
        <w:t>genetically</w:t>
      </w:r>
      <w:proofErr w:type="spellEnd"/>
      <w:r w:rsidRPr="000B6F87">
        <w:rPr>
          <w:sz w:val="24"/>
          <w:lang w:val="fr-BE"/>
        </w:rPr>
        <w:t xml:space="preserve"> </w:t>
      </w:r>
      <w:proofErr w:type="spellStart"/>
      <w:r w:rsidRPr="000B6F87">
        <w:rPr>
          <w:sz w:val="24"/>
          <w:lang w:val="fr-BE"/>
        </w:rPr>
        <w:t>modified</w:t>
      </w:r>
      <w:proofErr w:type="spellEnd"/>
      <w:r w:rsidRPr="000B6F87">
        <w:rPr>
          <w:sz w:val="24"/>
          <w:lang w:val="fr-BE"/>
        </w:rPr>
        <w:t xml:space="preserve"> </w:t>
      </w:r>
      <w:proofErr w:type="spellStart"/>
      <w:r w:rsidRPr="000B6F87">
        <w:rPr>
          <w:sz w:val="24"/>
          <w:lang w:val="fr-BE"/>
        </w:rPr>
        <w:t>soybean</w:t>
      </w:r>
      <w:proofErr w:type="spellEnd"/>
      <w:r w:rsidRPr="000B6F87">
        <w:rPr>
          <w:sz w:val="24"/>
          <w:lang w:val="fr-BE"/>
        </w:rPr>
        <w:t xml:space="preserve"> DBN9004 (application EFSA-GMO-BE-2019-165)”, EFSA Journal </w:t>
      </w:r>
      <w:proofErr w:type="gramStart"/>
      <w:r w:rsidRPr="000B6F87">
        <w:rPr>
          <w:sz w:val="24"/>
          <w:lang w:val="fr-BE"/>
        </w:rPr>
        <w:t>2025;</w:t>
      </w:r>
      <w:proofErr w:type="gramEnd"/>
      <w:r w:rsidRPr="000B6F87">
        <w:rPr>
          <w:sz w:val="24"/>
          <w:lang w:val="fr-BE"/>
        </w:rPr>
        <w:t xml:space="preserve">23(7):e9503, </w:t>
      </w:r>
      <w:hyperlink r:id="rId3" w:history="1">
        <w:r w:rsidRPr="000B6F87">
          <w:rPr>
            <w:rStyle w:val="Hyperlink"/>
            <w:sz w:val="24"/>
            <w:lang w:val="fr-BE"/>
          </w:rPr>
          <w:t>https://doi.org/10.2903/j.efsa.2025.9503</w:t>
        </w:r>
      </w:hyperlink>
      <w:r w:rsidRPr="000B6F87">
        <w:rPr>
          <w:sz w:val="24"/>
          <w:lang w:val="fr-BE"/>
        </w:rPr>
        <w:t xml:space="preserve">. </w:t>
      </w:r>
    </w:p>
  </w:footnote>
  <w:footnote w:id="4">
    <w:p w14:paraId="486ACDDC" w14:textId="0D020ABE" w:rsidR="003A5D20" w:rsidRPr="00225FAC" w:rsidRDefault="003A5D20" w:rsidP="00225FAC">
      <w:pPr>
        <w:pStyle w:val="FootnoteText"/>
        <w:ind w:left="567" w:hanging="567"/>
        <w:rPr>
          <w:sz w:val="24"/>
          <w:vertAlign w:val="superscript"/>
          <w:lang w:val="fi-FI"/>
        </w:rPr>
      </w:pPr>
      <w:r w:rsidRPr="00225FAC">
        <w:rPr>
          <w:rStyle w:val="FootnoteReference"/>
          <w:sz w:val="24"/>
          <w:lang w:val="fi-FI"/>
        </w:rPr>
        <w:footnoteRef/>
      </w:r>
      <w:r w:rsidR="00225FAC" w:rsidRPr="00225FAC">
        <w:rPr>
          <w:sz w:val="24"/>
          <w:lang w:val="fi-FI"/>
        </w:rPr>
        <w:t xml:space="preserve"> </w:t>
      </w:r>
      <w:r w:rsidR="00225FAC" w:rsidRPr="00225FAC">
        <w:rPr>
          <w:sz w:val="24"/>
          <w:lang w:val="fi-FI"/>
        </w:rPr>
        <w:tab/>
      </w:r>
      <w:r w:rsidRPr="00225FAC">
        <w:rPr>
          <w:sz w:val="24"/>
          <w:lang w:val="fi-FI"/>
        </w:rPr>
        <w:t>Kahdeksannella vaalikaudella parlamentti hyväksyi 36 päätöslauselmaa ja yhdeksännellä vaalikaudella 38 päätöslauselmaa, joissa vastustettiin lupien myöntämistä muuntogeenisille organismeille. Lisäksi parlamentti on hyväksynyt kymmenennellä vaalikaudella seuraavat päätöslauselmat:</w:t>
      </w:r>
    </w:p>
    <w:p w14:paraId="44683B8D" w14:textId="637AE9AA"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4" w:history="1">
        <w:r w:rsidR="003A5D20" w:rsidRPr="00225FAC">
          <w:rPr>
            <w:rStyle w:val="Hyperlink"/>
            <w:sz w:val="24"/>
            <w:lang w:val="fi-FI"/>
          </w:rPr>
          <w:t>http://data.europa.eu/eli/C/2025/1797/oj</w:t>
        </w:r>
      </w:hyperlink>
      <w:r w:rsidR="003A5D20" w:rsidRPr="00225FAC">
        <w:rPr>
          <w:sz w:val="24"/>
          <w:lang w:val="fi-FI"/>
        </w:rPr>
        <w:t>).</w:t>
      </w:r>
    </w:p>
    <w:p w14:paraId="6DC166C3" w14:textId="7D6313F1" w:rsidR="003A5D20" w:rsidRPr="00225FAC" w:rsidRDefault="00225FAC" w:rsidP="00225FAC">
      <w:pPr>
        <w:pStyle w:val="FootnoteText"/>
        <w:keepN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5" w:history="1">
        <w:r w:rsidR="003A5D20" w:rsidRPr="00225FAC">
          <w:rPr>
            <w:rStyle w:val="Hyperlink"/>
            <w:sz w:val="24"/>
            <w:lang w:val="fi-FI"/>
          </w:rPr>
          <w:t>http://data.europa.eu/eli/C/2025/1798/oj</w:t>
        </w:r>
      </w:hyperlink>
      <w:r w:rsidR="003A5D20" w:rsidRPr="00225FAC">
        <w:rPr>
          <w:sz w:val="24"/>
          <w:lang w:val="fi-FI"/>
        </w:rPr>
        <w:t>).</w:t>
      </w:r>
    </w:p>
    <w:p w14:paraId="2F903F2D" w14:textId="5D01080C"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6" w:history="1">
        <w:r w:rsidR="003A5D20" w:rsidRPr="00225FAC">
          <w:rPr>
            <w:rStyle w:val="Hyperlink"/>
            <w:sz w:val="24"/>
            <w:lang w:val="fi-FI"/>
          </w:rPr>
          <w:t>http://data.europa.eu/eli/C/2025/1799/oj</w:t>
        </w:r>
      </w:hyperlink>
      <w:r w:rsidR="003A5D20" w:rsidRPr="00225FAC">
        <w:rPr>
          <w:sz w:val="24"/>
          <w:lang w:val="fi-FI"/>
        </w:rPr>
        <w:t>).</w:t>
      </w:r>
    </w:p>
    <w:p w14:paraId="4BD47066" w14:textId="340FDE4D"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7" w:history="1">
        <w:r w:rsidR="003A5D20" w:rsidRPr="00225FAC">
          <w:rPr>
            <w:rStyle w:val="Hyperlink"/>
            <w:sz w:val="24"/>
            <w:lang w:val="fi-FI"/>
          </w:rPr>
          <w:t>http://data.europa.eu/eli/C/2025/1800/oj</w:t>
        </w:r>
      </w:hyperlink>
      <w:r w:rsidR="003A5D20" w:rsidRPr="00225FAC">
        <w:rPr>
          <w:sz w:val="24"/>
          <w:lang w:val="fi-FI"/>
        </w:rPr>
        <w:t>).</w:t>
      </w:r>
    </w:p>
    <w:p w14:paraId="2FE8C4BC" w14:textId="5CF81379"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8" w:history="1">
        <w:r w:rsidR="003A5D20" w:rsidRPr="00225FAC">
          <w:rPr>
            <w:rStyle w:val="Hyperlink"/>
            <w:sz w:val="24"/>
            <w:lang w:val="fi-FI"/>
          </w:rPr>
          <w:t>http://data.europa.eu/eli/C/2025/1801/oj</w:t>
        </w:r>
      </w:hyperlink>
      <w:r w:rsidR="003A5D20" w:rsidRPr="00225FAC">
        <w:rPr>
          <w:sz w:val="24"/>
          <w:lang w:val="fi-FI"/>
        </w:rPr>
        <w:t>).</w:t>
      </w:r>
    </w:p>
    <w:p w14:paraId="0FD0254F" w14:textId="6C1E2ED8"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9" w:history="1">
        <w:r w:rsidR="003A5D20" w:rsidRPr="00225FAC">
          <w:rPr>
            <w:rStyle w:val="Hyperlink"/>
            <w:sz w:val="24"/>
            <w:lang w:val="fi-FI"/>
          </w:rPr>
          <w:t>http://data.europa.eu/eli/C/2025/1802/oj</w:t>
        </w:r>
      </w:hyperlink>
      <w:r w:rsidR="003A5D20" w:rsidRPr="00225FAC">
        <w:rPr>
          <w:sz w:val="24"/>
          <w:lang w:val="fi-FI"/>
        </w:rPr>
        <w:t>).</w:t>
      </w:r>
    </w:p>
    <w:p w14:paraId="3F340657" w14:textId="2EF79BBB"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0" w:history="1">
        <w:r w:rsidR="003A5D20" w:rsidRPr="00225FAC">
          <w:rPr>
            <w:rStyle w:val="Hyperlink"/>
            <w:sz w:val="24"/>
            <w:lang w:val="fi-FI"/>
          </w:rPr>
          <w:t>http://data.europa.eu/eli/C/2025/1803/oj</w:t>
        </w:r>
      </w:hyperlink>
      <w:r w:rsidR="003A5D20" w:rsidRPr="00225FAC">
        <w:rPr>
          <w:sz w:val="24"/>
          <w:lang w:val="fi-FI"/>
        </w:rPr>
        <w:t>).</w:t>
      </w:r>
    </w:p>
    <w:p w14:paraId="49E40BC0" w14:textId="2A76E9E4"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1" w:history="1">
        <w:r w:rsidR="003A5D20" w:rsidRPr="00225FAC">
          <w:rPr>
            <w:rStyle w:val="Hyperlink"/>
            <w:sz w:val="24"/>
            <w:lang w:val="fi-FI"/>
          </w:rPr>
          <w:t>http://data.europa.eu/eli/C/2025/1804/oj</w:t>
        </w:r>
      </w:hyperlink>
      <w:r w:rsidR="003A5D20" w:rsidRPr="00225FAC">
        <w:rPr>
          <w:sz w:val="24"/>
          <w:lang w:val="fi-FI"/>
        </w:rPr>
        <w:t>).</w:t>
      </w:r>
    </w:p>
    <w:p w14:paraId="4CA39DEA" w14:textId="0F2C1D91"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2" w:tooltip="Avaa asiakirjan ELI URI -osoitteen kautta." w:history="1">
        <w:r w:rsidR="003A5D20" w:rsidRPr="00225FAC">
          <w:rPr>
            <w:rStyle w:val="Hyperlink"/>
            <w:sz w:val="24"/>
            <w:lang w:val="fi-FI"/>
          </w:rPr>
          <w:t>http://data.europa.eu/eli/C/2025/2246/oj</w:t>
        </w:r>
      </w:hyperlink>
      <w:r w:rsidR="003A5D20" w:rsidRPr="00225FAC">
        <w:rPr>
          <w:sz w:val="24"/>
          <w:lang w:val="fi-FI"/>
        </w:rPr>
        <w:t>).</w:t>
      </w:r>
    </w:p>
    <w:p w14:paraId="3BEDF9B1" w14:textId="48D78592"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3" w:history="1">
        <w:r w:rsidR="003A5D20" w:rsidRPr="00225FAC">
          <w:rPr>
            <w:rStyle w:val="Hyperlink"/>
            <w:sz w:val="24"/>
            <w:lang w:val="fi-FI"/>
          </w:rPr>
          <w:t>http://data.europa.eu/eli/C/2025/2247/oj</w:t>
        </w:r>
      </w:hyperlink>
      <w:r w:rsidR="003A5D20" w:rsidRPr="00225FAC">
        <w:rPr>
          <w:sz w:val="24"/>
          <w:lang w:val="fi-FI"/>
        </w:rPr>
        <w:t>).</w:t>
      </w:r>
    </w:p>
    <w:p w14:paraId="3390D36B" w14:textId="76C39928"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w:t>
      </w:r>
      <w:r w:rsidR="000B6F87">
        <w:rPr>
          <w:sz w:val="24"/>
          <w:lang w:val="fi-FI"/>
        </w:rPr>
        <w:t xml:space="preserve">Hyväksytyt tekstit, </w:t>
      </w:r>
      <w:r w:rsidR="003A5D20" w:rsidRPr="00225FAC">
        <w:rPr>
          <w:sz w:val="24"/>
          <w:lang w:val="fi-FI"/>
        </w:rPr>
        <w:t>P10_TA(2025)0106).</w:t>
      </w:r>
    </w:p>
    <w:p w14:paraId="560B7AB9" w14:textId="490598CC"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w:t>
      </w:r>
      <w:r w:rsidR="000B6F87">
        <w:rPr>
          <w:sz w:val="24"/>
          <w:lang w:val="fi-FI"/>
        </w:rPr>
        <w:t xml:space="preserve">Hyväksytyt tekstit, </w:t>
      </w:r>
      <w:r w:rsidR="003A5D20" w:rsidRPr="00225FAC">
        <w:rPr>
          <w:sz w:val="24"/>
          <w:lang w:val="fi-FI"/>
        </w:rPr>
        <w:t>P10_TA(2025)0222).</w:t>
      </w:r>
    </w:p>
    <w:p w14:paraId="116FF6A8" w14:textId="6B2D6EEE"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25. marraskuuta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 (</w:t>
      </w:r>
      <w:r w:rsidR="000B6F87">
        <w:rPr>
          <w:sz w:val="24"/>
          <w:lang w:val="fi-FI"/>
        </w:rPr>
        <w:t xml:space="preserve">Hyväksytyt tekstit, </w:t>
      </w:r>
      <w:r w:rsidR="003A5D20" w:rsidRPr="00225FAC">
        <w:rPr>
          <w:sz w:val="24"/>
          <w:lang w:val="fi-FI"/>
        </w:rPr>
        <w:t>P10_TA(2025)0288).</w:t>
      </w:r>
    </w:p>
    <w:p w14:paraId="0F5650A5" w14:textId="2EA42BB4"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25. marraskuuta 2025 ehdotuksesta komission täytäntöönpanopäätökseksi muuntogeenistä puuvillaa MON 88913 (MON-88913-8) sisältävien, siitä koostuvien tai siitä valmistettujen tuotteiden markkinoille saattamista koskevan luvan uusimisesta Euroopan parlamentin ja neuvoston asetuksen (EY) N:o 1829/2003 mukaisesti (</w:t>
      </w:r>
      <w:r w:rsidR="000B6F87">
        <w:rPr>
          <w:sz w:val="24"/>
          <w:lang w:val="fi-FI"/>
        </w:rPr>
        <w:t xml:space="preserve">Hyväksytyt tekstit, </w:t>
      </w:r>
      <w:r w:rsidR="003A5D20" w:rsidRPr="00225FAC">
        <w:rPr>
          <w:sz w:val="24"/>
          <w:lang w:val="fi-FI"/>
        </w:rPr>
        <w:t>P10_TA(2025)0289).</w:t>
      </w:r>
    </w:p>
    <w:p w14:paraId="7D607399" w14:textId="69604E2E"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25. marraskuuta 2025 ehdotuksesta komission täytäntöönpanopäätökseksi muuntogeenistä rapsia MON 88302 sisältävien, siitä koostuvien tai siitä valmistettujen tuotteiden markkinoille saattamista koskevan luvan uusimisesta Euroopan parlamentin ja neuvoston asetuksen (EY) N:o 1829/2003 mukaisesti (</w:t>
      </w:r>
      <w:r w:rsidR="000B6F87">
        <w:rPr>
          <w:sz w:val="24"/>
          <w:lang w:val="fi-FI"/>
        </w:rPr>
        <w:t xml:space="preserve">Hyväksytyt tekstit, </w:t>
      </w:r>
      <w:r w:rsidR="003A5D20" w:rsidRPr="00225FAC">
        <w:rPr>
          <w:sz w:val="24"/>
          <w:lang w:val="fi-FI"/>
        </w:rPr>
        <w:t>P10_TA(2025)0290).</w:t>
      </w:r>
    </w:p>
    <w:p w14:paraId="783FB47B" w14:textId="613FD878"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25. marraskuuta 2025 komission täytäntöönpanopäätöksestä muuntogeenistä soijaa MON 87708 sisältävien, siitä koostuvien tai siitä valmistettujen tuotteiden markkinoille saattamista koskevan luvan uusimisesta Euroopan parlamentin ja neuvoston asetuksen (EY) N:o 1829/2003 mukaisesti (</w:t>
      </w:r>
      <w:r w:rsidR="000B6F87">
        <w:rPr>
          <w:sz w:val="24"/>
          <w:lang w:val="fi-FI"/>
        </w:rPr>
        <w:t xml:space="preserve">Hyväksytyt tekstit, </w:t>
      </w:r>
      <w:r w:rsidR="003A5D20" w:rsidRPr="00225FAC">
        <w:rPr>
          <w:sz w:val="24"/>
          <w:lang w:val="fi-FI"/>
        </w:rPr>
        <w:t>P10_TA(2025)0291).</w:t>
      </w:r>
    </w:p>
    <w:p w14:paraId="3EFBD549" w14:textId="0B9EAC2C"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25. marraskuuta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 (</w:t>
      </w:r>
      <w:r w:rsidR="000B6F87">
        <w:rPr>
          <w:sz w:val="24"/>
          <w:lang w:val="fi-FI"/>
        </w:rPr>
        <w:t xml:space="preserve">Hyväksytyt tekstit, </w:t>
      </w:r>
      <w:r w:rsidR="003A5D20" w:rsidRPr="00225FAC">
        <w:rPr>
          <w:sz w:val="24"/>
          <w:lang w:val="fi-FI"/>
        </w:rPr>
        <w:t>P10_TA(2025)0292).</w:t>
      </w:r>
    </w:p>
    <w:p w14:paraId="5E321C12" w14:textId="5FD0058A" w:rsidR="003A5D20" w:rsidRPr="00225FAC" w:rsidRDefault="00225FAC" w:rsidP="00225FAC">
      <w:pPr>
        <w:pStyle w:val="FootnoteText"/>
        <w:ind w:left="567" w:hanging="567"/>
        <w:rPr>
          <w:sz w:val="24"/>
          <w:vertAlign w:val="superscript"/>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16. joulukuuta 2025 ehdotuksesta komission täytäntöönpanopäätökseksi muuntogeenistä maissia NK603 sisältävien, siitä koostuvien tai siitä valmistettujen tuotteiden markkinoille saattamista koskevan luvan uusimisesta Euroopan parlamentin ja neuvoston asetuksen (EY) N:o 1829/2003 mukaisesti (</w:t>
      </w:r>
      <w:r w:rsidR="000B6F87">
        <w:rPr>
          <w:sz w:val="24"/>
          <w:lang w:val="fi-FI"/>
        </w:rPr>
        <w:t xml:space="preserve">Hyväksytyt tekstit, </w:t>
      </w:r>
      <w:r w:rsidR="003A5D20" w:rsidRPr="00225FAC">
        <w:rPr>
          <w:sz w:val="24"/>
          <w:lang w:val="fi-FI"/>
        </w:rPr>
        <w:t>P10_TA(2025)0327).</w:t>
      </w:r>
    </w:p>
    <w:p w14:paraId="436BD47A" w14:textId="4A71699B" w:rsidR="003A5D20" w:rsidRPr="00225FAC" w:rsidRDefault="00225FAC" w:rsidP="00225FAC">
      <w:pPr>
        <w:pStyle w:val="FootnoteText"/>
        <w:ind w:left="567" w:hanging="567"/>
        <w:rPr>
          <w:sz w:val="24"/>
          <w:lang w:val="fi-FI"/>
        </w:rPr>
      </w:pPr>
      <w:r w:rsidRPr="00225FAC">
        <w:rPr>
          <w:sz w:val="24"/>
          <w:lang w:val="fi-FI"/>
        </w:rPr>
        <w:tab/>
      </w:r>
      <w:r w:rsidR="003A5D20" w:rsidRPr="00225FAC">
        <w:rPr>
          <w:sz w:val="24"/>
          <w:lang w:val="fi-FI"/>
        </w:rPr>
        <w:t>–</w:t>
      </w:r>
      <w:r w:rsidR="003A5D20" w:rsidRPr="00225FAC">
        <w:rPr>
          <w:sz w:val="24"/>
          <w:lang w:val="fi-FI"/>
        </w:rPr>
        <w:tab/>
        <w:t>Euroopan parlamentin päätöslauselma 16. joulukuuta 2025 ehdotuksesta komission täytäntöönpanopäätökseksi luvan antamisesta muuntogeenisestä sokerijuurikkaasta KWS20-1 valmistettujen elintarvikkeiden, elintarvikkeiden ainesosien ja rehujen saattamiseksi markkinoille Euroopan parlamentin ja neuvoston asetuksen (EY) N:o 1829/2003 mukaisesti (</w:t>
      </w:r>
      <w:r w:rsidR="000B6F87">
        <w:rPr>
          <w:sz w:val="24"/>
          <w:lang w:val="fi-FI"/>
        </w:rPr>
        <w:t xml:space="preserve">Hyväksytyt tekstit, </w:t>
      </w:r>
      <w:r w:rsidR="003A5D20" w:rsidRPr="00225FAC">
        <w:rPr>
          <w:sz w:val="24"/>
          <w:lang w:val="fi-FI"/>
        </w:rPr>
        <w:t>P10_TA(2025)0328).</w:t>
      </w:r>
    </w:p>
  </w:footnote>
  <w:footnote w:id="5">
    <w:p w14:paraId="1AC3226A" w14:textId="4B3B2A60" w:rsidR="003A5D20" w:rsidRPr="00225FAC" w:rsidRDefault="003A5D20" w:rsidP="00225FAC">
      <w:pPr>
        <w:pStyle w:val="FootnoteText"/>
        <w:ind w:left="567" w:hanging="567"/>
        <w:rPr>
          <w:sz w:val="24"/>
          <w:lang w:val="fi-FI"/>
        </w:rPr>
      </w:pPr>
      <w:r w:rsidRPr="00225FAC">
        <w:rPr>
          <w:rStyle w:val="FootnoteReference"/>
          <w:sz w:val="24"/>
          <w:lang w:val="fi-FI"/>
        </w:rPr>
        <w:footnoteRef/>
      </w:r>
      <w:r w:rsidR="00225FAC" w:rsidRPr="00225FAC">
        <w:rPr>
          <w:sz w:val="24"/>
          <w:shd w:val="clear" w:color="auto" w:fill="FFFFFF"/>
          <w:lang w:val="fi-FI"/>
        </w:rPr>
        <w:t xml:space="preserve"> </w:t>
      </w:r>
      <w:r w:rsidR="00225FAC" w:rsidRPr="00225FAC">
        <w:rPr>
          <w:sz w:val="24"/>
          <w:shd w:val="clear" w:color="auto" w:fill="FFFFFF"/>
          <w:lang w:val="fi-FI"/>
        </w:rPr>
        <w:tab/>
      </w:r>
      <w:r w:rsidRPr="00225FAC">
        <w:rPr>
          <w:sz w:val="24"/>
          <w:shd w:val="clear" w:color="auto" w:fill="FFFFFF"/>
          <w:lang w:val="fi-FI"/>
        </w:rPr>
        <w:t xml:space="preserve">Ks. esimerkiksi </w:t>
      </w:r>
      <w:proofErr w:type="spellStart"/>
      <w:r w:rsidRPr="00225FAC">
        <w:rPr>
          <w:sz w:val="24"/>
          <w:shd w:val="clear" w:color="auto" w:fill="FFFFFF"/>
          <w:lang w:val="fi-FI"/>
        </w:rPr>
        <w:t>Bonny</w:t>
      </w:r>
      <w:proofErr w:type="spellEnd"/>
      <w:r w:rsidRPr="00225FAC">
        <w:rPr>
          <w:sz w:val="24"/>
          <w:shd w:val="clear" w:color="auto" w:fill="FFFFFF"/>
          <w:lang w:val="fi-FI"/>
        </w:rPr>
        <w:t>, S., ”</w:t>
      </w:r>
      <w:proofErr w:type="spellStart"/>
      <w:r w:rsidRPr="00225FAC">
        <w:rPr>
          <w:sz w:val="24"/>
          <w:shd w:val="clear" w:color="auto" w:fill="FFFFFF"/>
          <w:lang w:val="fi-FI"/>
        </w:rPr>
        <w:t>Genetically</w:t>
      </w:r>
      <w:proofErr w:type="spellEnd"/>
      <w:r w:rsidRPr="00225FAC">
        <w:rPr>
          <w:sz w:val="24"/>
          <w:shd w:val="clear" w:color="auto" w:fill="FFFFFF"/>
          <w:lang w:val="fi-FI"/>
        </w:rPr>
        <w:t xml:space="preserve"> </w:t>
      </w:r>
      <w:proofErr w:type="spellStart"/>
      <w:r w:rsidRPr="00225FAC">
        <w:rPr>
          <w:sz w:val="24"/>
          <w:shd w:val="clear" w:color="auto" w:fill="FFFFFF"/>
          <w:lang w:val="fi-FI"/>
        </w:rPr>
        <w:t>Modified</w:t>
      </w:r>
      <w:proofErr w:type="spellEnd"/>
      <w:r w:rsidRPr="00225FAC">
        <w:rPr>
          <w:sz w:val="24"/>
          <w:shd w:val="clear" w:color="auto" w:fill="FFFFFF"/>
          <w:lang w:val="fi-FI"/>
        </w:rPr>
        <w:t xml:space="preserve"> </w:t>
      </w:r>
      <w:proofErr w:type="spellStart"/>
      <w:r w:rsidRPr="00225FAC">
        <w:rPr>
          <w:sz w:val="24"/>
          <w:shd w:val="clear" w:color="auto" w:fill="FFFFFF"/>
          <w:lang w:val="fi-FI"/>
        </w:rPr>
        <w:t>Herbicide-Tolerant</w:t>
      </w:r>
      <w:proofErr w:type="spellEnd"/>
      <w:r w:rsidRPr="00225FAC">
        <w:rPr>
          <w:sz w:val="24"/>
          <w:shd w:val="clear" w:color="auto" w:fill="FFFFFF"/>
          <w:lang w:val="fi-FI"/>
        </w:rPr>
        <w:t xml:space="preserve"> </w:t>
      </w:r>
      <w:proofErr w:type="spellStart"/>
      <w:r w:rsidRPr="00225FAC">
        <w:rPr>
          <w:sz w:val="24"/>
          <w:shd w:val="clear" w:color="auto" w:fill="FFFFFF"/>
          <w:lang w:val="fi-FI"/>
        </w:rPr>
        <w:t>Crops</w:t>
      </w:r>
      <w:proofErr w:type="spellEnd"/>
      <w:r w:rsidRPr="00225FAC">
        <w:rPr>
          <w:sz w:val="24"/>
          <w:shd w:val="clear" w:color="auto" w:fill="FFFFFF"/>
          <w:lang w:val="fi-FI"/>
        </w:rPr>
        <w:t xml:space="preserve">, </w:t>
      </w:r>
      <w:proofErr w:type="spellStart"/>
      <w:r w:rsidRPr="00225FAC">
        <w:rPr>
          <w:sz w:val="24"/>
          <w:shd w:val="clear" w:color="auto" w:fill="FFFFFF"/>
          <w:lang w:val="fi-FI"/>
        </w:rPr>
        <w:t>Weeds</w:t>
      </w:r>
      <w:proofErr w:type="spellEnd"/>
      <w:r w:rsidRPr="00225FAC">
        <w:rPr>
          <w:sz w:val="24"/>
          <w:shd w:val="clear" w:color="auto" w:fill="FFFFFF"/>
          <w:lang w:val="fi-FI"/>
        </w:rPr>
        <w:t xml:space="preserve">, and </w:t>
      </w:r>
      <w:proofErr w:type="spellStart"/>
      <w:r w:rsidRPr="00225FAC">
        <w:rPr>
          <w:sz w:val="24"/>
          <w:shd w:val="clear" w:color="auto" w:fill="FFFFFF"/>
          <w:lang w:val="fi-FI"/>
        </w:rPr>
        <w:t>Herbicides</w:t>
      </w:r>
      <w:proofErr w:type="spellEnd"/>
      <w:r w:rsidRPr="00225FAC">
        <w:rPr>
          <w:sz w:val="24"/>
          <w:shd w:val="clear" w:color="auto" w:fill="FFFFFF"/>
          <w:lang w:val="fi-FI"/>
        </w:rPr>
        <w:t xml:space="preserve">: </w:t>
      </w:r>
      <w:proofErr w:type="spellStart"/>
      <w:r w:rsidRPr="00225FAC">
        <w:rPr>
          <w:sz w:val="24"/>
          <w:shd w:val="clear" w:color="auto" w:fill="FFFFFF"/>
          <w:lang w:val="fi-FI"/>
        </w:rPr>
        <w:t>Overview</w:t>
      </w:r>
      <w:proofErr w:type="spellEnd"/>
      <w:r w:rsidRPr="00225FAC">
        <w:rPr>
          <w:sz w:val="24"/>
          <w:shd w:val="clear" w:color="auto" w:fill="FFFFFF"/>
          <w:lang w:val="fi-FI"/>
        </w:rPr>
        <w:t xml:space="preserve"> and </w:t>
      </w:r>
      <w:proofErr w:type="spellStart"/>
      <w:r w:rsidRPr="00225FAC">
        <w:rPr>
          <w:sz w:val="24"/>
          <w:shd w:val="clear" w:color="auto" w:fill="FFFFFF"/>
          <w:lang w:val="fi-FI"/>
        </w:rPr>
        <w:t>Impact</w:t>
      </w:r>
      <w:proofErr w:type="spellEnd"/>
      <w:r w:rsidRPr="00225FAC">
        <w:rPr>
          <w:sz w:val="24"/>
          <w:shd w:val="clear" w:color="auto" w:fill="FFFFFF"/>
          <w:lang w:val="fi-FI"/>
        </w:rPr>
        <w:t xml:space="preserve">”, </w:t>
      </w:r>
      <w:proofErr w:type="spellStart"/>
      <w:r w:rsidRPr="00225FAC">
        <w:rPr>
          <w:sz w:val="24"/>
          <w:shd w:val="clear" w:color="auto" w:fill="FFFFFF"/>
          <w:lang w:val="fi-FI"/>
        </w:rPr>
        <w:t>Environmental</w:t>
      </w:r>
      <w:proofErr w:type="spellEnd"/>
      <w:r w:rsidRPr="00225FAC">
        <w:rPr>
          <w:sz w:val="24"/>
          <w:shd w:val="clear" w:color="auto" w:fill="FFFFFF"/>
          <w:lang w:val="fi-FI"/>
        </w:rPr>
        <w:t xml:space="preserve"> Management, tammikuu 2016;57(1), s. 31–48,</w:t>
      </w:r>
      <w:r w:rsidRPr="00225FAC">
        <w:rPr>
          <w:sz w:val="24"/>
          <w:lang w:val="fi-FI"/>
        </w:rPr>
        <w:t xml:space="preserve"> </w:t>
      </w:r>
      <w:hyperlink r:id="rId14" w:history="1">
        <w:r w:rsidRPr="00225FAC">
          <w:rPr>
            <w:rStyle w:val="Hyperlink"/>
            <w:sz w:val="24"/>
            <w:shd w:val="clear" w:color="auto" w:fill="FFFFFF"/>
            <w:lang w:val="fi-FI"/>
          </w:rPr>
          <w:t>https://doi.org/10.1007/s00267-015-0589-7</w:t>
        </w:r>
      </w:hyperlink>
      <w:r w:rsidRPr="00225FAC">
        <w:rPr>
          <w:sz w:val="24"/>
          <w:lang w:val="fi-FI"/>
        </w:rPr>
        <w:t xml:space="preserve"> </w:t>
      </w:r>
      <w:r w:rsidRPr="00225FAC">
        <w:rPr>
          <w:sz w:val="24"/>
          <w:shd w:val="clear" w:color="auto" w:fill="FFFFFF"/>
          <w:lang w:val="fi-FI"/>
        </w:rPr>
        <w:t xml:space="preserve">ja </w:t>
      </w:r>
      <w:proofErr w:type="spellStart"/>
      <w:r w:rsidRPr="00225FAC">
        <w:rPr>
          <w:sz w:val="24"/>
          <w:shd w:val="clear" w:color="auto" w:fill="FFFFFF"/>
          <w:lang w:val="fi-FI"/>
        </w:rPr>
        <w:t>Benbrook</w:t>
      </w:r>
      <w:proofErr w:type="spellEnd"/>
      <w:r w:rsidRPr="00225FAC">
        <w:rPr>
          <w:sz w:val="24"/>
          <w:shd w:val="clear" w:color="auto" w:fill="FFFFFF"/>
          <w:lang w:val="fi-FI"/>
        </w:rPr>
        <w:t>, C. M., ”</w:t>
      </w:r>
      <w:proofErr w:type="spellStart"/>
      <w:r w:rsidRPr="00225FAC">
        <w:rPr>
          <w:sz w:val="24"/>
          <w:shd w:val="clear" w:color="auto" w:fill="FFFFFF"/>
          <w:lang w:val="fi-FI"/>
        </w:rPr>
        <w:t>Impacts</w:t>
      </w:r>
      <w:proofErr w:type="spellEnd"/>
      <w:r w:rsidRPr="00225FAC">
        <w:rPr>
          <w:sz w:val="24"/>
          <w:shd w:val="clear" w:color="auto" w:fill="FFFFFF"/>
          <w:lang w:val="fi-FI"/>
        </w:rPr>
        <w:t xml:space="preserve"> of </w:t>
      </w:r>
      <w:proofErr w:type="spellStart"/>
      <w:r w:rsidRPr="00225FAC">
        <w:rPr>
          <w:sz w:val="24"/>
          <w:shd w:val="clear" w:color="auto" w:fill="FFFFFF"/>
          <w:lang w:val="fi-FI"/>
        </w:rPr>
        <w:t>genetically</w:t>
      </w:r>
      <w:proofErr w:type="spellEnd"/>
      <w:r w:rsidRPr="00225FAC">
        <w:rPr>
          <w:sz w:val="24"/>
          <w:shd w:val="clear" w:color="auto" w:fill="FFFFFF"/>
          <w:lang w:val="fi-FI"/>
        </w:rPr>
        <w:t xml:space="preserve"> </w:t>
      </w:r>
      <w:proofErr w:type="spellStart"/>
      <w:r w:rsidRPr="00225FAC">
        <w:rPr>
          <w:sz w:val="24"/>
          <w:shd w:val="clear" w:color="auto" w:fill="FFFFFF"/>
          <w:lang w:val="fi-FI"/>
        </w:rPr>
        <w:t>engineered</w:t>
      </w:r>
      <w:proofErr w:type="spellEnd"/>
      <w:r w:rsidRPr="00225FAC">
        <w:rPr>
          <w:sz w:val="24"/>
          <w:shd w:val="clear" w:color="auto" w:fill="FFFFFF"/>
          <w:lang w:val="fi-FI"/>
        </w:rPr>
        <w:t xml:space="preserve"> </w:t>
      </w:r>
      <w:proofErr w:type="spellStart"/>
      <w:r w:rsidRPr="00225FAC">
        <w:rPr>
          <w:sz w:val="24"/>
          <w:shd w:val="clear" w:color="auto" w:fill="FFFFFF"/>
          <w:lang w:val="fi-FI"/>
        </w:rPr>
        <w:t>crops</w:t>
      </w:r>
      <w:proofErr w:type="spellEnd"/>
      <w:r w:rsidRPr="00225FAC">
        <w:rPr>
          <w:sz w:val="24"/>
          <w:shd w:val="clear" w:color="auto" w:fill="FFFFFF"/>
          <w:lang w:val="fi-FI"/>
        </w:rPr>
        <w:t xml:space="preserve"> on </w:t>
      </w:r>
      <w:proofErr w:type="spellStart"/>
      <w:r w:rsidRPr="00225FAC">
        <w:rPr>
          <w:sz w:val="24"/>
          <w:shd w:val="clear" w:color="auto" w:fill="FFFFFF"/>
          <w:lang w:val="fi-FI"/>
        </w:rPr>
        <w:t>pesticide</w:t>
      </w:r>
      <w:proofErr w:type="spellEnd"/>
      <w:r w:rsidRPr="00225FAC">
        <w:rPr>
          <w:sz w:val="24"/>
          <w:shd w:val="clear" w:color="auto" w:fill="FFFFFF"/>
          <w:lang w:val="fi-FI"/>
        </w:rPr>
        <w:t xml:space="preserve"> </w:t>
      </w:r>
      <w:proofErr w:type="spellStart"/>
      <w:r w:rsidRPr="00225FAC">
        <w:rPr>
          <w:sz w:val="24"/>
          <w:shd w:val="clear" w:color="auto" w:fill="FFFFFF"/>
          <w:lang w:val="fi-FI"/>
        </w:rPr>
        <w:t>use</w:t>
      </w:r>
      <w:proofErr w:type="spellEnd"/>
      <w:r w:rsidRPr="00225FAC">
        <w:rPr>
          <w:sz w:val="24"/>
          <w:shd w:val="clear" w:color="auto" w:fill="FFFFFF"/>
          <w:lang w:val="fi-FI"/>
        </w:rPr>
        <w:t xml:space="preserve"> in </w:t>
      </w:r>
      <w:proofErr w:type="spellStart"/>
      <w:r w:rsidRPr="00225FAC">
        <w:rPr>
          <w:sz w:val="24"/>
          <w:shd w:val="clear" w:color="auto" w:fill="FFFFFF"/>
          <w:lang w:val="fi-FI"/>
        </w:rPr>
        <w:t>the</w:t>
      </w:r>
      <w:proofErr w:type="spellEnd"/>
      <w:r w:rsidRPr="00225FAC">
        <w:rPr>
          <w:sz w:val="24"/>
          <w:shd w:val="clear" w:color="auto" w:fill="FFFFFF"/>
          <w:lang w:val="fi-FI"/>
        </w:rPr>
        <w:t xml:space="preserve"> U.S. – </w:t>
      </w:r>
      <w:proofErr w:type="spellStart"/>
      <w:r w:rsidRPr="00225FAC">
        <w:rPr>
          <w:sz w:val="24"/>
          <w:shd w:val="clear" w:color="auto" w:fill="FFFFFF"/>
          <w:lang w:val="fi-FI"/>
        </w:rPr>
        <w:t>the</w:t>
      </w:r>
      <w:proofErr w:type="spellEnd"/>
      <w:r w:rsidRPr="00225FAC">
        <w:rPr>
          <w:sz w:val="24"/>
          <w:shd w:val="clear" w:color="auto" w:fill="FFFFFF"/>
          <w:lang w:val="fi-FI"/>
        </w:rPr>
        <w:t xml:space="preserve"> </w:t>
      </w:r>
      <w:proofErr w:type="spellStart"/>
      <w:r w:rsidRPr="00225FAC">
        <w:rPr>
          <w:sz w:val="24"/>
          <w:shd w:val="clear" w:color="auto" w:fill="FFFFFF"/>
          <w:lang w:val="fi-FI"/>
        </w:rPr>
        <w:t>first</w:t>
      </w:r>
      <w:proofErr w:type="spellEnd"/>
      <w:r w:rsidRPr="00225FAC">
        <w:rPr>
          <w:sz w:val="24"/>
          <w:shd w:val="clear" w:color="auto" w:fill="FFFFFF"/>
          <w:lang w:val="fi-FI"/>
        </w:rPr>
        <w:t xml:space="preserve"> </w:t>
      </w:r>
      <w:proofErr w:type="spellStart"/>
      <w:r w:rsidRPr="00225FAC">
        <w:rPr>
          <w:sz w:val="24"/>
          <w:shd w:val="clear" w:color="auto" w:fill="FFFFFF"/>
          <w:lang w:val="fi-FI"/>
        </w:rPr>
        <w:t>sixteen</w:t>
      </w:r>
      <w:proofErr w:type="spellEnd"/>
      <w:r w:rsidRPr="00225FAC">
        <w:rPr>
          <w:sz w:val="24"/>
          <w:shd w:val="clear" w:color="auto" w:fill="FFFFFF"/>
          <w:lang w:val="fi-FI"/>
        </w:rPr>
        <w:t xml:space="preserve"> </w:t>
      </w:r>
      <w:proofErr w:type="spellStart"/>
      <w:r w:rsidRPr="00225FAC">
        <w:rPr>
          <w:sz w:val="24"/>
          <w:shd w:val="clear" w:color="auto" w:fill="FFFFFF"/>
          <w:lang w:val="fi-FI"/>
        </w:rPr>
        <w:t>years</w:t>
      </w:r>
      <w:proofErr w:type="spellEnd"/>
      <w:r w:rsidRPr="00225FAC">
        <w:rPr>
          <w:sz w:val="24"/>
          <w:shd w:val="clear" w:color="auto" w:fill="FFFFFF"/>
          <w:lang w:val="fi-FI"/>
        </w:rPr>
        <w:t xml:space="preserve">”, </w:t>
      </w:r>
      <w:proofErr w:type="spellStart"/>
      <w:r w:rsidRPr="00225FAC">
        <w:rPr>
          <w:sz w:val="24"/>
          <w:shd w:val="clear" w:color="auto" w:fill="FFFFFF"/>
          <w:lang w:val="fi-FI"/>
        </w:rPr>
        <w:t>Environmental</w:t>
      </w:r>
      <w:proofErr w:type="spellEnd"/>
      <w:r w:rsidRPr="00225FAC">
        <w:rPr>
          <w:sz w:val="24"/>
          <w:shd w:val="clear" w:color="auto" w:fill="FFFFFF"/>
          <w:lang w:val="fi-FI"/>
        </w:rPr>
        <w:t xml:space="preserve"> Sciences Europe</w:t>
      </w:r>
      <w:r w:rsidRPr="00225FAC">
        <w:rPr>
          <w:sz w:val="24"/>
          <w:lang w:val="fi-FI"/>
        </w:rPr>
        <w:t>;</w:t>
      </w:r>
      <w:r w:rsidRPr="00225FAC">
        <w:rPr>
          <w:sz w:val="24"/>
          <w:shd w:val="clear" w:color="auto" w:fill="FFFFFF"/>
          <w:lang w:val="fi-FI"/>
        </w:rPr>
        <w:t xml:space="preserve"> 28. syyskuuta 2012, osa 24(1),</w:t>
      </w:r>
      <w:r w:rsidRPr="00225FAC">
        <w:rPr>
          <w:sz w:val="24"/>
          <w:lang w:val="fi-FI"/>
        </w:rPr>
        <w:t xml:space="preserve"> </w:t>
      </w:r>
      <w:hyperlink r:id="rId15" w:history="1">
        <w:r w:rsidRPr="00225FAC">
          <w:rPr>
            <w:rStyle w:val="Hyperlink"/>
            <w:sz w:val="24"/>
            <w:lang w:val="fi-FI"/>
          </w:rPr>
          <w:t>https://doi.org/10.1186/2190-4715-24-24</w:t>
        </w:r>
      </w:hyperlink>
      <w:r w:rsidRPr="00225FAC">
        <w:rPr>
          <w:sz w:val="24"/>
          <w:lang w:val="fi-FI"/>
        </w:rPr>
        <w:t>.</w:t>
      </w:r>
      <w:r w:rsidRPr="00225FAC">
        <w:rPr>
          <w:sz w:val="24"/>
          <w:shd w:val="clear" w:color="auto" w:fill="FFFFFF"/>
          <w:lang w:val="fi-FI"/>
        </w:rPr>
        <w:t xml:space="preserve"> </w:t>
      </w:r>
    </w:p>
  </w:footnote>
  <w:footnote w:id="6">
    <w:p w14:paraId="4B0C0B08" w14:textId="2FAFB836" w:rsidR="003A5D20" w:rsidRPr="00225FAC" w:rsidRDefault="003A5D20" w:rsidP="00225FAC">
      <w:pPr>
        <w:pStyle w:val="FootnoteText"/>
        <w:ind w:left="567" w:hanging="567"/>
        <w:rPr>
          <w:sz w:val="24"/>
          <w:shd w:val="clear" w:color="auto" w:fill="FFFFFF"/>
          <w:lang w:val="fi-FI"/>
        </w:rPr>
      </w:pPr>
      <w:r w:rsidRPr="00225FAC">
        <w:rPr>
          <w:rStyle w:val="FootnoteReference"/>
          <w:sz w:val="24"/>
          <w:lang w:val="fi-FI"/>
        </w:rPr>
        <w:footnoteRef/>
      </w:r>
      <w:r w:rsidR="00225FAC" w:rsidRPr="00225FAC">
        <w:rPr>
          <w:sz w:val="24"/>
          <w:lang w:val="fi-FI"/>
        </w:rPr>
        <w:t xml:space="preserve"> </w:t>
      </w:r>
      <w:r w:rsidR="00225FAC" w:rsidRPr="00225FAC">
        <w:rPr>
          <w:sz w:val="24"/>
          <w:lang w:val="fi-FI"/>
        </w:rPr>
        <w:tab/>
      </w:r>
      <w:r w:rsidRPr="00225FAC">
        <w:rPr>
          <w:sz w:val="24"/>
          <w:lang w:val="fi-FI"/>
        </w:rPr>
        <w:t xml:space="preserve">Ks. esimerkiksi: </w:t>
      </w:r>
      <w:hyperlink r:id="rId16" w:history="1">
        <w:r w:rsidRPr="00225FAC">
          <w:rPr>
            <w:rStyle w:val="Hyperlink"/>
            <w:sz w:val="24"/>
            <w:lang w:val="fi-FI"/>
          </w:rPr>
          <w:t>https://doi.org/10.1002/ps.8105</w:t>
        </w:r>
      </w:hyperlink>
      <w:r w:rsidRPr="00225FAC">
        <w:rPr>
          <w:sz w:val="24"/>
          <w:shd w:val="clear" w:color="auto" w:fill="FFFFFF"/>
          <w:lang w:val="fi-FI"/>
        </w:rPr>
        <w:t xml:space="preserve"> ja </w:t>
      </w:r>
      <w:hyperlink r:id="rId17" w:history="1">
        <w:r w:rsidRPr="00225FAC">
          <w:rPr>
            <w:rStyle w:val="Hyperlink"/>
            <w:sz w:val="24"/>
            <w:lang w:val="fi-FI"/>
          </w:rPr>
          <w:t>https://doi.org/10.1016/j.geoforum.2009.03.009</w:t>
        </w:r>
      </w:hyperlink>
      <w:r w:rsidRPr="00225FAC">
        <w:rPr>
          <w:sz w:val="24"/>
          <w:lang w:val="fi-FI"/>
        </w:rPr>
        <w:t>.</w:t>
      </w:r>
    </w:p>
  </w:footnote>
  <w:footnote w:id="7">
    <w:p w14:paraId="28101989" w14:textId="08EBA2F7" w:rsidR="003A5D20" w:rsidRPr="00225FAC" w:rsidRDefault="003A5D20" w:rsidP="00225FAC">
      <w:pPr>
        <w:pStyle w:val="FootnoteText"/>
        <w:ind w:left="567" w:hanging="567"/>
        <w:rPr>
          <w:sz w:val="24"/>
          <w:lang w:val="fi-FI"/>
        </w:rPr>
      </w:pPr>
      <w:r w:rsidRPr="00225FAC">
        <w:rPr>
          <w:rStyle w:val="FootnoteReference"/>
          <w:sz w:val="24"/>
          <w:lang w:val="fi-FI"/>
        </w:rPr>
        <w:footnoteRef/>
      </w:r>
      <w:r w:rsidR="00225FAC" w:rsidRPr="00225FAC">
        <w:rPr>
          <w:sz w:val="24"/>
          <w:lang w:val="fi-FI"/>
        </w:rPr>
        <w:t xml:space="preserve"> </w:t>
      </w:r>
      <w:r w:rsidR="00225FAC" w:rsidRPr="00225FAC">
        <w:rPr>
          <w:sz w:val="24"/>
          <w:lang w:val="fi-FI"/>
        </w:rPr>
        <w:tab/>
      </w:r>
      <w:r w:rsidRPr="00225FAC">
        <w:rPr>
          <w:sz w:val="24"/>
          <w:lang w:val="fi-FI"/>
        </w:rPr>
        <w:t>Euroopan parlamentin ja neuvoston asetus (EY) N:o 1107/2009, annettu 21. lokakuuta 2009, kasvinsuojeluaineiden markkinoille saattamisesta sekä neuvoston direktiivien 79/117/ETY ja 91/414/ETY kumoamisesta (EUVL L 309, 24.11.2009, s. 1, ELI: </w:t>
      </w:r>
      <w:hyperlink r:id="rId18" w:history="1">
        <w:r w:rsidRPr="00225FAC">
          <w:rPr>
            <w:rStyle w:val="Hyperlink"/>
            <w:sz w:val="24"/>
            <w:lang w:val="fi-FI"/>
          </w:rPr>
          <w:t>http://data.europa.eu/eli/reg/2009/1107/oj</w:t>
        </w:r>
      </w:hyperlink>
      <w:r w:rsidRPr="00225FAC">
        <w:rPr>
          <w:sz w:val="24"/>
          <w:lang w:val="fi-FI"/>
        </w:rPr>
        <w:t>).</w:t>
      </w:r>
    </w:p>
  </w:footnote>
  <w:footnote w:id="8">
    <w:p w14:paraId="0CB05844" w14:textId="50EFFAEE" w:rsidR="003A5D20" w:rsidRPr="00225FAC" w:rsidRDefault="003A5D20" w:rsidP="00225FAC">
      <w:pPr>
        <w:pStyle w:val="FootnoteText"/>
        <w:ind w:left="567" w:hanging="567"/>
        <w:rPr>
          <w:sz w:val="24"/>
          <w:lang w:val="fi-FI"/>
        </w:rPr>
      </w:pPr>
      <w:r w:rsidRPr="00225FAC">
        <w:rPr>
          <w:rStyle w:val="FootnoteReference"/>
          <w:sz w:val="24"/>
          <w:lang w:val="fi-FI"/>
        </w:rPr>
        <w:footnoteRef/>
      </w:r>
      <w:r w:rsidR="00225FAC" w:rsidRPr="00225FAC">
        <w:rPr>
          <w:sz w:val="24"/>
          <w:lang w:val="fi-FI"/>
        </w:rPr>
        <w:t xml:space="preserve"> </w:t>
      </w:r>
      <w:r w:rsidR="00225FAC" w:rsidRPr="00225FAC">
        <w:rPr>
          <w:sz w:val="24"/>
          <w:lang w:val="fi-FI"/>
        </w:rPr>
        <w:tab/>
      </w:r>
      <w:r w:rsidRPr="00225FAC">
        <w:rPr>
          <w:sz w:val="24"/>
          <w:lang w:val="fi-FI"/>
        </w:rPr>
        <w:t xml:space="preserve">Ks. esimerkiksi: </w:t>
      </w:r>
      <w:hyperlink r:id="rId19" w:history="1">
        <w:r w:rsidRPr="00225FAC">
          <w:rPr>
            <w:rStyle w:val="Hyperlink"/>
            <w:sz w:val="24"/>
            <w:lang w:val="fi-FI"/>
          </w:rPr>
          <w:t>https://doi.org/10.1016/j.mrrev.2019.02.001</w:t>
        </w:r>
      </w:hyperlink>
      <w:r w:rsidRPr="00225FAC">
        <w:rPr>
          <w:sz w:val="24"/>
          <w:lang w:val="fi-FI"/>
        </w:rPr>
        <w:t xml:space="preserve">, </w:t>
      </w:r>
      <w:hyperlink r:id="rId20" w:history="1">
        <w:r w:rsidRPr="00225FAC">
          <w:rPr>
            <w:rStyle w:val="Hyperlink"/>
            <w:sz w:val="24"/>
            <w:lang w:val="fi-FI"/>
          </w:rPr>
          <w:t>https://doi.org/10.1093/ije/dyz017</w:t>
        </w:r>
      </w:hyperlink>
      <w:r w:rsidRPr="00225FAC">
        <w:rPr>
          <w:sz w:val="24"/>
          <w:lang w:val="fi-FI"/>
        </w:rPr>
        <w:t xml:space="preserve">, </w:t>
      </w:r>
      <w:hyperlink r:id="rId21" w:history="1">
        <w:r w:rsidRPr="00225FAC">
          <w:rPr>
            <w:rStyle w:val="Hyperlink"/>
            <w:sz w:val="24"/>
            <w:lang w:val="fi-FI"/>
          </w:rPr>
          <w:t>https://doi.org/10.1371/journal.pone.0219610</w:t>
        </w:r>
      </w:hyperlink>
      <w:r w:rsidRPr="00225FAC">
        <w:rPr>
          <w:sz w:val="24"/>
          <w:lang w:val="fi-FI"/>
        </w:rPr>
        <w:t xml:space="preserve"> ja </w:t>
      </w:r>
      <w:hyperlink r:id="rId22" w:history="1">
        <w:r w:rsidRPr="00225FAC">
          <w:rPr>
            <w:rStyle w:val="Hyperlink"/>
            <w:sz w:val="24"/>
            <w:lang w:val="fi-FI"/>
          </w:rPr>
          <w:t>https://doi.org/10.1186/s13045-019-0767-9</w:t>
        </w:r>
      </w:hyperlink>
      <w:r w:rsidRPr="00225FAC">
        <w:rPr>
          <w:sz w:val="24"/>
          <w:lang w:val="fi-FI"/>
        </w:rPr>
        <w:t>.</w:t>
      </w:r>
    </w:p>
  </w:footnote>
  <w:footnote w:id="9">
    <w:p w14:paraId="6436E4B8" w14:textId="6CC67FB8" w:rsidR="003A5D20" w:rsidRPr="00225FAC" w:rsidRDefault="003A5D20" w:rsidP="00225FAC">
      <w:pPr>
        <w:pStyle w:val="FootnoteText"/>
        <w:ind w:left="567" w:hanging="567"/>
        <w:rPr>
          <w:sz w:val="24"/>
          <w:lang w:val="fi-FI"/>
        </w:rPr>
      </w:pPr>
      <w:r w:rsidRPr="00225FAC">
        <w:rPr>
          <w:rStyle w:val="FootnoteReference"/>
          <w:sz w:val="24"/>
          <w:lang w:val="fi-FI"/>
        </w:rPr>
        <w:footnoteRef/>
      </w:r>
      <w:r w:rsidR="00225FAC" w:rsidRPr="00225FAC">
        <w:rPr>
          <w:sz w:val="24"/>
          <w:lang w:val="fi-FI"/>
        </w:rPr>
        <w:t xml:space="preserve"> </w:t>
      </w:r>
      <w:r w:rsidR="00225FAC" w:rsidRPr="00225FAC">
        <w:rPr>
          <w:sz w:val="24"/>
          <w:lang w:val="fi-FI"/>
        </w:rPr>
        <w:tab/>
      </w:r>
      <w:hyperlink r:id="rId23" w:history="1">
        <w:r w:rsidRPr="00225FAC">
          <w:rPr>
            <w:rStyle w:val="Hyperlink"/>
            <w:sz w:val="24"/>
            <w:lang w:val="fi-FI"/>
          </w:rPr>
          <w:t>https://doi.org/10.1006/rtph.1999.1371</w:t>
        </w:r>
      </w:hyperlink>
      <w:r w:rsidRPr="00225FAC">
        <w:rPr>
          <w:sz w:val="24"/>
          <w:lang w:val="fi-FI"/>
        </w:rPr>
        <w:t xml:space="preserve">. </w:t>
      </w:r>
    </w:p>
  </w:footnote>
  <w:footnote w:id="10">
    <w:p w14:paraId="28F153A4" w14:textId="1E8BF3F6" w:rsidR="003A5D20" w:rsidRPr="000B6F87" w:rsidRDefault="003A5D20" w:rsidP="00225FAC">
      <w:pPr>
        <w:pStyle w:val="FootnoteText"/>
        <w:ind w:left="567" w:hanging="567"/>
        <w:rPr>
          <w:sz w:val="24"/>
        </w:rPr>
      </w:pPr>
      <w:r w:rsidRPr="00225FAC">
        <w:rPr>
          <w:rStyle w:val="FootnoteReference"/>
          <w:sz w:val="24"/>
          <w:lang w:val="fi-FI"/>
        </w:rPr>
        <w:footnoteRef/>
      </w:r>
      <w:r w:rsidR="00225FAC" w:rsidRPr="00225FAC">
        <w:rPr>
          <w:sz w:val="24"/>
          <w:lang w:val="fi-FI"/>
        </w:rPr>
        <w:t xml:space="preserve"> </w:t>
      </w:r>
      <w:r w:rsidR="00225FAC" w:rsidRPr="00225FAC">
        <w:rPr>
          <w:sz w:val="24"/>
          <w:lang w:val="fi-FI"/>
        </w:rPr>
        <w:tab/>
      </w:r>
      <w:r w:rsidRPr="00225FAC">
        <w:rPr>
          <w:sz w:val="24"/>
          <w:lang w:val="fi-FI"/>
        </w:rPr>
        <w:t>Joulukuussa 2022 pidetyssä biologista monimuotoisuutta koskevan Yhdistyneiden kansakuntien yleissopimuksen sopimuspuolten 15. konferenssissa hyväksyttiin maailmanlaajuinen biodiversiteettikehys, joka sisältää maailmanlaajuisen tavoitteen vähentää torjunta-aineista aiheutuvia riskejä vähintään 50 prosentilla vuoteen 2030 mennessä (ks.</w:t>
      </w:r>
      <w:r w:rsidRPr="00225FAC">
        <w:rPr>
          <w:color w:val="000000" w:themeColor="text1"/>
          <w:sz w:val="24"/>
          <w:lang w:val="fi-FI"/>
        </w:rPr>
        <w:t xml:space="preserve"> </w:t>
      </w:r>
      <w:hyperlink r:id="rId24" w:history="1">
        <w:r w:rsidRPr="000B6F87">
          <w:rPr>
            <w:rStyle w:val="Hyperlink"/>
            <w:sz w:val="24"/>
          </w:rPr>
          <w:t>https://ec.europa.eu/commission/presscorner/detail/fi/ip_22_7834</w:t>
        </w:r>
      </w:hyperlink>
      <w:r w:rsidRPr="000B6F87">
        <w:rPr>
          <w:sz w:val="24"/>
        </w:rPr>
        <w:t>).</w:t>
      </w:r>
    </w:p>
  </w:footnote>
  <w:footnote w:id="11">
    <w:p w14:paraId="4D228A87" w14:textId="1A7BF414" w:rsidR="003A5D20" w:rsidRPr="000B6F87" w:rsidRDefault="003A5D20" w:rsidP="00225FAC">
      <w:pPr>
        <w:pStyle w:val="FootnoteText"/>
        <w:ind w:left="567" w:hanging="567"/>
        <w:rPr>
          <w:sz w:val="24"/>
        </w:rPr>
      </w:pPr>
      <w:r w:rsidRPr="00225FAC">
        <w:rPr>
          <w:rStyle w:val="FootnoteReference"/>
          <w:sz w:val="24"/>
          <w:lang w:val="fi-FI"/>
        </w:rPr>
        <w:footnoteRef/>
      </w:r>
      <w:r w:rsidR="00225FAC" w:rsidRPr="000B6F87">
        <w:rPr>
          <w:sz w:val="24"/>
        </w:rPr>
        <w:t xml:space="preserve"> </w:t>
      </w:r>
      <w:r w:rsidR="00225FAC" w:rsidRPr="000B6F87">
        <w:rPr>
          <w:sz w:val="24"/>
        </w:rPr>
        <w:tab/>
      </w:r>
      <w:hyperlink r:id="rId25" w:history="1">
        <w:r w:rsidRPr="000B6F87">
          <w:rPr>
            <w:rStyle w:val="Hyperlink"/>
            <w:sz w:val="24"/>
          </w:rPr>
          <w:t>https://commission.europa.eu/topics/agriculture-and-rural-development/strategic-dialogue-future-eu-agriculture_fi</w:t>
        </w:r>
      </w:hyperlink>
      <w:r w:rsidRPr="000B6F87">
        <w:rPr>
          <w:rStyle w:val="Hyperlink"/>
          <w:sz w:val="24"/>
        </w:rPr>
        <w:t>.</w:t>
      </w:r>
      <w:r w:rsidRPr="000B6F87">
        <w:rPr>
          <w:sz w:val="24"/>
        </w:rPr>
        <w:t xml:space="preserve"> </w:t>
      </w:r>
    </w:p>
  </w:footnote>
  <w:footnote w:id="12">
    <w:p w14:paraId="41292F9D" w14:textId="526C33DE" w:rsidR="003A5D20" w:rsidRPr="00225FAC" w:rsidRDefault="003A5D20" w:rsidP="00225FAC">
      <w:pPr>
        <w:pStyle w:val="FootnoteText"/>
        <w:ind w:left="567" w:hanging="567"/>
        <w:rPr>
          <w:sz w:val="24"/>
          <w:lang w:val="fi-FI"/>
        </w:rPr>
      </w:pPr>
      <w:r w:rsidRPr="00225FAC">
        <w:rPr>
          <w:rStyle w:val="FootnoteReference"/>
          <w:sz w:val="24"/>
          <w:lang w:val="fi-FI"/>
        </w:rPr>
        <w:footnoteRef/>
      </w:r>
      <w:r w:rsidR="00225FAC" w:rsidRPr="00225FAC">
        <w:rPr>
          <w:sz w:val="24"/>
          <w:lang w:val="fi-FI"/>
        </w:rPr>
        <w:t xml:space="preserve"> </w:t>
      </w:r>
      <w:r w:rsidR="00225FAC" w:rsidRPr="00225FAC">
        <w:rPr>
          <w:sz w:val="24"/>
          <w:lang w:val="fi-FI"/>
        </w:rPr>
        <w:tab/>
      </w:r>
      <w:r w:rsidRPr="00225FAC">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w:t>
      </w:r>
      <w:r w:rsidRPr="00225FAC">
        <w:rPr>
          <w:color w:val="000000" w:themeColor="text1"/>
          <w:sz w:val="24"/>
          <w:lang w:val="fi-FI"/>
        </w:rPr>
        <w:t> </w:t>
      </w:r>
      <w:hyperlink r:id="rId26" w:tgtFrame="Gives access to this document through its ELI URI." w:history="1">
        <w:r w:rsidRPr="00225FAC">
          <w:rPr>
            <w:rStyle w:val="Hyperlink"/>
            <w:color w:val="0070C0"/>
            <w:sz w:val="24"/>
            <w:lang w:val="fi-FI"/>
          </w:rPr>
          <w:t>http://data.europa.eu/eli/reg/2002/178/oj</w:t>
        </w:r>
      </w:hyperlink>
      <w:r w:rsidRPr="00225FA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100315">
    <w:abstractNumId w:val="9"/>
  </w:num>
  <w:num w:numId="2" w16cid:durableId="1435246950">
    <w:abstractNumId w:val="9"/>
  </w:num>
  <w:num w:numId="3" w16cid:durableId="1537740762">
    <w:abstractNumId w:val="7"/>
  </w:num>
  <w:num w:numId="4" w16cid:durableId="829254038">
    <w:abstractNumId w:val="7"/>
  </w:num>
  <w:num w:numId="5" w16cid:durableId="1881629710">
    <w:abstractNumId w:val="6"/>
  </w:num>
  <w:num w:numId="6" w16cid:durableId="2147039508">
    <w:abstractNumId w:val="6"/>
  </w:num>
  <w:num w:numId="7" w16cid:durableId="1170484489">
    <w:abstractNumId w:val="5"/>
  </w:num>
  <w:num w:numId="8" w16cid:durableId="1754663828">
    <w:abstractNumId w:val="5"/>
  </w:num>
  <w:num w:numId="9" w16cid:durableId="547569758">
    <w:abstractNumId w:val="4"/>
  </w:num>
  <w:num w:numId="10" w16cid:durableId="1489830940">
    <w:abstractNumId w:val="4"/>
  </w:num>
  <w:num w:numId="11" w16cid:durableId="1115637965">
    <w:abstractNumId w:val="8"/>
  </w:num>
  <w:num w:numId="12" w16cid:durableId="2064940448">
    <w:abstractNumId w:val="8"/>
  </w:num>
  <w:num w:numId="13" w16cid:durableId="1452672203">
    <w:abstractNumId w:val="3"/>
  </w:num>
  <w:num w:numId="14" w16cid:durableId="994648937">
    <w:abstractNumId w:val="3"/>
  </w:num>
  <w:num w:numId="15" w16cid:durableId="1831211667">
    <w:abstractNumId w:val="2"/>
  </w:num>
  <w:num w:numId="16" w16cid:durableId="1851479782">
    <w:abstractNumId w:val="2"/>
  </w:num>
  <w:num w:numId="17" w16cid:durableId="785470225">
    <w:abstractNumId w:val="1"/>
  </w:num>
  <w:num w:numId="18" w16cid:durableId="1830320460">
    <w:abstractNumId w:val="1"/>
  </w:num>
  <w:num w:numId="19" w16cid:durableId="692194628">
    <w:abstractNumId w:val="0"/>
  </w:num>
  <w:num w:numId="20" w16cid:durableId="568734976">
    <w:abstractNumId w:val="0"/>
  </w:num>
  <w:num w:numId="21" w16cid:durableId="37508609">
    <w:abstractNumId w:val="9"/>
  </w:num>
  <w:num w:numId="22" w16cid:durableId="599223589">
    <w:abstractNumId w:val="7"/>
  </w:num>
  <w:num w:numId="23" w16cid:durableId="829710104">
    <w:abstractNumId w:val="6"/>
  </w:num>
  <w:num w:numId="24" w16cid:durableId="677124043">
    <w:abstractNumId w:val="5"/>
  </w:num>
  <w:num w:numId="25" w16cid:durableId="430243872">
    <w:abstractNumId w:val="4"/>
  </w:num>
  <w:num w:numId="26" w16cid:durableId="613631396">
    <w:abstractNumId w:val="8"/>
  </w:num>
  <w:num w:numId="27" w16cid:durableId="1967352413">
    <w:abstractNumId w:val="3"/>
  </w:num>
  <w:num w:numId="28" w16cid:durableId="1416367490">
    <w:abstractNumId w:val="2"/>
  </w:num>
  <w:num w:numId="29" w16cid:durableId="369889557">
    <w:abstractNumId w:val="1"/>
  </w:num>
  <w:num w:numId="30" w16cid:durableId="1134327975">
    <w:abstractNumId w:val="0"/>
  </w:num>
  <w:num w:numId="31" w16cid:durableId="1975407321">
    <w:abstractNumId w:val="9"/>
  </w:num>
  <w:num w:numId="32" w16cid:durableId="1222516174">
    <w:abstractNumId w:val="7"/>
  </w:num>
  <w:num w:numId="33" w16cid:durableId="1582712252">
    <w:abstractNumId w:val="6"/>
  </w:num>
  <w:num w:numId="34" w16cid:durableId="1633511295">
    <w:abstractNumId w:val="5"/>
  </w:num>
  <w:num w:numId="35" w16cid:durableId="812331009">
    <w:abstractNumId w:val="4"/>
  </w:num>
  <w:num w:numId="36" w16cid:durableId="1389960631">
    <w:abstractNumId w:val="8"/>
  </w:num>
  <w:num w:numId="37" w16cid:durableId="917978176">
    <w:abstractNumId w:val="3"/>
  </w:num>
  <w:num w:numId="38" w16cid:durableId="876161353">
    <w:abstractNumId w:val="2"/>
  </w:num>
  <w:num w:numId="39" w16cid:durableId="46338761">
    <w:abstractNumId w:val="1"/>
  </w:num>
  <w:num w:numId="40" w16cid:durableId="186792183">
    <w:abstractNumId w:val="0"/>
  </w:num>
  <w:num w:numId="41" w16cid:durableId="1222865154">
    <w:abstractNumId w:val="10"/>
  </w:num>
  <w:num w:numId="42" w16cid:durableId="347488220">
    <w:abstractNumId w:val="10"/>
  </w:num>
  <w:num w:numId="43" w16cid:durableId="1511018344">
    <w:abstractNumId w:val="10"/>
  </w:num>
  <w:num w:numId="44" w16cid:durableId="1575242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FI"/>
    <w:docVar w:name="dvnumam" w:val="0"/>
    <w:docVar w:name="dvpe" w:val="782.192"/>
    <w:docVar w:name="dvtitre" w:val="Euroopan parlamentin päätöslauselma 11. helmikuuta 2026 ehdotuksesta komission täytäntöönpanopäätökseksi luvan antamisesta muuntogeenistä soijaa DBN-09004-6 sisältävien, siitä koostuvien tai siitä valmistettujen tuotteiden saattamiseksi markkinoille Euroopan parlamentin ja neuvoston asetuksen (EY) N:o 1829/2003 mukaisesti (D111472/02 – 2026/2523(RSP))"/>
  </w:docVars>
  <w:rsids>
    <w:rsidRoot w:val="008974CB"/>
    <w:rsid w:val="00002272"/>
    <w:rsid w:val="00064002"/>
    <w:rsid w:val="000677B9"/>
    <w:rsid w:val="000831BA"/>
    <w:rsid w:val="000A42CC"/>
    <w:rsid w:val="000B6F87"/>
    <w:rsid w:val="000E7DD9"/>
    <w:rsid w:val="0010095E"/>
    <w:rsid w:val="00107566"/>
    <w:rsid w:val="00125B37"/>
    <w:rsid w:val="00187494"/>
    <w:rsid w:val="001F32AE"/>
    <w:rsid w:val="00225FAC"/>
    <w:rsid w:val="002767FF"/>
    <w:rsid w:val="002B18FE"/>
    <w:rsid w:val="002B5493"/>
    <w:rsid w:val="00343214"/>
    <w:rsid w:val="00361C00"/>
    <w:rsid w:val="00395FA1"/>
    <w:rsid w:val="003A5D2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7BC"/>
    <w:rsid w:val="005C2568"/>
    <w:rsid w:val="005F1B17"/>
    <w:rsid w:val="006037C0"/>
    <w:rsid w:val="006561F8"/>
    <w:rsid w:val="006631B6"/>
    <w:rsid w:val="00680577"/>
    <w:rsid w:val="006F74FA"/>
    <w:rsid w:val="00731ADD"/>
    <w:rsid w:val="00734777"/>
    <w:rsid w:val="00747932"/>
    <w:rsid w:val="00751A4A"/>
    <w:rsid w:val="00756632"/>
    <w:rsid w:val="00762C74"/>
    <w:rsid w:val="007745A6"/>
    <w:rsid w:val="00786EC0"/>
    <w:rsid w:val="007C7A13"/>
    <w:rsid w:val="007D1690"/>
    <w:rsid w:val="007E22AD"/>
    <w:rsid w:val="00817416"/>
    <w:rsid w:val="00842779"/>
    <w:rsid w:val="00865F67"/>
    <w:rsid w:val="00881A7B"/>
    <w:rsid w:val="008840E5"/>
    <w:rsid w:val="00887B3E"/>
    <w:rsid w:val="008974C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914"/>
    <w:rsid w:val="00B558F0"/>
    <w:rsid w:val="00BB715B"/>
    <w:rsid w:val="00BD48FE"/>
    <w:rsid w:val="00BD7BD8"/>
    <w:rsid w:val="00BE6ADC"/>
    <w:rsid w:val="00C035F1"/>
    <w:rsid w:val="00C05BFE"/>
    <w:rsid w:val="00C23CD4"/>
    <w:rsid w:val="00C61C0C"/>
    <w:rsid w:val="00C941CB"/>
    <w:rsid w:val="00CA5C9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6D230"/>
  <w15:chartTrackingRefBased/>
  <w15:docId w15:val="{BC82FF12-35F0-45E4-8733-28B579480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61F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3A5D20"/>
    <w:pPr>
      <w:spacing w:before="480" w:after="240"/>
    </w:pPr>
  </w:style>
  <w:style w:type="paragraph" w:customStyle="1" w:styleId="NormalHanging12a">
    <w:name w:val="NormalHanging12a"/>
    <w:basedOn w:val="Normal"/>
    <w:uiPriority w:val="99"/>
    <w:qFormat/>
    <w:rsid w:val="003A5D20"/>
    <w:pPr>
      <w:spacing w:after="240"/>
      <w:ind w:left="567" w:hanging="567"/>
    </w:pPr>
  </w:style>
  <w:style w:type="character" w:styleId="Hyperlink">
    <w:name w:val="Hyperlink"/>
    <w:basedOn w:val="DefaultParagraphFont"/>
    <w:uiPriority w:val="99"/>
    <w:rsid w:val="003A5D20"/>
    <w:rPr>
      <w:color w:val="0563C1" w:themeColor="hyperlink"/>
      <w:u w:val="single"/>
    </w:rPr>
  </w:style>
  <w:style w:type="paragraph" w:styleId="NormalWeb">
    <w:name w:val="Normal (Web)"/>
    <w:basedOn w:val="Normal"/>
    <w:uiPriority w:val="99"/>
    <w:unhideWhenUsed/>
    <w:rsid w:val="003A5D20"/>
    <w:pPr>
      <w:widowControl/>
      <w:spacing w:before="100" w:beforeAutospacing="1" w:after="100" w:afterAutospacing="1"/>
    </w:pPr>
    <w:rPr>
      <w:szCs w:val="24"/>
    </w:rPr>
  </w:style>
  <w:style w:type="paragraph" w:styleId="Revision">
    <w:name w:val="Revision"/>
    <w:hidden/>
    <w:uiPriority w:val="99"/>
    <w:semiHidden/>
    <w:rsid w:val="00CA5C98"/>
    <w:rPr>
      <w:sz w:val="24"/>
      <w:lang w:val="fi-FI"/>
    </w:rPr>
  </w:style>
  <w:style w:type="paragraph" w:styleId="Footer">
    <w:name w:val="footer"/>
    <w:basedOn w:val="Normal"/>
    <w:link w:val="FooterChar"/>
    <w:rsid w:val="007C7A13"/>
    <w:pPr>
      <w:tabs>
        <w:tab w:val="center" w:pos="4513"/>
        <w:tab w:val="right" w:pos="9026"/>
      </w:tabs>
    </w:pPr>
  </w:style>
  <w:style w:type="character" w:customStyle="1" w:styleId="FooterChar">
    <w:name w:val="Footer Char"/>
    <w:basedOn w:val="DefaultParagraphFont"/>
    <w:link w:val="Footer"/>
    <w:rsid w:val="007C7A1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topics/agriculture-and-rural-development/strategic-dialogue-future-eu-agriculture_fi"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fi/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1289</Words>
  <Characters>10962</Characters>
  <Application>Microsoft Office Word</Application>
  <DocSecurity>0</DocSecurity>
  <Lines>203</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2026-03-18T09:50:00Z</dcterms:created>
  <dcterms:modified xsi:type="dcterms:W3CDTF">2026-03-18T09:50:00Z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B10-0107/2026</vt:lpwstr>
  </property>
  <property fmtid="{D5CDD505-2E9C-101B-9397-08002B2CF9AE}" pid="4" name="&lt;Type&gt;">
    <vt:lpwstr>RR</vt:lpwstr>
  </property>
</Properties>
</file>