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C761A" w14:paraId="6DA04E5F" w14:textId="77777777" w:rsidTr="0010095E">
        <w:trPr>
          <w:trHeight w:hRule="exact" w:val="1418"/>
        </w:trPr>
        <w:tc>
          <w:tcPr>
            <w:tcW w:w="6804" w:type="dxa"/>
            <w:shd w:val="clear" w:color="auto" w:fill="auto"/>
            <w:vAlign w:val="center"/>
          </w:tcPr>
          <w:p w14:paraId="514C831A" w14:textId="77777777" w:rsidR="00751A4A" w:rsidRPr="002C761A" w:rsidRDefault="003B5737" w:rsidP="0010095E">
            <w:pPr>
              <w:pStyle w:val="EPName"/>
            </w:pPr>
            <w:r w:rsidRPr="002C761A">
              <w:t>Europski parlament</w:t>
            </w:r>
          </w:p>
          <w:p w14:paraId="7F4E5169" w14:textId="77777777" w:rsidR="00751A4A" w:rsidRPr="002C761A" w:rsidRDefault="005F1B17" w:rsidP="005F1B17">
            <w:pPr>
              <w:pStyle w:val="EPTerm"/>
              <w:rPr>
                <w:rStyle w:val="HideTWBExt"/>
                <w:noProof w:val="0"/>
                <w:vanish w:val="0"/>
                <w:color w:val="auto"/>
              </w:rPr>
            </w:pPr>
            <w:r w:rsidRPr="002C761A">
              <w:t>2024</w:t>
            </w:r>
            <w:r w:rsidR="00817416" w:rsidRPr="002C761A">
              <w:t>-202</w:t>
            </w:r>
            <w:r w:rsidRPr="002C761A">
              <w:t>9</w:t>
            </w:r>
          </w:p>
        </w:tc>
        <w:tc>
          <w:tcPr>
            <w:tcW w:w="2268" w:type="dxa"/>
            <w:shd w:val="clear" w:color="auto" w:fill="auto"/>
          </w:tcPr>
          <w:p w14:paraId="7A962898" w14:textId="77777777" w:rsidR="00751A4A" w:rsidRPr="002C761A" w:rsidRDefault="00187494" w:rsidP="0010095E">
            <w:pPr>
              <w:pStyle w:val="EPLogo"/>
            </w:pPr>
            <w:r w:rsidRPr="002C761A">
              <w:rPr>
                <w:noProof/>
                <w:lang w:eastAsia="ja-JP"/>
              </w:rPr>
              <w:drawing>
                <wp:inline distT="0" distB="0" distL="0" distR="0" wp14:anchorId="52E31722" wp14:editId="6CFB444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9EB75CB" w14:textId="77777777" w:rsidR="00D058B8" w:rsidRPr="002C761A" w:rsidRDefault="00D058B8" w:rsidP="004C5D52">
      <w:pPr>
        <w:pStyle w:val="LineTop"/>
      </w:pPr>
    </w:p>
    <w:p w14:paraId="1912BA26" w14:textId="77777777" w:rsidR="00680577" w:rsidRPr="002C761A" w:rsidRDefault="003B5737" w:rsidP="00680577">
      <w:pPr>
        <w:pStyle w:val="EPBodyTA1"/>
      </w:pPr>
      <w:r w:rsidRPr="002C761A">
        <w:t>USVOJENI TEKSTOVI</w:t>
      </w:r>
    </w:p>
    <w:p w14:paraId="7E7C0FA1" w14:textId="77777777" w:rsidR="00D058B8" w:rsidRPr="002C761A" w:rsidRDefault="00D058B8" w:rsidP="00D058B8">
      <w:pPr>
        <w:pStyle w:val="LineBottom"/>
      </w:pPr>
    </w:p>
    <w:p w14:paraId="78708CCB" w14:textId="059EED14" w:rsidR="003B5737" w:rsidRPr="002C761A" w:rsidRDefault="003B5737" w:rsidP="003B5737">
      <w:pPr>
        <w:pStyle w:val="ATHeading1"/>
      </w:pPr>
      <w:bookmarkStart w:id="0" w:name="TANumber"/>
      <w:r w:rsidRPr="002C761A">
        <w:t>P10_TA(2026)00</w:t>
      </w:r>
      <w:r w:rsidR="002C761A" w:rsidRPr="002C761A">
        <w:t>41</w:t>
      </w:r>
      <w:bookmarkEnd w:id="0"/>
    </w:p>
    <w:p w14:paraId="10D64AF3" w14:textId="74C2BDC6" w:rsidR="003B5737" w:rsidRPr="002C761A" w:rsidRDefault="0072022D" w:rsidP="003B5737">
      <w:pPr>
        <w:pStyle w:val="ATHeading2"/>
      </w:pPr>
      <w:bookmarkStart w:id="1" w:name="title"/>
      <w:r w:rsidRPr="002C761A">
        <w:t>G</w:t>
      </w:r>
      <w:r w:rsidR="003B5737" w:rsidRPr="002C761A">
        <w:t>enetski modificirana soja DBN-09004-6</w:t>
      </w:r>
      <w:bookmarkEnd w:id="1"/>
    </w:p>
    <w:p w14:paraId="080601DB" w14:textId="77777777" w:rsidR="003B5737" w:rsidRPr="002C761A" w:rsidRDefault="003B5737" w:rsidP="003B5737">
      <w:pPr>
        <w:rPr>
          <w:i/>
          <w:vanish/>
        </w:rPr>
      </w:pPr>
      <w:r w:rsidRPr="002C761A">
        <w:rPr>
          <w:i/>
        </w:rPr>
        <w:fldChar w:fldCharType="begin"/>
      </w:r>
      <w:r w:rsidRPr="002C761A">
        <w:rPr>
          <w:i/>
        </w:rPr>
        <w:instrText xml:space="preserve"> TC"(</w:instrText>
      </w:r>
      <w:bookmarkStart w:id="2" w:name="DocNumber"/>
      <w:r w:rsidRPr="002C761A">
        <w:rPr>
          <w:i/>
        </w:rPr>
        <w:instrText>B10-0107/2026</w:instrText>
      </w:r>
      <w:bookmarkEnd w:id="2"/>
      <w:r w:rsidRPr="002C761A">
        <w:rPr>
          <w:i/>
        </w:rPr>
        <w:instrText xml:space="preserve">)"\l3 \n&gt; \* MERGEFORMAT </w:instrText>
      </w:r>
      <w:r w:rsidRPr="002C761A">
        <w:rPr>
          <w:i/>
        </w:rPr>
        <w:fldChar w:fldCharType="end"/>
      </w:r>
    </w:p>
    <w:p w14:paraId="6981DD29" w14:textId="77777777" w:rsidR="003B5737" w:rsidRPr="002C761A" w:rsidRDefault="003B5737" w:rsidP="003B5737">
      <w:pPr>
        <w:rPr>
          <w:vanish/>
        </w:rPr>
      </w:pPr>
      <w:bookmarkStart w:id="3" w:name="PE"/>
      <w:r w:rsidRPr="002C761A">
        <w:rPr>
          <w:vanish/>
        </w:rPr>
        <w:t>PE782.192</w:t>
      </w:r>
      <w:bookmarkEnd w:id="3"/>
    </w:p>
    <w:p w14:paraId="360E6D59" w14:textId="49AC767A" w:rsidR="003B5737" w:rsidRPr="002C761A" w:rsidRDefault="003B5737" w:rsidP="003B5737">
      <w:pPr>
        <w:pStyle w:val="ATHeading3"/>
      </w:pPr>
      <w:bookmarkStart w:id="4" w:name="Sujet"/>
      <w:r w:rsidRPr="002C761A">
        <w:t xml:space="preserve">Rezolucija Europskog parlamenta od </w:t>
      </w:r>
      <w:r w:rsidR="003C406C" w:rsidRPr="002C761A">
        <w:t>11</w:t>
      </w:r>
      <w:r w:rsidRPr="002C761A">
        <w:t xml:space="preserve">. </w:t>
      </w:r>
      <w:r w:rsidR="003C406C" w:rsidRPr="002C761A">
        <w:t xml:space="preserve">veljače </w:t>
      </w:r>
      <w:r w:rsidRPr="002C761A">
        <w:t xml:space="preserve">2026. o Nacrtu provedbene odluke Komisije o odobravanju stavljanja na tržište proizvoda koji sadržavaju genetski modificiranu soju DBN-09004-6, sastoje se ili su proizvedeni od nje, u skladu s Uredbom (EZ) br. 1829/2003 Europskog parlamenta i Vijeća </w:t>
      </w:r>
      <w:bookmarkStart w:id="5" w:name="References"/>
      <w:bookmarkEnd w:id="4"/>
      <w:r w:rsidRPr="002C761A">
        <w:t>(D111472/02 – 2026/2523(RSP))</w:t>
      </w:r>
      <w:bookmarkEnd w:id="5"/>
    </w:p>
    <w:p w14:paraId="3C14853B" w14:textId="77777777" w:rsidR="00C2650C" w:rsidRPr="002C761A" w:rsidRDefault="00C2650C" w:rsidP="00C2650C">
      <w:pPr>
        <w:pStyle w:val="EPComma"/>
      </w:pPr>
      <w:bookmarkStart w:id="6" w:name="TextBodyBegin"/>
      <w:bookmarkEnd w:id="6"/>
      <w:r w:rsidRPr="002C761A">
        <w:rPr>
          <w:i/>
        </w:rPr>
        <w:t>Europski parlament</w:t>
      </w:r>
      <w:r w:rsidRPr="002C761A">
        <w:t>,</w:t>
      </w:r>
    </w:p>
    <w:p w14:paraId="7A47F36F" w14:textId="77777777" w:rsidR="00C2650C" w:rsidRPr="002C761A" w:rsidRDefault="00C2650C" w:rsidP="00C2650C">
      <w:pPr>
        <w:pStyle w:val="NormalHanging12a"/>
      </w:pPr>
      <w:r w:rsidRPr="002C761A">
        <w:t>–</w:t>
      </w:r>
      <w:r w:rsidRPr="002C761A">
        <w:tab/>
        <w:t>uzimajući u obzir Nacrt provedbene odluke Komisije o odobravanju stavljanja na tržište proizvoda koji sadržavaju genetski modificiranu soju DBN-09004-6, sastoje se ili su proizvedeni od nje, u skladu s Uredbom (EZ) br. 1829/2003 Europskog parlamenta i Vijeća (D111472/02),</w:t>
      </w:r>
    </w:p>
    <w:p w14:paraId="3552E2B6" w14:textId="77777777" w:rsidR="00C2650C" w:rsidRPr="002C761A" w:rsidRDefault="00C2650C" w:rsidP="00C2650C">
      <w:pPr>
        <w:pStyle w:val="NormalHanging12a"/>
      </w:pPr>
      <w:r w:rsidRPr="002C761A">
        <w:t>–</w:t>
      </w:r>
      <w:r w:rsidRPr="002C761A">
        <w:tab/>
        <w:t>uzimajući u obzir Uredbu (EZ) br. 1829/2003 Europskog parlamenta i Vijeća od 22. rujna 2003. o genetski modificiranoj hrani i hrani za životinje</w:t>
      </w:r>
      <w:r w:rsidRPr="002C761A">
        <w:rPr>
          <w:rStyle w:val="FootnoteReference"/>
        </w:rPr>
        <w:footnoteReference w:id="1"/>
      </w:r>
      <w:r w:rsidRPr="002C761A">
        <w:t>, a posebno njezin članak 7. stavak 3. i članak 19. stavak 3.,</w:t>
      </w:r>
    </w:p>
    <w:p w14:paraId="47D01D7C" w14:textId="5BE848D9" w:rsidR="00C2650C" w:rsidRPr="002C761A" w:rsidRDefault="00C2650C" w:rsidP="00C2650C">
      <w:pPr>
        <w:pStyle w:val="NormalHanging12a"/>
      </w:pPr>
      <w:r w:rsidRPr="002C761A">
        <w:t>–</w:t>
      </w:r>
      <w:r w:rsidRPr="002C761A">
        <w:tab/>
        <w:t>uzimajući u obzir glasovanje Stalnog odbora za bilje, životinje, hranu i hranu za životinje iz članka 35. Uredbe (EZ) br. 1829/2003, održano 12. prosinca 2025., koje nije dovelo do usvajanja mišljenja</w:t>
      </w:r>
      <w:bookmarkStart w:id="7" w:name="_Hlk219206484"/>
      <w:r w:rsidRPr="002C761A">
        <w:t>,</w:t>
      </w:r>
      <w:bookmarkEnd w:id="7"/>
      <w:r w:rsidR="0072022D" w:rsidRPr="002C761A">
        <w:t xml:space="preserve"> i glasovanje Žalbenog odbora održano 27. siječnja 2026., koje ponovno nije dovelo do usvajanja mišljenja,</w:t>
      </w:r>
    </w:p>
    <w:p w14:paraId="1607EED3" w14:textId="77777777" w:rsidR="00C2650C" w:rsidRPr="002C761A" w:rsidRDefault="00C2650C" w:rsidP="00C2650C">
      <w:pPr>
        <w:pStyle w:val="NormalHanging12a"/>
      </w:pPr>
      <w:r w:rsidRPr="002C761A">
        <w:t>–</w:t>
      </w:r>
      <w:r w:rsidRPr="002C761A">
        <w:tab/>
        <w:t>uzimajući u obzir članak 11. Uredbe (EU) br. 182/2011 Europskog parlamenta i Vijeća od 16. veljače 2011. o utvrđivanju pravila i općih načela u vezi s mehanizmima nadzora država članica nad izvršavanjem provedbenih ovlasti Komisije</w:t>
      </w:r>
      <w:r w:rsidRPr="002C761A">
        <w:rPr>
          <w:rStyle w:val="FootnoteReference"/>
        </w:rPr>
        <w:footnoteReference w:id="2"/>
      </w:r>
      <w:r w:rsidRPr="002C761A">
        <w:t>,</w:t>
      </w:r>
    </w:p>
    <w:p w14:paraId="4961C0C9" w14:textId="77777777" w:rsidR="00C2650C" w:rsidRPr="002C761A" w:rsidRDefault="00C2650C" w:rsidP="00C2650C">
      <w:pPr>
        <w:pStyle w:val="NormalHanging12a"/>
      </w:pPr>
      <w:r w:rsidRPr="002C761A">
        <w:t>–</w:t>
      </w:r>
      <w:r w:rsidRPr="002C761A">
        <w:tab/>
        <w:t>uzimajući u obzir mišljenje Europske agencije za sigurnost hrane (EFSA) usvojeno 21. svibnja 2025. i objavljeno 7. srpnja 2025.</w:t>
      </w:r>
      <w:r w:rsidRPr="002C761A">
        <w:rPr>
          <w:vertAlign w:val="superscript"/>
        </w:rPr>
        <w:footnoteReference w:id="3"/>
      </w:r>
      <w:r w:rsidRPr="002C761A">
        <w:t>,</w:t>
      </w:r>
    </w:p>
    <w:p w14:paraId="462DB856" w14:textId="77777777" w:rsidR="00C2650C" w:rsidRPr="002C761A" w:rsidRDefault="00C2650C" w:rsidP="00C2650C">
      <w:pPr>
        <w:pStyle w:val="NormalHanging12a"/>
      </w:pPr>
      <w:r w:rsidRPr="002C761A">
        <w:t>–</w:t>
      </w:r>
      <w:r w:rsidRPr="002C761A">
        <w:tab/>
        <w:t xml:space="preserve">uzimajući u obzir svoje prethodne rezolucije u kojima se protivi odobrenju genetski </w:t>
      </w:r>
      <w:r w:rsidRPr="002C761A">
        <w:lastRenderedPageBreak/>
        <w:t>modificiranih organizama („GMO”)</w:t>
      </w:r>
      <w:r w:rsidRPr="002C761A">
        <w:rPr>
          <w:vertAlign w:val="superscript"/>
        </w:rPr>
        <w:footnoteReference w:id="4"/>
      </w:r>
      <w:r w:rsidRPr="002C761A">
        <w:t>,</w:t>
      </w:r>
    </w:p>
    <w:p w14:paraId="6305827F" w14:textId="77777777" w:rsidR="00C2650C" w:rsidRPr="002C761A" w:rsidRDefault="00C2650C" w:rsidP="00C2650C">
      <w:pPr>
        <w:pStyle w:val="NormalHanging12a"/>
      </w:pPr>
      <w:r w:rsidRPr="002C761A">
        <w:lastRenderedPageBreak/>
        <w:t>–</w:t>
      </w:r>
      <w:r w:rsidRPr="002C761A">
        <w:tab/>
        <w:t>uzimajući u obzir članak 115. stavke 2. i 3. Poslovnika,</w:t>
      </w:r>
    </w:p>
    <w:p w14:paraId="656C385F" w14:textId="77777777" w:rsidR="00C2650C" w:rsidRPr="002C761A" w:rsidRDefault="00C2650C" w:rsidP="00C2650C">
      <w:pPr>
        <w:pStyle w:val="NormalHanging12a"/>
      </w:pPr>
      <w:r w:rsidRPr="002C761A">
        <w:t>–</w:t>
      </w:r>
      <w:r w:rsidRPr="002C761A">
        <w:tab/>
        <w:t>uzimajući u obzir Prijedlog rezolucije Odbora za okoliš, klimu i sigurnost hrane,</w:t>
      </w:r>
    </w:p>
    <w:p w14:paraId="03BB867B" w14:textId="77777777" w:rsidR="00C2650C" w:rsidRPr="002C761A" w:rsidRDefault="00C2650C" w:rsidP="00C2650C">
      <w:pPr>
        <w:pStyle w:val="NormalHanging12a"/>
        <w:ind w:hanging="570"/>
      </w:pPr>
      <w:r w:rsidRPr="002C761A">
        <w:t>A.</w:t>
      </w:r>
      <w:r w:rsidRPr="002C761A">
        <w:tab/>
        <w:t xml:space="preserve">budući da je, u skladu s člancima 5. i 17. Uredbe (EZ) br. 1829/2003, društvo </w:t>
      </w:r>
      <w:proofErr w:type="spellStart"/>
      <w:r w:rsidRPr="002C761A">
        <w:t>Perseus</w:t>
      </w:r>
      <w:proofErr w:type="spellEnd"/>
      <w:r w:rsidRPr="002C761A">
        <w:t xml:space="preserve"> BV sa sjedištem u Belgiji, u ime društva </w:t>
      </w:r>
      <w:proofErr w:type="spellStart"/>
      <w:r w:rsidRPr="002C761A">
        <w:t>Beijing</w:t>
      </w:r>
      <w:proofErr w:type="spellEnd"/>
      <w:r w:rsidRPr="002C761A">
        <w:t xml:space="preserve"> </w:t>
      </w:r>
      <w:proofErr w:type="spellStart"/>
      <w:r w:rsidRPr="002C761A">
        <w:t>DaBeiNong</w:t>
      </w:r>
      <w:proofErr w:type="spellEnd"/>
      <w:r w:rsidRPr="002C761A">
        <w:t xml:space="preserve"> </w:t>
      </w:r>
      <w:proofErr w:type="spellStart"/>
      <w:r w:rsidRPr="002C761A">
        <w:t>Biotechnology</w:t>
      </w:r>
      <w:proofErr w:type="spellEnd"/>
      <w:r w:rsidRPr="002C761A">
        <w:t xml:space="preserve"> Co., </w:t>
      </w:r>
      <w:proofErr w:type="spellStart"/>
      <w:r w:rsidRPr="002C761A">
        <w:t>Ltd</w:t>
      </w:r>
      <w:proofErr w:type="spellEnd"/>
      <w:r w:rsidRPr="002C761A">
        <w:t xml:space="preserve">. sa sjedištem u Kini, podnijelo 20. prosinca 2019. </w:t>
      </w:r>
      <w:r w:rsidRPr="002C761A">
        <w:rPr>
          <w:snapToGrid w:val="0"/>
        </w:rPr>
        <w:t>nacionalnom nadležnom tijelu Belgije zahtjev</w:t>
      </w:r>
      <w:r w:rsidRPr="002C761A">
        <w:t xml:space="preserve"> za stavljanje na tržište hrane, sastojaka hrane i hrane za životinje koji sadržavaju genetski modificiranu soju DBN-09004-6 („GM soja”), od nje se sastoje ili su od nje proizvedeni; budući da je taj zahtjev također obuhvaćao stavljanje na tržište proizvoda koji sadrže genetski modificiranu soju ili se sastoje od nje za druge namjene osim uporabe u hrani i hrani za životinje, no ne i za uzgoj;</w:t>
      </w:r>
    </w:p>
    <w:p w14:paraId="4C22DAB9" w14:textId="77777777" w:rsidR="00C2650C" w:rsidRPr="002C761A" w:rsidRDefault="00C2650C" w:rsidP="00C2650C">
      <w:pPr>
        <w:pStyle w:val="NormalHanging12a"/>
        <w:ind w:hanging="570"/>
      </w:pPr>
      <w:bookmarkStart w:id="8" w:name="_Hlk218675754"/>
      <w:r w:rsidRPr="002C761A">
        <w:t>B.</w:t>
      </w:r>
      <w:r w:rsidRPr="002C761A">
        <w:tab/>
        <w:t>budući da je EFSA 7. srpnja 2025. izdala pozitivno znanstveno mišljenje u skladu s člancima 6. i 18. Uredbe (EZ) br. 1829/2003, u kojem je zaključila da je genetski modificirana soja, kako je opisana u zahtjevu, jednako sigurna s obzirom na moguće učinke na zdravlje ljudi i životinja te na okoliš kao njezin konvencionalni ekvivalent i testirane referentne sorte soje koje nisu genetski modificirane; budući da se u tom mišljenju nije razmotrilo nekoliko širih ekoloških, socioekonomskih i kumulativnih učinaka, za koje EFSA smatra da nisu u njezinu djelokrugu;</w:t>
      </w:r>
    </w:p>
    <w:p w14:paraId="702DD454" w14:textId="77777777" w:rsidR="00C2650C" w:rsidRPr="002C761A" w:rsidRDefault="00C2650C" w:rsidP="00C2650C">
      <w:pPr>
        <w:pStyle w:val="NormalHanging12a"/>
        <w:ind w:hanging="570"/>
      </w:pPr>
      <w:r w:rsidRPr="002C761A">
        <w:t>C.</w:t>
      </w:r>
      <w:r w:rsidRPr="002C761A">
        <w:tab/>
        <w:t xml:space="preserve">budući da je genetski modificirana soja razvijena kako bi se omogućila tolerancija na </w:t>
      </w:r>
      <w:proofErr w:type="spellStart"/>
      <w:r w:rsidRPr="002C761A">
        <w:t>glufosinat</w:t>
      </w:r>
      <w:proofErr w:type="spellEnd"/>
      <w:r w:rsidRPr="002C761A">
        <w:t xml:space="preserve"> i </w:t>
      </w:r>
      <w:proofErr w:type="spellStart"/>
      <w:r w:rsidRPr="002C761A">
        <w:t>glifosat</w:t>
      </w:r>
      <w:proofErr w:type="spellEnd"/>
      <w:r w:rsidRPr="002C761A">
        <w:t>;</w:t>
      </w:r>
    </w:p>
    <w:bookmarkEnd w:id="8"/>
    <w:p w14:paraId="293794A7" w14:textId="77777777" w:rsidR="00C2650C" w:rsidRPr="002C761A" w:rsidRDefault="00C2650C" w:rsidP="00C2650C">
      <w:pPr>
        <w:pStyle w:val="NormalHanging12a"/>
      </w:pPr>
      <w:r w:rsidRPr="002C761A">
        <w:t>D.</w:t>
      </w:r>
      <w:r w:rsidRPr="002C761A">
        <w:tab/>
        <w:t>budući da procjena rizika koju je provela EFSA nije obuhvaćala dugoročne toksikološke studije ili detaljnu analizu kumulativnih i kombinatornih učinaka, uključujući moguće interakcije s ostacima pesticida koji se obično upotrebljavaju u uzgoju soje;</w:t>
      </w:r>
    </w:p>
    <w:p w14:paraId="544E8124" w14:textId="77777777" w:rsidR="00C2650C" w:rsidRPr="002C761A" w:rsidRDefault="00C2650C" w:rsidP="00C2650C">
      <w:pPr>
        <w:pStyle w:val="NormalHanging12a"/>
        <w:rPr>
          <w:color w:val="000000" w:themeColor="text1"/>
          <w:szCs w:val="24"/>
        </w:rPr>
      </w:pPr>
      <w:r w:rsidRPr="002C761A">
        <w:rPr>
          <w:color w:val="000000" w:themeColor="text1"/>
        </w:rPr>
        <w:t>E.</w:t>
      </w:r>
      <w:r w:rsidRPr="002C761A">
        <w:rPr>
          <w:color w:val="000000" w:themeColor="text1"/>
        </w:rPr>
        <w:tab/>
      </w:r>
      <w:r w:rsidRPr="002C761A">
        <w:t xml:space="preserve">budući da je velika većina genetski modificiranih usjeva, uključujući genetski modificiranu soju, genetski modificirana kako bi bila otporna na jedan ili više „komplementarnih” herbicida koji se mogu upotrebljavati tijekom cijelog uzgoja genetski modificirane kulture, a da pritom ne dođe do odumiranja usjeva, što bi bio slučaj s usjevom koji nije otporan na herbicide; </w:t>
      </w:r>
      <w:r w:rsidRPr="002C761A">
        <w:rPr>
          <w:color w:val="000000" w:themeColor="text1"/>
        </w:rPr>
        <w:t>budući da se u brojnim studijama navodi da je za genetski modificirane usjeve otporne na herbicide potrebna veća upotreba komplementarnih herbicida, velikim dijelom zbog pojave korova otpornih na herbicide</w:t>
      </w:r>
      <w:r w:rsidRPr="002C761A">
        <w:rPr>
          <w:rStyle w:val="FootnoteReference"/>
          <w:color w:val="000000" w:themeColor="text1"/>
          <w:szCs w:val="24"/>
        </w:rPr>
        <w:footnoteReference w:id="5"/>
      </w:r>
      <w:r w:rsidRPr="002C761A">
        <w:rPr>
          <w:color w:val="000000" w:themeColor="text1"/>
        </w:rPr>
        <w:t>;</w:t>
      </w:r>
    </w:p>
    <w:p w14:paraId="62BD1DF0" w14:textId="77777777" w:rsidR="00C2650C" w:rsidRPr="002C761A" w:rsidRDefault="00C2650C" w:rsidP="00C2650C">
      <w:pPr>
        <w:spacing w:after="240"/>
        <w:ind w:left="567" w:hanging="567"/>
        <w:rPr>
          <w:color w:val="000000" w:themeColor="text1"/>
          <w:szCs w:val="24"/>
        </w:rPr>
      </w:pPr>
      <w:r w:rsidRPr="002C761A">
        <w:t>F.</w:t>
      </w:r>
      <w:r w:rsidRPr="002C761A">
        <w:tab/>
        <w:t xml:space="preserve">budući da </w:t>
      </w:r>
      <w:r w:rsidRPr="002C761A">
        <w:rPr>
          <w:color w:val="000000" w:themeColor="text1"/>
        </w:rPr>
        <w:t xml:space="preserve">genetski modificirani usjevi otporni na herbicide poljoprivrednike uvlače u sustav upravljanja korovom koji u velikoj mjeri ili u potpunosti ovisi o herbicidima i to </w:t>
      </w:r>
      <w:r w:rsidRPr="002C761A">
        <w:rPr>
          <w:color w:val="000000" w:themeColor="text1"/>
        </w:rPr>
        <w:lastRenderedPageBreak/>
        <w:t>naplatom dodatka na cijenu za genetski modificirano sjeme, koji se može opravdati samo ako poljoprivrednici koji kupuju takvo sjeme koriste i komplementarne herbicide; budući da će se povećanim oslanjanjem na komplementarne herbicide na poljoprivrednim gospodarstvima na kojima je posađena genetski modificirana soja ubrzati pojava i širenje korova otpornih na te herbicide, što će dovesti do potrebe za još većom uporabom herbicida i pojave pod nazivom „začarani krug herbicida”; budući da će se zbog toga povećati negativni učinci koji proizlaze iz prekomjernog oslanjanja na herbicide na zdravlje tla i kvalitetu vode te na biološku raznolikost iznad zemlje i u njoj te će to dovesti do povećane izloženosti ljudi i životinja tim negativnim učincima, potencijalno i preko povećanja ostataka herbicida u hrani i hrani za životinje</w:t>
      </w:r>
      <w:r w:rsidRPr="002C761A">
        <w:rPr>
          <w:rStyle w:val="FootnoteReference"/>
          <w:color w:val="000000" w:themeColor="text1"/>
          <w:szCs w:val="24"/>
        </w:rPr>
        <w:footnoteReference w:id="6"/>
      </w:r>
      <w:r w:rsidRPr="002C761A">
        <w:rPr>
          <w:color w:val="000000" w:themeColor="text1"/>
        </w:rPr>
        <w:t>;</w:t>
      </w:r>
    </w:p>
    <w:p w14:paraId="0C32748E" w14:textId="77777777" w:rsidR="00C2650C" w:rsidRPr="002C761A" w:rsidRDefault="00C2650C" w:rsidP="00C2650C">
      <w:pPr>
        <w:pStyle w:val="NormalWeb"/>
        <w:widowControl w:val="0"/>
        <w:spacing w:before="0" w:beforeAutospacing="0" w:after="240" w:afterAutospacing="0"/>
        <w:ind w:left="567" w:hanging="567"/>
      </w:pPr>
      <w:r w:rsidRPr="002C761A">
        <w:t>G.</w:t>
      </w:r>
      <w:r w:rsidRPr="002C761A">
        <w:tab/>
        <w:t xml:space="preserve">budući da se </w:t>
      </w:r>
      <w:proofErr w:type="spellStart"/>
      <w:r w:rsidRPr="002C761A">
        <w:t>glufosinat</w:t>
      </w:r>
      <w:proofErr w:type="spellEnd"/>
      <w:r w:rsidRPr="002C761A">
        <w:t xml:space="preserve"> klasificira kao tvar koja je toksična za reproduktivno zdravlje (kategorija 1B) i stoga ispunjava kriterije za isključivanje iz Uredbe (EZ) br. 1107/2009 Europskog parlamenta i Vijeća</w:t>
      </w:r>
      <w:r w:rsidRPr="002C761A">
        <w:rPr>
          <w:rStyle w:val="FootnoteReference"/>
        </w:rPr>
        <w:footnoteReference w:id="7"/>
      </w:r>
      <w:r w:rsidRPr="002C761A">
        <w:t xml:space="preserve">; budući da je odobrenje za uporabu </w:t>
      </w:r>
      <w:proofErr w:type="spellStart"/>
      <w:r w:rsidRPr="002C761A">
        <w:t>glufosinata</w:t>
      </w:r>
      <w:proofErr w:type="spellEnd"/>
      <w:r w:rsidRPr="002C761A">
        <w:t xml:space="preserve"> u Uniji isteklo 31. srpnja 2018.;</w:t>
      </w:r>
    </w:p>
    <w:p w14:paraId="06AE2270" w14:textId="77777777" w:rsidR="00C2650C" w:rsidRPr="002C761A" w:rsidRDefault="00C2650C" w:rsidP="00C2650C">
      <w:pPr>
        <w:pStyle w:val="NormalHanging12a"/>
      </w:pPr>
      <w:r w:rsidRPr="002C761A">
        <w:t>H.</w:t>
      </w:r>
      <w:r w:rsidRPr="002C761A">
        <w:tab/>
        <w:t xml:space="preserve">budući da i dalje nisu riješene bitne dvojbe u pogledu karcinogenosti </w:t>
      </w:r>
      <w:proofErr w:type="spellStart"/>
      <w:r w:rsidRPr="002C761A">
        <w:t>glifosata</w:t>
      </w:r>
      <w:proofErr w:type="spellEnd"/>
      <w:r w:rsidRPr="002C761A">
        <w:t xml:space="preserve">; budući da je EFSA u studenome 2015. zaključila da </w:t>
      </w:r>
      <w:proofErr w:type="spellStart"/>
      <w:r w:rsidRPr="002C761A">
        <w:t>glifosat</w:t>
      </w:r>
      <w:proofErr w:type="spellEnd"/>
      <w:r w:rsidRPr="002C761A">
        <w:t xml:space="preserve"> vjerojatno nije karcinogen, a Europska agencija za kemikalije u ožujku 2017. da nije potrebna nikakva klasifikacija; budući da je, s druge strane, Međunarodna agencija za istraživanje raka, specijalizirana agencija Svjetske zdravstvene organizacije, 2015. kategorizirala </w:t>
      </w:r>
      <w:proofErr w:type="spellStart"/>
      <w:r w:rsidRPr="002C761A">
        <w:t>glifosat</w:t>
      </w:r>
      <w:proofErr w:type="spellEnd"/>
      <w:r w:rsidRPr="002C761A">
        <w:t xml:space="preserve"> kao tvar vjerojatno karcinogenu za čovjeka; budući da se u nizu najnovijih znanstvenih stručno recenziranih studija potvrđuje moguća karcinogenost </w:t>
      </w:r>
      <w:proofErr w:type="spellStart"/>
      <w:r w:rsidRPr="002C761A">
        <w:t>glifosata</w:t>
      </w:r>
      <w:proofErr w:type="spellEnd"/>
      <w:r w:rsidRPr="002C761A">
        <w:rPr>
          <w:rStyle w:val="FootnoteReference"/>
        </w:rPr>
        <w:footnoteReference w:id="8"/>
      </w:r>
      <w:r w:rsidRPr="002C761A">
        <w:t xml:space="preserve">; budući da je časopis </w:t>
      </w:r>
      <w:proofErr w:type="spellStart"/>
      <w:r w:rsidRPr="002C761A">
        <w:t>Regulatory</w:t>
      </w:r>
      <w:proofErr w:type="spellEnd"/>
      <w:r w:rsidRPr="002C761A">
        <w:t xml:space="preserve"> </w:t>
      </w:r>
      <w:proofErr w:type="spellStart"/>
      <w:r w:rsidRPr="002C761A">
        <w:t>Toxicology</w:t>
      </w:r>
      <w:proofErr w:type="spellEnd"/>
      <w:r w:rsidRPr="002C761A">
        <w:t xml:space="preserve"> </w:t>
      </w:r>
      <w:proofErr w:type="spellStart"/>
      <w:r w:rsidRPr="002C761A">
        <w:t>and</w:t>
      </w:r>
      <w:proofErr w:type="spellEnd"/>
      <w:r w:rsidRPr="002C761A">
        <w:t xml:space="preserve"> </w:t>
      </w:r>
      <w:proofErr w:type="spellStart"/>
      <w:r w:rsidRPr="002C761A">
        <w:t>Pharmacology</w:t>
      </w:r>
      <w:proofErr w:type="spellEnd"/>
      <w:r w:rsidRPr="002C761A">
        <w:t xml:space="preserve"> službeno povukao znanstveni rad „</w:t>
      </w:r>
      <w:proofErr w:type="spellStart"/>
      <w:r w:rsidRPr="002C761A">
        <w:t>Safety</w:t>
      </w:r>
      <w:proofErr w:type="spellEnd"/>
      <w:r w:rsidRPr="002C761A">
        <w:t xml:space="preserve"> </w:t>
      </w:r>
      <w:proofErr w:type="spellStart"/>
      <w:r w:rsidRPr="002C761A">
        <w:t>Evaluation</w:t>
      </w:r>
      <w:proofErr w:type="spellEnd"/>
      <w:r w:rsidRPr="002C761A">
        <w:t xml:space="preserve"> </w:t>
      </w:r>
      <w:proofErr w:type="spellStart"/>
      <w:r w:rsidRPr="002C761A">
        <w:t>and</w:t>
      </w:r>
      <w:proofErr w:type="spellEnd"/>
      <w:r w:rsidRPr="002C761A">
        <w:t xml:space="preserve"> </w:t>
      </w:r>
      <w:proofErr w:type="spellStart"/>
      <w:r w:rsidRPr="002C761A">
        <w:t>Risk</w:t>
      </w:r>
      <w:proofErr w:type="spellEnd"/>
      <w:r w:rsidRPr="002C761A">
        <w:t xml:space="preserve"> </w:t>
      </w:r>
      <w:proofErr w:type="spellStart"/>
      <w:r w:rsidRPr="002C761A">
        <w:t>Assessment</w:t>
      </w:r>
      <w:proofErr w:type="spellEnd"/>
      <w:r w:rsidRPr="002C761A">
        <w:t xml:space="preserve"> </w:t>
      </w:r>
      <w:proofErr w:type="spellStart"/>
      <w:r w:rsidRPr="002C761A">
        <w:t>of</w:t>
      </w:r>
      <w:proofErr w:type="spellEnd"/>
      <w:r w:rsidRPr="002C761A">
        <w:t xml:space="preserve"> </w:t>
      </w:r>
      <w:proofErr w:type="spellStart"/>
      <w:r w:rsidRPr="002C761A">
        <w:t>the</w:t>
      </w:r>
      <w:proofErr w:type="spellEnd"/>
      <w:r w:rsidRPr="002C761A">
        <w:t xml:space="preserve"> Herbicide </w:t>
      </w:r>
      <w:proofErr w:type="spellStart"/>
      <w:r w:rsidRPr="002C761A">
        <w:t>Roundup</w:t>
      </w:r>
      <w:proofErr w:type="spellEnd"/>
      <w:r w:rsidRPr="002C761A">
        <w:t xml:space="preserve"> </w:t>
      </w:r>
      <w:proofErr w:type="spellStart"/>
      <w:r w:rsidRPr="002C761A">
        <w:t>and</w:t>
      </w:r>
      <w:proofErr w:type="spellEnd"/>
      <w:r w:rsidRPr="002C761A">
        <w:t xml:space="preserve"> </w:t>
      </w:r>
      <w:proofErr w:type="spellStart"/>
      <w:r w:rsidRPr="002C761A">
        <w:t>Its</w:t>
      </w:r>
      <w:proofErr w:type="spellEnd"/>
      <w:r w:rsidRPr="002C761A">
        <w:t xml:space="preserve"> </w:t>
      </w:r>
      <w:proofErr w:type="spellStart"/>
      <w:r w:rsidRPr="002C761A">
        <w:t>Active</w:t>
      </w:r>
      <w:proofErr w:type="spellEnd"/>
      <w:r w:rsidRPr="002C761A">
        <w:t xml:space="preserve"> </w:t>
      </w:r>
      <w:proofErr w:type="spellStart"/>
      <w:r w:rsidRPr="002C761A">
        <w:t>Ingredient</w:t>
      </w:r>
      <w:proofErr w:type="spellEnd"/>
      <w:r w:rsidRPr="002C761A">
        <w:t xml:space="preserve">, </w:t>
      </w:r>
      <w:proofErr w:type="spellStart"/>
      <w:r w:rsidRPr="002C761A">
        <w:t>Glyphosate</w:t>
      </w:r>
      <w:proofErr w:type="spellEnd"/>
      <w:r w:rsidRPr="002C761A">
        <w:t xml:space="preserve"> for </w:t>
      </w:r>
      <w:proofErr w:type="spellStart"/>
      <w:r w:rsidRPr="002C761A">
        <w:t>Humans</w:t>
      </w:r>
      <w:proofErr w:type="spellEnd"/>
      <w:r w:rsidRPr="002C761A">
        <w:t xml:space="preserve">” („Procjena sigurnosti i rizika za ljude u pogledu herbicida </w:t>
      </w:r>
      <w:proofErr w:type="spellStart"/>
      <w:r w:rsidRPr="002C761A">
        <w:t>Roundup</w:t>
      </w:r>
      <w:proofErr w:type="spellEnd"/>
      <w:r w:rsidRPr="002C761A">
        <w:t xml:space="preserve"> i njegova aktivnog sastojka </w:t>
      </w:r>
      <w:proofErr w:type="spellStart"/>
      <w:r w:rsidRPr="002C761A">
        <w:t>glifosata</w:t>
      </w:r>
      <w:proofErr w:type="spellEnd"/>
      <w:r w:rsidRPr="002C761A">
        <w:t xml:space="preserve">”), objavljen 2000., koji je upotrijebljen za obranu sigurnosti </w:t>
      </w:r>
      <w:proofErr w:type="spellStart"/>
      <w:r w:rsidRPr="002C761A">
        <w:t>glifosata</w:t>
      </w:r>
      <w:proofErr w:type="spellEnd"/>
      <w:r w:rsidRPr="002C761A">
        <w:t xml:space="preserve"> u mnogim procjenama rizika jer su izražene zabrinutosti u pogledu njegova autorstva, valjanosti rezultata istraživanja u kontekstu pogrešnog prikazivanja doprinosa autora i sponzora studije te mogućih sukoba interesa autora</w:t>
      </w:r>
      <w:r w:rsidRPr="002C761A">
        <w:rPr>
          <w:rStyle w:val="FootnoteReference"/>
        </w:rPr>
        <w:footnoteReference w:id="9"/>
      </w:r>
      <w:r w:rsidRPr="002C761A">
        <w:t>;</w:t>
      </w:r>
    </w:p>
    <w:p w14:paraId="616BD4AA" w14:textId="77777777" w:rsidR="00C2650C" w:rsidRPr="002C761A" w:rsidRDefault="00C2650C" w:rsidP="00C2650C">
      <w:pPr>
        <w:pStyle w:val="NormalHanging12a"/>
      </w:pPr>
      <w:r w:rsidRPr="002C761A">
        <w:t>I.</w:t>
      </w:r>
      <w:r w:rsidRPr="002C761A">
        <w:tab/>
        <w:t xml:space="preserve">budući da su neovisno praćenje i nadzor mogućih štetnih učinaka na biološku raznolikost, zdravlje tla, oprašivače i </w:t>
      </w:r>
      <w:proofErr w:type="spellStart"/>
      <w:r w:rsidRPr="002C761A">
        <w:t>neciljane</w:t>
      </w:r>
      <w:proofErr w:type="spellEnd"/>
      <w:r w:rsidRPr="002C761A">
        <w:t xml:space="preserve"> organizme i dalje nedostatno zajamčeni;</w:t>
      </w:r>
    </w:p>
    <w:p w14:paraId="00CA5D85" w14:textId="77777777" w:rsidR="00C2650C" w:rsidRPr="002C761A" w:rsidRDefault="00C2650C" w:rsidP="00C2650C">
      <w:pPr>
        <w:spacing w:after="240"/>
        <w:ind w:left="567" w:hanging="567"/>
      </w:pPr>
      <w:r w:rsidRPr="002C761A">
        <w:t>J.</w:t>
      </w:r>
      <w:r w:rsidRPr="002C761A">
        <w:tab/>
        <w:t>budući da bi se u slučajevima znanstvene nesigurnosti trebalo primjenjivati načelo predostrožnosti iz članka 191. Ugovora o funkcioniranju Europske unije;</w:t>
      </w:r>
    </w:p>
    <w:p w14:paraId="6E727009" w14:textId="77777777" w:rsidR="00C2650C" w:rsidRPr="002C761A" w:rsidRDefault="00C2650C" w:rsidP="00C2650C">
      <w:pPr>
        <w:spacing w:after="240"/>
        <w:ind w:left="567" w:hanging="567"/>
      </w:pPr>
      <w:r w:rsidRPr="002C761A">
        <w:t>K.</w:t>
      </w:r>
      <w:r w:rsidRPr="002C761A">
        <w:tab/>
        <w:t>budući da se Uredbom (EZ) br. 1829/2003 propisuje da genetski modificirana hrana i hrana za životinje ne smiju negativno utjecati na zdravlje ljudi, zdravlje životinja ili okoliš;</w:t>
      </w:r>
    </w:p>
    <w:p w14:paraId="3740F65E" w14:textId="77777777" w:rsidR="00C2650C" w:rsidRPr="002C761A" w:rsidRDefault="00C2650C" w:rsidP="00C2650C">
      <w:pPr>
        <w:pStyle w:val="NormalWeb"/>
        <w:widowControl w:val="0"/>
        <w:spacing w:before="0" w:beforeAutospacing="0" w:after="240" w:afterAutospacing="0"/>
        <w:ind w:left="567" w:hanging="567"/>
      </w:pPr>
      <w:r w:rsidRPr="002C761A">
        <w:lastRenderedPageBreak/>
        <w:t>L.</w:t>
      </w:r>
      <w:r w:rsidRPr="002C761A">
        <w:tab/>
        <w:t>budući da odobrenje Unije za genetski modificiranu soju ne bi bilo u skladu s međunarodnim obvezama u pogledu smanjenja korištenja pesticida</w:t>
      </w:r>
      <w:r w:rsidRPr="002C761A">
        <w:rPr>
          <w:vertAlign w:val="superscript"/>
        </w:rPr>
        <w:footnoteReference w:id="10"/>
      </w:r>
      <w:r w:rsidRPr="002C761A">
        <w:t xml:space="preserve">, s obzirom na povećanu izloženost ljudi, životinja i okoliša </w:t>
      </w:r>
      <w:proofErr w:type="spellStart"/>
      <w:r w:rsidRPr="002C761A">
        <w:t>glifosatu</w:t>
      </w:r>
      <w:proofErr w:type="spellEnd"/>
      <w:r w:rsidRPr="002C761A">
        <w:t xml:space="preserve"> i amonijevu </w:t>
      </w:r>
      <w:proofErr w:type="spellStart"/>
      <w:r w:rsidRPr="002C761A">
        <w:t>glufosinatu</w:t>
      </w:r>
      <w:proofErr w:type="spellEnd"/>
      <w:r w:rsidRPr="002C761A">
        <w:t xml:space="preserve"> u zemljama koje uzgajaju taj genetski modificiran usjev otporan na herbicide kao i s obzirom na potencijalno teške zdravstvene posljedice;</w:t>
      </w:r>
    </w:p>
    <w:p w14:paraId="52384525" w14:textId="77777777" w:rsidR="00C2650C" w:rsidRPr="002C761A" w:rsidRDefault="00C2650C" w:rsidP="00C2650C">
      <w:pPr>
        <w:spacing w:after="240"/>
        <w:ind w:left="567" w:hanging="567"/>
      </w:pPr>
      <w:r w:rsidRPr="002C761A">
        <w:t>M.</w:t>
      </w:r>
      <w:r w:rsidRPr="002C761A">
        <w:tab/>
        <w:t>budući da bi se Nacrtom provedbene odluke Komisije omogućio uvoz u Uniju koji nije u skladu sa standardima koje poštuju poljoprivrednici Unije, čime bi ih se stavilo u nepovoljan tržišni položaj;</w:t>
      </w:r>
    </w:p>
    <w:p w14:paraId="53C183D7" w14:textId="77777777" w:rsidR="00C2650C" w:rsidRPr="002C761A" w:rsidRDefault="00C2650C" w:rsidP="00C2650C">
      <w:pPr>
        <w:spacing w:after="240"/>
        <w:ind w:left="567" w:hanging="567"/>
      </w:pPr>
      <w:r w:rsidRPr="002C761A">
        <w:t>N.</w:t>
      </w:r>
      <w:r w:rsidRPr="002C761A">
        <w:tab/>
        <w:t>budući da se u zaključcima strateškog dijaloga o budućnosti poljoprivrede u EU-u</w:t>
      </w:r>
      <w:r w:rsidRPr="002C761A">
        <w:rPr>
          <w:rStyle w:val="FootnoteReference"/>
        </w:rPr>
        <w:footnoteReference w:id="11"/>
      </w:r>
      <w:r w:rsidRPr="002C761A">
        <w:t xml:space="preserve"> Komisija poziva da preispita svoj pristup u pogledu pristupa tržištu za uvoz i izvoz poljoprivredno-prehrambenih proizvoda s obzirom na problem različitih standarda Unije i njezinih trgovinskih partnera; budući da su pravedniji trgovinski odnosi na globalnoj razini, usklađeni s ciljevima u pogledu zdravog okoliša, bili jedan od glavnih zahtjeva poljoprivrednika tijekom prosvjeda održanih 2023., 2024. i 2025.;</w:t>
      </w:r>
    </w:p>
    <w:p w14:paraId="41EBC26C" w14:textId="77777777" w:rsidR="00C2650C" w:rsidRPr="002C761A" w:rsidRDefault="00C2650C" w:rsidP="00C2650C">
      <w:pPr>
        <w:spacing w:after="240"/>
        <w:ind w:left="567" w:hanging="567"/>
      </w:pPr>
      <w:r w:rsidRPr="002C761A">
        <w:t>O.</w:t>
      </w:r>
      <w:r w:rsidRPr="002C761A">
        <w:tab/>
        <w:t>budući da je Parlament u više navrata naglasio da Komisija ne bi trebala odobriti genetski modificirane organizme u slučajevima u kojima države članice ne postignu kvalificiranu većinu u Stalnom odboru za bilje, životinje, hranu i hranu za životinje ili žalbenom odboru kako bi se odgovorilo na trajni demokratski deficit;</w:t>
      </w:r>
    </w:p>
    <w:p w14:paraId="0C8E719E" w14:textId="77777777" w:rsidR="00C2650C" w:rsidRPr="002C761A" w:rsidRDefault="00C2650C" w:rsidP="00C2650C">
      <w:pPr>
        <w:pStyle w:val="NormalWeb"/>
        <w:widowControl w:val="0"/>
        <w:shd w:val="clear" w:color="auto" w:fill="FFFFFF"/>
        <w:spacing w:before="0" w:beforeAutospacing="0" w:after="240" w:afterAutospacing="0"/>
        <w:ind w:left="567" w:hanging="567"/>
        <w:rPr>
          <w:color w:val="000000" w:themeColor="text1"/>
        </w:rPr>
      </w:pPr>
      <w:r w:rsidRPr="002C761A">
        <w:rPr>
          <w:color w:val="000000" w:themeColor="text1"/>
        </w:rPr>
        <w:t>P.</w:t>
      </w:r>
      <w:r w:rsidRPr="002C761A">
        <w:rPr>
          <w:color w:val="000000" w:themeColor="text1"/>
        </w:rPr>
        <w:tab/>
        <w:t>budući da Komisija i dalje izdaje odobrenja za genetski modificirane organizme unatoč tome što je i sama priznala postojanje demokratskih nedostataka te usprkos izostanku potpore država članica i prigovorima Parlamenta;</w:t>
      </w:r>
    </w:p>
    <w:p w14:paraId="4FA97FB5" w14:textId="77777777" w:rsidR="00C2650C" w:rsidRPr="002C761A" w:rsidRDefault="00C2650C" w:rsidP="00C2650C">
      <w:pPr>
        <w:spacing w:after="240"/>
        <w:ind w:left="567" w:hanging="567"/>
      </w:pPr>
      <w:r w:rsidRPr="002C761A">
        <w:t>Q.</w:t>
      </w:r>
      <w:r w:rsidRPr="002C761A">
        <w:tab/>
        <w:t>budući da se pristupom „Jedno zdravlje” zahtijeva da se pri procjeni dugoročne održivosti i sigurnosti genetski modificiranih organizama uzme u obzir međuovisnost zdravlja ljudi, životinja, biljaka i okoliša;</w:t>
      </w:r>
    </w:p>
    <w:p w14:paraId="34951D45" w14:textId="76BDAECA" w:rsidR="00C2650C" w:rsidRPr="002C761A" w:rsidRDefault="00C2650C" w:rsidP="00C2650C">
      <w:pPr>
        <w:spacing w:after="240"/>
        <w:ind w:left="567" w:hanging="567"/>
      </w:pPr>
      <w:r w:rsidRPr="002C761A">
        <w:t>R.</w:t>
      </w:r>
      <w:r w:rsidRPr="002C761A">
        <w:tab/>
        <w:t xml:space="preserve">budući da će ova rezolucija biti </w:t>
      </w:r>
      <w:r w:rsidR="0072022D" w:rsidRPr="002C761A">
        <w:t xml:space="preserve">gotovo </w:t>
      </w:r>
      <w:r w:rsidRPr="002C761A">
        <w:t xml:space="preserve">100. rezolucija u kojoj se izražava protivljenje odobrenju uvoza genetski modificiranih usjeva koju je usvojio Europski parlament; </w:t>
      </w:r>
    </w:p>
    <w:p w14:paraId="5790A3BA" w14:textId="77777777" w:rsidR="00C2650C" w:rsidRPr="002C761A" w:rsidRDefault="00C2650C" w:rsidP="00C2650C">
      <w:pPr>
        <w:pStyle w:val="NormalHanging12a"/>
      </w:pPr>
      <w:r w:rsidRPr="002C761A">
        <w:t>1.</w:t>
      </w:r>
      <w:r w:rsidRPr="002C761A">
        <w:tab/>
        <w:t>smatra da Nacrt provedbene odluke Komisije prekoračuje provedbene ovlasti predviđene Uredbom (EZ) br. 1829/2003;</w:t>
      </w:r>
    </w:p>
    <w:p w14:paraId="62E5F13B" w14:textId="77777777" w:rsidR="00C2650C" w:rsidRPr="002C761A" w:rsidRDefault="00C2650C" w:rsidP="00C2650C">
      <w:pPr>
        <w:pStyle w:val="NormalHanging12a"/>
      </w:pPr>
      <w:bookmarkStart w:id="9" w:name="_Hlk218675825"/>
      <w:r w:rsidRPr="002C761A">
        <w:t>2.</w:t>
      </w:r>
      <w:r w:rsidRPr="002C761A">
        <w:tab/>
        <w:t>smatra da Nacrt provedbene odluke Komisije nije u skladu s pravom Unije jer nije spojiv s ciljem Uredbe (EZ) br. 1829/2003, a on je, u skladu s općim načelima utvrđenima u Uredbi (EZ) br. 178/2002 Europskog parlamenta i Vijeća</w:t>
      </w:r>
      <w:r w:rsidRPr="002C761A">
        <w:rPr>
          <w:vertAlign w:val="superscript"/>
        </w:rPr>
        <w:footnoteReference w:id="12"/>
      </w:r>
      <w:r w:rsidRPr="002C761A">
        <w:t xml:space="preserve">, pružanje osnove za visoku razinu zaštite života i zdravlja ljudi, zdravlja i dobrobiti životinja, interesa okoliša i potrošača u pogledu genetski modificirane hrane i hrane za životinje, </w:t>
      </w:r>
      <w:r w:rsidRPr="002C761A">
        <w:lastRenderedPageBreak/>
        <w:t xml:space="preserve">uz istodobno osiguravanje uspješnog funkcioniranja unutarnjeg tržišta; </w:t>
      </w:r>
    </w:p>
    <w:bookmarkEnd w:id="9"/>
    <w:p w14:paraId="2A645C65" w14:textId="77777777" w:rsidR="00C2650C" w:rsidRPr="002C761A" w:rsidRDefault="00C2650C" w:rsidP="00C2650C">
      <w:pPr>
        <w:pStyle w:val="NormalHanging12a"/>
      </w:pPr>
      <w:r w:rsidRPr="002C761A">
        <w:t>3.</w:t>
      </w:r>
      <w:r w:rsidRPr="002C761A">
        <w:tab/>
        <w:t>traži od Komisije da povuče svoj nacrt provedbene odluke;</w:t>
      </w:r>
    </w:p>
    <w:p w14:paraId="6739611C" w14:textId="77777777" w:rsidR="00C2650C" w:rsidRPr="002C761A" w:rsidRDefault="00C2650C" w:rsidP="00C2650C">
      <w:pPr>
        <w:spacing w:after="240"/>
        <w:ind w:left="567" w:hanging="567"/>
      </w:pPr>
      <w:r w:rsidRPr="002C761A">
        <w:t>4.</w:t>
      </w:r>
      <w:r w:rsidRPr="002C761A">
        <w:tab/>
        <w:t>poziva Komisiju da u skladu s pristupom „Jedno zdravlje” ne odobri genetski modificiranu soju zbog manjka dokaza u pogledu dugoročnih učinaka na biološku raznolikost, sigurnost hrane i životne uvjete poljoprivrednika;</w:t>
      </w:r>
    </w:p>
    <w:p w14:paraId="1F4F67E2" w14:textId="77777777" w:rsidR="00C2650C" w:rsidRPr="002C761A" w:rsidRDefault="00C2650C" w:rsidP="00C2650C">
      <w:pPr>
        <w:spacing w:after="240"/>
        <w:ind w:left="567" w:hanging="567"/>
      </w:pPr>
      <w:bookmarkStart w:id="10" w:name="_Hlk210900300"/>
      <w:r w:rsidRPr="002C761A">
        <w:t>5.</w:t>
      </w:r>
      <w:r w:rsidRPr="002C761A">
        <w:tab/>
        <w:t>poziva Komisiju da bez odgode podnese zakonodavni prijedlog za reformu postupka donošenja odluka o genetski modificiranim organizmima kako bi se odgovorilo na ustrajne prigovore Parlamenta i nedostatak potpore kvalificirane većine među državama članicama</w:t>
      </w:r>
      <w:bookmarkEnd w:id="10"/>
      <w:r w:rsidRPr="002C761A">
        <w:t>;</w:t>
      </w:r>
    </w:p>
    <w:p w14:paraId="4451147B" w14:textId="77777777" w:rsidR="00C2650C" w:rsidRPr="002C761A" w:rsidRDefault="00C2650C" w:rsidP="00C2650C">
      <w:pPr>
        <w:spacing w:after="240"/>
        <w:ind w:left="567" w:hanging="567"/>
      </w:pPr>
      <w:bookmarkStart w:id="11" w:name="_Hlk210900241"/>
      <w:r w:rsidRPr="002C761A">
        <w:t>6.</w:t>
      </w:r>
      <w:r w:rsidRPr="002C761A">
        <w:tab/>
        <w:t xml:space="preserve">u tom pogledu ističe da je odobravanje uvoza bilo koje genetski modificirane biljke koja je stekla otpornost na herbicide koji su zabranjeni u Uniji, kao što je </w:t>
      </w:r>
      <w:proofErr w:type="spellStart"/>
      <w:r w:rsidRPr="002C761A">
        <w:t>glufosinat</w:t>
      </w:r>
      <w:proofErr w:type="spellEnd"/>
      <w:r w:rsidRPr="002C761A">
        <w:t xml:space="preserve">, radi upotrebe u hrani ili hrani za životinje, nespojivo s međunarodnim obvezama Unije na temelju, među ostalim, Konvencije UN-a o biološkoj raznolikosti i ciljeva održivog razvoja UN-a, uključujući Okvir iz </w:t>
      </w:r>
      <w:proofErr w:type="spellStart"/>
      <w:r w:rsidRPr="002C761A">
        <w:t>Kunminga</w:t>
      </w:r>
      <w:proofErr w:type="spellEnd"/>
      <w:r w:rsidRPr="002C761A">
        <w:t xml:space="preserve"> i Montreala, te da se njime stvaraju nejednaki uvjeti za poljoprivrednike u Uniji;</w:t>
      </w:r>
      <w:bookmarkEnd w:id="11"/>
    </w:p>
    <w:p w14:paraId="7418C80F" w14:textId="7625A785" w:rsidR="00E365E1" w:rsidRPr="002C761A" w:rsidRDefault="00C2650C" w:rsidP="003C406C">
      <w:pPr>
        <w:ind w:left="567" w:hanging="567"/>
      </w:pPr>
      <w:r w:rsidRPr="002C761A">
        <w:t>7.</w:t>
      </w:r>
      <w:r w:rsidRPr="002C761A">
        <w:tab/>
        <w:t>nalaže svojoj predsjednici da ovu Rezoluciju proslijedi Vijeću i Komisiji te vladama i parlamentima država članica.</w:t>
      </w:r>
    </w:p>
    <w:sectPr w:rsidR="00E365E1" w:rsidRPr="002C761A" w:rsidSect="006E3ABA">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D23738" w14:textId="77777777" w:rsidR="003B5737" w:rsidRPr="006E3ABA" w:rsidRDefault="003B5737">
      <w:r w:rsidRPr="006E3ABA">
        <w:separator/>
      </w:r>
    </w:p>
  </w:endnote>
  <w:endnote w:type="continuationSeparator" w:id="0">
    <w:p w14:paraId="368CE4FA" w14:textId="77777777" w:rsidR="003B5737" w:rsidRPr="006E3ABA" w:rsidRDefault="003B5737">
      <w:r w:rsidRPr="006E3AB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41198C" w14:textId="77777777" w:rsidR="00064002" w:rsidRPr="006E3ABA"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FFDAC5" w14:textId="77777777" w:rsidR="00064002" w:rsidRPr="006E3ABA"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14E48C" w14:textId="77777777" w:rsidR="00064002" w:rsidRPr="006E3AB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F51C6F" w14:textId="77777777" w:rsidR="003B5737" w:rsidRPr="006E3ABA" w:rsidRDefault="003B5737">
      <w:r w:rsidRPr="006E3ABA">
        <w:separator/>
      </w:r>
    </w:p>
  </w:footnote>
  <w:footnote w:type="continuationSeparator" w:id="0">
    <w:p w14:paraId="65B2378D" w14:textId="77777777" w:rsidR="003B5737" w:rsidRPr="006E3ABA" w:rsidRDefault="003B5737">
      <w:r w:rsidRPr="006E3ABA">
        <w:continuationSeparator/>
      </w:r>
    </w:p>
  </w:footnote>
  <w:footnote w:id="1">
    <w:p w14:paraId="040E1434" w14:textId="59315814" w:rsidR="00C2650C" w:rsidRPr="006E3ABA" w:rsidRDefault="00C2650C" w:rsidP="006E3ABA">
      <w:pPr>
        <w:pStyle w:val="FootnoteText"/>
        <w:ind w:left="567" w:hanging="567"/>
        <w:rPr>
          <w:sz w:val="24"/>
          <w:lang w:val="hr-HR"/>
        </w:rPr>
      </w:pPr>
      <w:r w:rsidRPr="006E3ABA">
        <w:rPr>
          <w:rStyle w:val="FootnoteReference"/>
          <w:sz w:val="24"/>
          <w:lang w:val="hr-HR"/>
        </w:rPr>
        <w:footnoteRef/>
      </w:r>
      <w:r w:rsidR="006E3ABA" w:rsidRPr="006E3ABA">
        <w:rPr>
          <w:sz w:val="24"/>
          <w:lang w:val="hr-HR"/>
        </w:rPr>
        <w:t xml:space="preserve"> </w:t>
      </w:r>
      <w:r w:rsidR="006E3ABA" w:rsidRPr="006E3ABA">
        <w:rPr>
          <w:sz w:val="24"/>
          <w:lang w:val="hr-HR"/>
        </w:rPr>
        <w:tab/>
      </w:r>
      <w:r w:rsidRPr="006E3ABA">
        <w:rPr>
          <w:sz w:val="24"/>
          <w:lang w:val="hr-HR"/>
        </w:rPr>
        <w:t>SL L 268, 18.10.2003., str. 1., ELI: </w:t>
      </w:r>
      <w:hyperlink r:id="rId1" w:history="1">
        <w:r w:rsidRPr="006E3ABA">
          <w:rPr>
            <w:rStyle w:val="Hyperlink"/>
            <w:sz w:val="24"/>
            <w:lang w:val="hr-HR"/>
          </w:rPr>
          <w:t>http://data.europa.eu/eli/reg/2003/1829/oj</w:t>
        </w:r>
      </w:hyperlink>
      <w:r w:rsidRPr="006E3ABA">
        <w:rPr>
          <w:sz w:val="24"/>
          <w:u w:val="single"/>
          <w:lang w:val="hr-HR"/>
        </w:rPr>
        <w:t>.</w:t>
      </w:r>
    </w:p>
  </w:footnote>
  <w:footnote w:id="2">
    <w:p w14:paraId="2B29BB2D" w14:textId="6C05F934" w:rsidR="00C2650C" w:rsidRPr="006E3ABA" w:rsidRDefault="00C2650C" w:rsidP="006E3ABA">
      <w:pPr>
        <w:pStyle w:val="FootnoteText"/>
        <w:ind w:left="567" w:hanging="567"/>
        <w:rPr>
          <w:sz w:val="24"/>
          <w:lang w:val="hr-HR"/>
        </w:rPr>
      </w:pPr>
      <w:r w:rsidRPr="006E3ABA">
        <w:rPr>
          <w:rStyle w:val="FootnoteReference"/>
          <w:sz w:val="24"/>
          <w:lang w:val="hr-HR"/>
        </w:rPr>
        <w:footnoteRef/>
      </w:r>
      <w:r w:rsidR="006E3ABA" w:rsidRPr="006E3ABA">
        <w:rPr>
          <w:sz w:val="24"/>
          <w:lang w:val="hr-HR"/>
        </w:rPr>
        <w:t xml:space="preserve"> </w:t>
      </w:r>
      <w:r w:rsidR="006E3ABA" w:rsidRPr="006E3ABA">
        <w:rPr>
          <w:sz w:val="24"/>
          <w:lang w:val="hr-HR"/>
        </w:rPr>
        <w:tab/>
      </w:r>
      <w:r w:rsidRPr="006E3ABA">
        <w:rPr>
          <w:sz w:val="24"/>
          <w:lang w:val="hr-HR"/>
        </w:rPr>
        <w:t>SL L 55, 28.2.2011., str. 13., ELI: </w:t>
      </w:r>
      <w:hyperlink r:id="rId2" w:history="1">
        <w:r w:rsidRPr="006E3ABA">
          <w:rPr>
            <w:rStyle w:val="Hyperlink"/>
            <w:sz w:val="24"/>
            <w:lang w:val="hr-HR"/>
          </w:rPr>
          <w:t>http://data.europa.eu/eli/reg/2011/182/oj</w:t>
        </w:r>
      </w:hyperlink>
      <w:r w:rsidRPr="006E3ABA">
        <w:rPr>
          <w:rStyle w:val="Hyperlink"/>
          <w:sz w:val="24"/>
          <w:lang w:val="hr-HR"/>
        </w:rPr>
        <w:t>.</w:t>
      </w:r>
    </w:p>
  </w:footnote>
  <w:footnote w:id="3">
    <w:p w14:paraId="7AFE6E3B" w14:textId="4E332A12" w:rsidR="00C2650C" w:rsidRPr="006E3ABA" w:rsidRDefault="00C2650C" w:rsidP="006E3ABA">
      <w:pPr>
        <w:pStyle w:val="FootnoteText"/>
        <w:ind w:left="567" w:hanging="567"/>
        <w:rPr>
          <w:sz w:val="24"/>
          <w:lang w:val="hr-HR"/>
        </w:rPr>
      </w:pPr>
      <w:r w:rsidRPr="006E3ABA">
        <w:rPr>
          <w:rStyle w:val="FootnoteReference"/>
          <w:sz w:val="24"/>
          <w:lang w:val="hr-HR"/>
        </w:rPr>
        <w:footnoteRef/>
      </w:r>
      <w:r w:rsidR="006E3ABA" w:rsidRPr="006E3ABA">
        <w:rPr>
          <w:sz w:val="24"/>
          <w:lang w:val="hr-HR"/>
        </w:rPr>
        <w:t xml:space="preserve"> </w:t>
      </w:r>
      <w:r w:rsidR="006E3ABA" w:rsidRPr="006E3ABA">
        <w:rPr>
          <w:sz w:val="24"/>
          <w:lang w:val="hr-HR"/>
        </w:rPr>
        <w:tab/>
      </w:r>
      <w:r w:rsidRPr="006E3ABA">
        <w:rPr>
          <w:sz w:val="24"/>
          <w:lang w:val="hr-HR"/>
        </w:rPr>
        <w:t xml:space="preserve">Znanstveno mišljenje EFSA-ina Povjerenstva za genetski modificirane organizme o procjeni genetski modificiranog kukuruza DBN9004 (zahtjev EFSA-GMO-BE-2019-165), EFSA Journal 2025;23(7):e9503, </w:t>
      </w:r>
      <w:hyperlink r:id="rId3" w:history="1">
        <w:r w:rsidRPr="006E3ABA">
          <w:rPr>
            <w:rStyle w:val="Hyperlink"/>
            <w:sz w:val="24"/>
            <w:lang w:val="hr-HR"/>
          </w:rPr>
          <w:t>https://doi.org/10.2903/j.efsa.2025.9503</w:t>
        </w:r>
      </w:hyperlink>
      <w:r w:rsidRPr="006E3ABA">
        <w:rPr>
          <w:sz w:val="24"/>
          <w:lang w:val="hr-HR"/>
        </w:rPr>
        <w:t xml:space="preserve">. </w:t>
      </w:r>
    </w:p>
  </w:footnote>
  <w:footnote w:id="4">
    <w:p w14:paraId="0DD7D92E" w14:textId="6C9AB40F" w:rsidR="00C2650C" w:rsidRPr="006E3ABA" w:rsidRDefault="00C2650C" w:rsidP="006E3ABA">
      <w:pPr>
        <w:pStyle w:val="FootnoteText"/>
        <w:ind w:left="567" w:hanging="567"/>
        <w:rPr>
          <w:sz w:val="24"/>
          <w:vertAlign w:val="superscript"/>
          <w:lang w:val="hr-HR"/>
        </w:rPr>
      </w:pPr>
      <w:r w:rsidRPr="006E3ABA">
        <w:rPr>
          <w:rStyle w:val="FootnoteReference"/>
          <w:sz w:val="24"/>
          <w:lang w:val="hr-HR"/>
        </w:rPr>
        <w:footnoteRef/>
      </w:r>
      <w:r w:rsidR="006E3ABA" w:rsidRPr="006E3ABA">
        <w:rPr>
          <w:sz w:val="24"/>
          <w:lang w:val="hr-HR"/>
        </w:rPr>
        <w:t xml:space="preserve"> </w:t>
      </w:r>
      <w:r w:rsidR="006E3ABA" w:rsidRPr="006E3ABA">
        <w:rPr>
          <w:sz w:val="24"/>
          <w:lang w:val="hr-HR"/>
        </w:rPr>
        <w:tab/>
      </w:r>
      <w:r w:rsidRPr="006E3ABA">
        <w:rPr>
          <w:sz w:val="24"/>
          <w:lang w:val="hr-HR"/>
        </w:rPr>
        <w:t>Parlament je u osmom sazivu donio 36, a u devetom sazivu 38 rezolucija u kojima se protivi odobravanju genetski modificiranih organizama. Nadalje, u desetom sazivu Parlament je donio sljedeće rezolucije:</w:t>
      </w:r>
    </w:p>
    <w:p w14:paraId="2CB3640C" w14:textId="793A4872" w:rsidR="00C2650C" w:rsidRPr="006E3ABA" w:rsidRDefault="006E3ABA" w:rsidP="006E3ABA">
      <w:pPr>
        <w:pStyle w:val="FootnoteText"/>
        <w:ind w:left="567" w:hanging="567"/>
        <w:rPr>
          <w:sz w:val="24"/>
          <w:vertAlign w:val="superscript"/>
          <w:lang w:val="hr-HR"/>
        </w:rPr>
      </w:pPr>
      <w:r w:rsidRPr="006E3ABA">
        <w:rPr>
          <w:sz w:val="24"/>
          <w:lang w:val="hr-HR"/>
        </w:rPr>
        <w:t xml:space="preserve"> </w:t>
      </w:r>
      <w:r w:rsidRPr="006E3ABA">
        <w:rPr>
          <w:sz w:val="24"/>
          <w:lang w:val="hr-HR"/>
        </w:rPr>
        <w:tab/>
      </w:r>
      <w:r w:rsidR="00C2650C" w:rsidRPr="006E3ABA">
        <w:rPr>
          <w:sz w:val="24"/>
          <w:lang w:val="hr-HR"/>
        </w:rPr>
        <w:t>–</w:t>
      </w:r>
      <w:r w:rsidR="00C2650C" w:rsidRPr="006E3ABA">
        <w:rPr>
          <w:sz w:val="24"/>
          <w:lang w:val="hr-HR"/>
        </w:rPr>
        <w:tab/>
        <w:t xml:space="preserve">Rezoluciju Europskog parlamenta od 26. studenoga 2024. o Provedbenoj odluci Komisije (EU) 2024/2628 o produljenju odobrenja za stavljanje na tržište proizvoda koji sadržavaju genetski modificirani kukuruz MON 89034 × 1507 × NK603, sastoje se ili su proizvedeni od njega na temelju Uredbe (EZ) br. </w:t>
      </w:r>
      <w:r w:rsidR="00C2650C" w:rsidRPr="006E3ABA">
        <w:rPr>
          <w:sz w:val="24"/>
          <w:lang w:val="hr-HR"/>
        </w:rPr>
        <w:t>1829/2003 Europskog parlamenta i Vijeća (SL C, C/2025/1797, 4.4.2025., ELI: </w:t>
      </w:r>
      <w:hyperlink r:id="rId4" w:history="1">
        <w:r w:rsidR="00C2650C" w:rsidRPr="006E3ABA">
          <w:rPr>
            <w:rStyle w:val="Hyperlink"/>
            <w:sz w:val="24"/>
            <w:lang w:val="hr-HR"/>
          </w:rPr>
          <w:t>http://data.europa.eu/eli/C/2025/1797/oj</w:t>
        </w:r>
      </w:hyperlink>
      <w:r w:rsidR="00C2650C" w:rsidRPr="006E3ABA">
        <w:rPr>
          <w:sz w:val="24"/>
          <w:lang w:val="hr-HR"/>
        </w:rPr>
        <w:t>).</w:t>
      </w:r>
    </w:p>
    <w:p w14:paraId="7911EBE2" w14:textId="5A9642A8" w:rsidR="00C2650C" w:rsidRPr="006E3ABA" w:rsidRDefault="006E3ABA" w:rsidP="006E3ABA">
      <w:pPr>
        <w:pStyle w:val="FootnoteText"/>
        <w:keepNext/>
        <w:ind w:left="567" w:hanging="567"/>
        <w:rPr>
          <w:sz w:val="24"/>
          <w:vertAlign w:val="superscript"/>
          <w:lang w:val="hr-HR"/>
        </w:rPr>
      </w:pPr>
      <w:r w:rsidRPr="006E3ABA">
        <w:rPr>
          <w:sz w:val="24"/>
          <w:lang w:val="hr-HR"/>
        </w:rPr>
        <w:t xml:space="preserve"> </w:t>
      </w:r>
      <w:r w:rsidRPr="006E3ABA">
        <w:rPr>
          <w:sz w:val="24"/>
          <w:lang w:val="hr-HR"/>
        </w:rPr>
        <w:tab/>
      </w:r>
      <w:r w:rsidR="00C2650C" w:rsidRPr="006E3ABA">
        <w:rPr>
          <w:sz w:val="24"/>
          <w:lang w:val="hr-HR"/>
        </w:rPr>
        <w:t>–</w:t>
      </w:r>
      <w:r w:rsidR="00C2650C" w:rsidRPr="006E3ABA">
        <w:rPr>
          <w:sz w:val="24"/>
          <w:lang w:val="hr-HR"/>
        </w:rPr>
        <w:tab/>
        <w:t>Rezoluciju Europskog parlamenta od 26. studenoga 2024. o Provedbenoj odluci Komisije (EU) 2024/2627 o odobravanju stavljanja na tržište proizvoda koji sadržavaju genetski modificirani pamuk COT102, sastoje se od njega ili su od njega proizvedeni, na temelju Uredbe (EZ) br. 1829/2003 Europskog parlamenta i Vijeća (SL C, C/2025/1798, 4.4.2025., ELI: </w:t>
      </w:r>
      <w:hyperlink r:id="rId5" w:history="1">
        <w:r w:rsidR="00C2650C" w:rsidRPr="006E3ABA">
          <w:rPr>
            <w:rStyle w:val="Hyperlink"/>
            <w:sz w:val="24"/>
            <w:lang w:val="hr-HR"/>
          </w:rPr>
          <w:t>http://data.europa.eu/eli/C/2025/1798/oj</w:t>
        </w:r>
      </w:hyperlink>
      <w:r w:rsidR="00C2650C" w:rsidRPr="006E3ABA">
        <w:rPr>
          <w:sz w:val="24"/>
          <w:lang w:val="hr-HR"/>
        </w:rPr>
        <w:t>).</w:t>
      </w:r>
    </w:p>
    <w:p w14:paraId="3F9340E7" w14:textId="6DCC2C2F" w:rsidR="00C2650C" w:rsidRPr="006E3ABA" w:rsidRDefault="006E3ABA" w:rsidP="006E3ABA">
      <w:pPr>
        <w:pStyle w:val="FootnoteText"/>
        <w:ind w:left="567" w:hanging="567"/>
        <w:rPr>
          <w:sz w:val="24"/>
          <w:vertAlign w:val="superscript"/>
          <w:lang w:val="hr-HR"/>
        </w:rPr>
      </w:pPr>
      <w:r w:rsidRPr="006E3ABA">
        <w:rPr>
          <w:sz w:val="24"/>
          <w:lang w:val="hr-HR"/>
        </w:rPr>
        <w:t xml:space="preserve"> </w:t>
      </w:r>
      <w:r w:rsidRPr="006E3ABA">
        <w:rPr>
          <w:sz w:val="24"/>
          <w:lang w:val="hr-HR"/>
        </w:rPr>
        <w:tab/>
      </w:r>
      <w:r w:rsidR="00C2650C" w:rsidRPr="006E3ABA">
        <w:rPr>
          <w:sz w:val="24"/>
          <w:lang w:val="hr-HR"/>
        </w:rPr>
        <w:t>–</w:t>
      </w:r>
      <w:r w:rsidR="00C2650C" w:rsidRPr="006E3ABA">
        <w:rPr>
          <w:sz w:val="24"/>
          <w:lang w:val="hr-HR"/>
        </w:rPr>
        <w:tab/>
        <w:t xml:space="preserve">Rezoluciju Europskog parlamenta od 26. studenoga 2024. o Provedbenoj odluci Komisije (EU) 2024/2629 o produljenju odobrenja za stavljanje na tržište proizvoda koji sadržavaju genetski modificirani kukuruz MON 89034 × 1507 × MON 88017 × 59122 i osam njegovih </w:t>
      </w:r>
      <w:proofErr w:type="spellStart"/>
      <w:r w:rsidR="00C2650C" w:rsidRPr="006E3ABA">
        <w:rPr>
          <w:sz w:val="24"/>
          <w:lang w:val="hr-HR"/>
        </w:rPr>
        <w:t>potkombinacija</w:t>
      </w:r>
      <w:proofErr w:type="spellEnd"/>
      <w:r w:rsidR="00C2650C" w:rsidRPr="006E3ABA">
        <w:rPr>
          <w:sz w:val="24"/>
          <w:lang w:val="hr-HR"/>
        </w:rPr>
        <w:t>, sastoje se ili su proizvedeni od njih, u skladu s Uredbom (EZ) br. 1829/2003 Europskog parlamenta i Vijeća (SL C, C/2025/1799, 4.4.2025., ELI: </w:t>
      </w:r>
      <w:hyperlink r:id="rId6" w:history="1">
        <w:r w:rsidR="00C2650C" w:rsidRPr="006E3ABA">
          <w:rPr>
            <w:rStyle w:val="Hyperlink"/>
            <w:sz w:val="24"/>
            <w:lang w:val="hr-HR"/>
          </w:rPr>
          <w:t>http://data.europa.eu/eli/C/2025/1799/oj</w:t>
        </w:r>
      </w:hyperlink>
      <w:r w:rsidR="00C2650C" w:rsidRPr="006E3ABA">
        <w:rPr>
          <w:sz w:val="24"/>
          <w:lang w:val="hr-HR"/>
        </w:rPr>
        <w:t>).</w:t>
      </w:r>
    </w:p>
    <w:p w14:paraId="0F2DA4E1" w14:textId="2F19F3FF" w:rsidR="00C2650C" w:rsidRPr="006E3ABA" w:rsidRDefault="006E3ABA" w:rsidP="006E3ABA">
      <w:pPr>
        <w:pStyle w:val="FootnoteText"/>
        <w:ind w:left="567" w:hanging="567"/>
        <w:rPr>
          <w:sz w:val="24"/>
          <w:vertAlign w:val="superscript"/>
          <w:lang w:val="hr-HR"/>
        </w:rPr>
      </w:pPr>
      <w:r w:rsidRPr="006E3ABA">
        <w:rPr>
          <w:sz w:val="24"/>
          <w:lang w:val="hr-HR"/>
        </w:rPr>
        <w:t xml:space="preserve"> </w:t>
      </w:r>
      <w:r w:rsidRPr="006E3ABA">
        <w:rPr>
          <w:sz w:val="24"/>
          <w:lang w:val="hr-HR"/>
        </w:rPr>
        <w:tab/>
      </w:r>
      <w:r w:rsidR="00C2650C" w:rsidRPr="006E3ABA">
        <w:rPr>
          <w:sz w:val="24"/>
          <w:lang w:val="hr-HR"/>
        </w:rPr>
        <w:t>–</w:t>
      </w:r>
      <w:r w:rsidR="00C2650C" w:rsidRPr="006E3ABA">
        <w:rPr>
          <w:sz w:val="24"/>
          <w:lang w:val="hr-HR"/>
        </w:rPr>
        <w:tab/>
        <w:t>Rezoluciju Europskog parlamenta od 26. studenoga 2024. o Provedbenoj odluci Komisije (EU) 2024/1828 o produljenju odobrenja za stavljanje na tržište hrane za životinje koja sadržava genetski modificirani kukuruz MON 810 i sastoji se od njega te hrane i hrane za životinje proizvedene od genetski modificiranog kukuruza MON 810, u skladu s Uredbom (EZ) br. 1829/2003 Europskog parlamenta i Vijeća te o stavljanju izvan snage Provedbene odluke Komisije (EU) 2017/1207 (SL C, C/2025/1800, 4.4.2025., ELI: </w:t>
      </w:r>
      <w:hyperlink r:id="rId7" w:history="1">
        <w:r w:rsidR="00C2650C" w:rsidRPr="006E3ABA">
          <w:rPr>
            <w:rStyle w:val="Hyperlink"/>
            <w:sz w:val="24"/>
            <w:lang w:val="hr-HR"/>
          </w:rPr>
          <w:t>http://data.europa.eu/eli/C/2025/1800/oj</w:t>
        </w:r>
      </w:hyperlink>
      <w:r w:rsidR="00C2650C" w:rsidRPr="006E3ABA">
        <w:rPr>
          <w:sz w:val="24"/>
          <w:lang w:val="hr-HR"/>
        </w:rPr>
        <w:t>).</w:t>
      </w:r>
    </w:p>
    <w:p w14:paraId="651AFFBD" w14:textId="7D46895E" w:rsidR="00C2650C" w:rsidRPr="006E3ABA" w:rsidRDefault="006E3ABA" w:rsidP="006E3ABA">
      <w:pPr>
        <w:pStyle w:val="FootnoteText"/>
        <w:ind w:left="567" w:hanging="567"/>
        <w:rPr>
          <w:sz w:val="24"/>
          <w:vertAlign w:val="superscript"/>
          <w:lang w:val="hr-HR"/>
        </w:rPr>
      </w:pPr>
      <w:r w:rsidRPr="006E3ABA">
        <w:rPr>
          <w:sz w:val="24"/>
          <w:lang w:val="hr-HR"/>
        </w:rPr>
        <w:t xml:space="preserve"> </w:t>
      </w:r>
      <w:r w:rsidRPr="006E3ABA">
        <w:rPr>
          <w:sz w:val="24"/>
          <w:lang w:val="hr-HR"/>
        </w:rPr>
        <w:tab/>
      </w:r>
      <w:r w:rsidR="00C2650C" w:rsidRPr="006E3ABA">
        <w:rPr>
          <w:sz w:val="24"/>
          <w:lang w:val="hr-HR"/>
        </w:rPr>
        <w:t>–</w:t>
      </w:r>
      <w:r w:rsidR="00C2650C" w:rsidRPr="006E3ABA">
        <w:rPr>
          <w:sz w:val="24"/>
          <w:lang w:val="hr-HR"/>
        </w:rPr>
        <w:tab/>
        <w:t>Rezoluciju Europskog parlamenta od 26. studenoga 2024. o Provedbenoj odluci Komisije (EU) 2024/1822 o odobravanju stavljanja na tržište proizvoda koji sadržavaju genetski modificirani kukuruz DP915635, od njega se sastoje ili su od njega proizvedeni, u skladu s Uredbom (EZ) br. 1829/2003 Europskog parlamenta i Vijeća (SL C, C/2025/1801, 4.4.2025., ELI: </w:t>
      </w:r>
      <w:hyperlink r:id="rId8" w:history="1">
        <w:r w:rsidR="00C2650C" w:rsidRPr="006E3ABA">
          <w:rPr>
            <w:rStyle w:val="Hyperlink"/>
            <w:sz w:val="24"/>
            <w:lang w:val="hr-HR"/>
          </w:rPr>
          <w:t>http://data.europa.eu/eli/C/2025/1801/oj</w:t>
        </w:r>
      </w:hyperlink>
      <w:r w:rsidR="00C2650C" w:rsidRPr="006E3ABA">
        <w:rPr>
          <w:sz w:val="24"/>
          <w:lang w:val="hr-HR"/>
        </w:rPr>
        <w:t>).</w:t>
      </w:r>
    </w:p>
    <w:p w14:paraId="57D1D1BF" w14:textId="1CD35EDD" w:rsidR="00C2650C" w:rsidRPr="006E3ABA" w:rsidRDefault="006E3ABA" w:rsidP="006E3ABA">
      <w:pPr>
        <w:pStyle w:val="FootnoteText"/>
        <w:ind w:left="567" w:hanging="567"/>
        <w:rPr>
          <w:sz w:val="24"/>
          <w:vertAlign w:val="superscript"/>
          <w:lang w:val="hr-HR"/>
        </w:rPr>
      </w:pPr>
      <w:r w:rsidRPr="006E3ABA">
        <w:rPr>
          <w:sz w:val="24"/>
          <w:lang w:val="hr-HR"/>
        </w:rPr>
        <w:t xml:space="preserve"> </w:t>
      </w:r>
      <w:r w:rsidRPr="006E3ABA">
        <w:rPr>
          <w:sz w:val="24"/>
          <w:lang w:val="hr-HR"/>
        </w:rPr>
        <w:tab/>
      </w:r>
      <w:r w:rsidR="00C2650C" w:rsidRPr="006E3ABA">
        <w:rPr>
          <w:sz w:val="24"/>
          <w:lang w:val="hr-HR"/>
        </w:rPr>
        <w:t>–</w:t>
      </w:r>
      <w:r w:rsidR="00C2650C" w:rsidRPr="006E3ABA">
        <w:rPr>
          <w:sz w:val="24"/>
          <w:lang w:val="hr-HR"/>
        </w:rPr>
        <w:tab/>
        <w:t>Rezoluciju Europskog parlamenta od 26. studenoga 2024. o Provedbenoj odluci Komisije (EU) 2024/1826 o odobravanju stavljanja na tržište proizvoda koji sadržavaju genetski modificirani kukuruz DP23211, sastoje se od njega ili su od njega proizvedeni, na temelju Uredbe (EZ) br. 1829/2003 Europskog parlamenta i Vijeća (SL C, C/2025/1802, 4.4.2025., ELI: </w:t>
      </w:r>
      <w:hyperlink r:id="rId9" w:history="1">
        <w:r w:rsidR="00C2650C" w:rsidRPr="006E3ABA">
          <w:rPr>
            <w:rStyle w:val="Hyperlink"/>
            <w:sz w:val="24"/>
            <w:lang w:val="hr-HR"/>
          </w:rPr>
          <w:t>http://data.europa.eu/eli/C/2025/1802/oj</w:t>
        </w:r>
      </w:hyperlink>
      <w:r w:rsidR="00C2650C" w:rsidRPr="006E3ABA">
        <w:rPr>
          <w:sz w:val="24"/>
          <w:lang w:val="hr-HR"/>
        </w:rPr>
        <w:t>).</w:t>
      </w:r>
    </w:p>
    <w:p w14:paraId="27686F4B" w14:textId="1CD8AFD8" w:rsidR="00C2650C" w:rsidRPr="006E3ABA" w:rsidRDefault="006E3ABA" w:rsidP="006E3ABA">
      <w:pPr>
        <w:pStyle w:val="FootnoteText"/>
        <w:ind w:left="567" w:hanging="567"/>
        <w:rPr>
          <w:sz w:val="24"/>
          <w:vertAlign w:val="superscript"/>
          <w:lang w:val="hr-HR"/>
        </w:rPr>
      </w:pPr>
      <w:r w:rsidRPr="006E3ABA">
        <w:rPr>
          <w:sz w:val="24"/>
          <w:lang w:val="hr-HR"/>
        </w:rPr>
        <w:t xml:space="preserve"> </w:t>
      </w:r>
      <w:r w:rsidRPr="006E3ABA">
        <w:rPr>
          <w:sz w:val="24"/>
          <w:lang w:val="hr-HR"/>
        </w:rPr>
        <w:tab/>
      </w:r>
      <w:r w:rsidR="00C2650C" w:rsidRPr="006E3ABA">
        <w:rPr>
          <w:sz w:val="24"/>
          <w:lang w:val="hr-HR"/>
        </w:rPr>
        <w:t>–</w:t>
      </w:r>
      <w:r w:rsidR="00C2650C" w:rsidRPr="006E3ABA">
        <w:rPr>
          <w:sz w:val="24"/>
          <w:lang w:val="hr-HR"/>
        </w:rPr>
        <w:tab/>
        <w:t>Rezoluciju Europskog parlamenta od 26. studenoga 2024. o Provedbenoj odluci Komisije (EU) 2024/2618 o odobravanju stavljanja na tržište proizvoda koji sadržavaju genetski modificirani kukuruz DP202216, sastoje se od njega ili su od njega proizvedeni, na temelju Uredbe (EZ) br. 1829/2003 Europskog parlamenta i Vijeća (SL C, C/2025/1803, 4.4.2025., ELI: </w:t>
      </w:r>
      <w:hyperlink r:id="rId10" w:history="1">
        <w:r w:rsidR="00C2650C" w:rsidRPr="006E3ABA">
          <w:rPr>
            <w:rStyle w:val="Hyperlink"/>
            <w:sz w:val="24"/>
            <w:lang w:val="hr-HR"/>
          </w:rPr>
          <w:t>http://data.europa.eu/eli/C/2025/1803/oj</w:t>
        </w:r>
      </w:hyperlink>
      <w:r w:rsidR="00C2650C" w:rsidRPr="006E3ABA">
        <w:rPr>
          <w:sz w:val="24"/>
          <w:lang w:val="hr-HR"/>
        </w:rPr>
        <w:t>).</w:t>
      </w:r>
    </w:p>
    <w:p w14:paraId="6C826117" w14:textId="5DC64E6D" w:rsidR="00C2650C" w:rsidRPr="006E3ABA" w:rsidRDefault="006E3ABA" w:rsidP="006E3ABA">
      <w:pPr>
        <w:pStyle w:val="FootnoteText"/>
        <w:ind w:left="567" w:hanging="567"/>
        <w:rPr>
          <w:sz w:val="24"/>
          <w:vertAlign w:val="superscript"/>
          <w:lang w:val="hr-HR"/>
        </w:rPr>
      </w:pPr>
      <w:r w:rsidRPr="006E3ABA">
        <w:rPr>
          <w:sz w:val="24"/>
          <w:lang w:val="hr-HR"/>
        </w:rPr>
        <w:t xml:space="preserve"> </w:t>
      </w:r>
      <w:r w:rsidRPr="006E3ABA">
        <w:rPr>
          <w:sz w:val="24"/>
          <w:lang w:val="hr-HR"/>
        </w:rPr>
        <w:tab/>
      </w:r>
      <w:r w:rsidR="00C2650C" w:rsidRPr="006E3ABA">
        <w:rPr>
          <w:sz w:val="24"/>
          <w:lang w:val="hr-HR"/>
        </w:rPr>
        <w:t>–</w:t>
      </w:r>
      <w:r w:rsidR="00C2650C" w:rsidRPr="006E3ABA">
        <w:rPr>
          <w:sz w:val="24"/>
          <w:lang w:val="hr-HR"/>
        </w:rPr>
        <w:tab/>
        <w:t>Rezoluciju Europskog parlamenta od 26. studenoga 2024. o Nacrtu provedbene odluke Komisije o odobravanju stavljanja na tržište proizvoda koji sadržavaju genetski modificirani kukuruz MON 94804, sastoje se od njega ili su od njega proizvedeni, na temelju Uredbe (EZ) br. 1829/2003 Europskog parlamenta i Vijeća (SL C, C/2025/1804, 4.4.2025., ELI: </w:t>
      </w:r>
      <w:hyperlink r:id="rId11" w:history="1">
        <w:r w:rsidR="00C2650C" w:rsidRPr="006E3ABA">
          <w:rPr>
            <w:rStyle w:val="Hyperlink"/>
            <w:sz w:val="24"/>
            <w:lang w:val="hr-HR"/>
          </w:rPr>
          <w:t>http://data.europa.eu/eli/C/2025/1804/oj</w:t>
        </w:r>
      </w:hyperlink>
      <w:r w:rsidR="00C2650C" w:rsidRPr="006E3ABA">
        <w:rPr>
          <w:sz w:val="24"/>
          <w:lang w:val="hr-HR"/>
        </w:rPr>
        <w:t>).</w:t>
      </w:r>
    </w:p>
    <w:p w14:paraId="60D3AF2E" w14:textId="06734EE9" w:rsidR="00C2650C" w:rsidRPr="006E3ABA" w:rsidRDefault="006E3ABA" w:rsidP="006E3ABA">
      <w:pPr>
        <w:pStyle w:val="FootnoteText"/>
        <w:ind w:left="567" w:hanging="567"/>
        <w:rPr>
          <w:sz w:val="24"/>
          <w:vertAlign w:val="superscript"/>
          <w:lang w:val="hr-HR"/>
        </w:rPr>
      </w:pPr>
      <w:r w:rsidRPr="006E3ABA">
        <w:rPr>
          <w:sz w:val="24"/>
          <w:lang w:val="hr-HR"/>
        </w:rPr>
        <w:t xml:space="preserve"> </w:t>
      </w:r>
      <w:r w:rsidRPr="006E3ABA">
        <w:rPr>
          <w:sz w:val="24"/>
          <w:lang w:val="hr-HR"/>
        </w:rPr>
        <w:tab/>
      </w:r>
      <w:r w:rsidR="00C2650C" w:rsidRPr="006E3ABA">
        <w:rPr>
          <w:sz w:val="24"/>
          <w:lang w:val="hr-HR"/>
        </w:rPr>
        <w:t>–</w:t>
      </w:r>
      <w:r w:rsidR="00C2650C" w:rsidRPr="006E3ABA">
        <w:rPr>
          <w:sz w:val="24"/>
          <w:lang w:val="hr-HR"/>
        </w:rPr>
        <w:tab/>
        <w:t>Rezoluciju Europskog parlamenta od 12. veljače 2025. o Nacrtu provedbene odluke Komisije o odobravanju stavljanja na tržište proizvoda koji sadržavaju genetski modificirani kukuruz DP910521, sastoje se od njega ili su od njega proizvedeni, na temelju Uredbe (EZ) br. 1829/2003 Europskog parlamenta i Vijeća (SL C, C/2025/2246, 29.4.2025., ELI: </w:t>
      </w:r>
      <w:hyperlink r:id="rId12" w:tooltip="Poveznica ELI URI za pristup dokumentu." w:history="1">
        <w:r w:rsidR="00C2650C" w:rsidRPr="006E3ABA">
          <w:rPr>
            <w:rStyle w:val="Hyperlink"/>
            <w:sz w:val="24"/>
            <w:lang w:val="hr-HR"/>
          </w:rPr>
          <w:t>http://data.europa.eu/eli/C/2025/2246/oj</w:t>
        </w:r>
      </w:hyperlink>
      <w:r w:rsidR="00C2650C" w:rsidRPr="006E3ABA">
        <w:rPr>
          <w:sz w:val="24"/>
          <w:lang w:val="hr-HR"/>
        </w:rPr>
        <w:t>).</w:t>
      </w:r>
    </w:p>
    <w:p w14:paraId="33F4736B" w14:textId="71FB4365" w:rsidR="00C2650C" w:rsidRPr="006E3ABA" w:rsidRDefault="006E3ABA" w:rsidP="006E3ABA">
      <w:pPr>
        <w:pStyle w:val="FootnoteText"/>
        <w:ind w:left="567" w:hanging="567"/>
        <w:rPr>
          <w:sz w:val="24"/>
          <w:vertAlign w:val="superscript"/>
          <w:lang w:val="hr-HR"/>
        </w:rPr>
      </w:pPr>
      <w:r w:rsidRPr="006E3ABA">
        <w:rPr>
          <w:sz w:val="24"/>
          <w:lang w:val="hr-HR"/>
        </w:rPr>
        <w:t xml:space="preserve"> </w:t>
      </w:r>
      <w:r w:rsidRPr="006E3ABA">
        <w:rPr>
          <w:sz w:val="24"/>
          <w:lang w:val="hr-HR"/>
        </w:rPr>
        <w:tab/>
      </w:r>
      <w:r w:rsidR="00C2650C" w:rsidRPr="006E3ABA">
        <w:rPr>
          <w:sz w:val="24"/>
          <w:lang w:val="hr-HR"/>
        </w:rPr>
        <w:t>–</w:t>
      </w:r>
      <w:r w:rsidR="00C2650C" w:rsidRPr="006E3ABA">
        <w:rPr>
          <w:sz w:val="24"/>
          <w:lang w:val="hr-HR"/>
        </w:rPr>
        <w:tab/>
        <w:t>Rezoluciju Europskog parlamenta od 12. veljače 2025. o Nacrtu provedbene odluke Komisije o odobravanju stavljanja na tržište proizvoda koji sadržavaju genetski modificirani kukuruz MON 95275, sastoje se od njega ili su od njega proizvedeni, na temelju Uredbe (EZ) br. 1829/2003 Europskog parlamenta i Vijeća (SL C, C/2025/2247, 29.4.2025., ELI: </w:t>
      </w:r>
      <w:hyperlink r:id="rId13" w:history="1">
        <w:r w:rsidR="00C2650C" w:rsidRPr="006E3ABA">
          <w:rPr>
            <w:rStyle w:val="Hyperlink"/>
            <w:sz w:val="24"/>
            <w:lang w:val="hr-HR"/>
          </w:rPr>
          <w:t>http://data.europa.eu/eli/C/2025/2247/oj</w:t>
        </w:r>
      </w:hyperlink>
      <w:r w:rsidR="00C2650C" w:rsidRPr="006E3ABA">
        <w:rPr>
          <w:sz w:val="24"/>
          <w:lang w:val="hr-HR"/>
        </w:rPr>
        <w:t>).</w:t>
      </w:r>
    </w:p>
    <w:p w14:paraId="43FCA570" w14:textId="0D24E584" w:rsidR="00C2650C" w:rsidRPr="006E3ABA" w:rsidRDefault="006E3ABA" w:rsidP="006E3ABA">
      <w:pPr>
        <w:pStyle w:val="FootnoteText"/>
        <w:ind w:left="567" w:hanging="567"/>
        <w:rPr>
          <w:sz w:val="24"/>
          <w:vertAlign w:val="superscript"/>
          <w:lang w:val="hr-HR"/>
        </w:rPr>
      </w:pPr>
      <w:r w:rsidRPr="006E3ABA">
        <w:rPr>
          <w:sz w:val="24"/>
          <w:lang w:val="hr-HR"/>
        </w:rPr>
        <w:t xml:space="preserve"> </w:t>
      </w:r>
      <w:r w:rsidRPr="006E3ABA">
        <w:rPr>
          <w:sz w:val="24"/>
          <w:lang w:val="hr-HR"/>
        </w:rPr>
        <w:tab/>
      </w:r>
      <w:r w:rsidR="00C2650C" w:rsidRPr="006E3ABA">
        <w:rPr>
          <w:sz w:val="24"/>
          <w:lang w:val="hr-HR"/>
        </w:rPr>
        <w:t>–</w:t>
      </w:r>
      <w:r w:rsidR="00C2650C" w:rsidRPr="006E3ABA">
        <w:rPr>
          <w:sz w:val="24"/>
          <w:lang w:val="hr-HR"/>
        </w:rPr>
        <w:tab/>
        <w:t>Rezoluciju Europskog parlamenta od 8. svibnja 2025. o Nacrtu provedbene odluke Komisije o odobravanju stavljanja na tržište proizvoda koji sadržavaju genetski modificiranu soju MON 87705 × MON 87708 × MON 89788, sastoje se od nje ili su proizvedeni od nje, na temelju Uredbe (EZ) br. 1829/2003 Europskog parlamenta i Vijeća (</w:t>
      </w:r>
      <w:r w:rsidR="0072022D">
        <w:rPr>
          <w:sz w:val="24"/>
          <w:lang w:val="hr-HR"/>
        </w:rPr>
        <w:t xml:space="preserve">Usvojeni tekstovi, </w:t>
      </w:r>
      <w:r w:rsidR="00C2650C" w:rsidRPr="006E3ABA">
        <w:rPr>
          <w:sz w:val="24"/>
          <w:lang w:val="hr-HR"/>
        </w:rPr>
        <w:t>P10_TA(2025)0106).</w:t>
      </w:r>
    </w:p>
    <w:p w14:paraId="4E63A429" w14:textId="5AA73589" w:rsidR="00C2650C" w:rsidRPr="006E3ABA" w:rsidRDefault="006E3ABA" w:rsidP="006E3ABA">
      <w:pPr>
        <w:pStyle w:val="FootnoteText"/>
        <w:ind w:left="567" w:hanging="567"/>
        <w:rPr>
          <w:sz w:val="24"/>
          <w:vertAlign w:val="superscript"/>
          <w:lang w:val="hr-HR"/>
        </w:rPr>
      </w:pPr>
      <w:r w:rsidRPr="006E3ABA">
        <w:rPr>
          <w:sz w:val="24"/>
          <w:lang w:val="hr-HR"/>
        </w:rPr>
        <w:t xml:space="preserve"> </w:t>
      </w:r>
      <w:r w:rsidRPr="006E3ABA">
        <w:rPr>
          <w:sz w:val="24"/>
          <w:lang w:val="hr-HR"/>
        </w:rPr>
        <w:tab/>
      </w:r>
      <w:r w:rsidR="00C2650C" w:rsidRPr="006E3ABA">
        <w:rPr>
          <w:sz w:val="24"/>
          <w:lang w:val="hr-HR"/>
        </w:rPr>
        <w:t>–</w:t>
      </w:r>
      <w:r w:rsidR="00C2650C" w:rsidRPr="006E3ABA">
        <w:rPr>
          <w:sz w:val="24"/>
          <w:lang w:val="hr-HR"/>
        </w:rPr>
        <w:tab/>
        <w:t>Rezoluciju Europskog parlamenta od 8. listopada 2025. o Provedbenoj odluci Komisije (EU) 2025/1898 od 22. rujna 2025. o odobravanju stavljanja na tržište proizvoda koji sadržavaju genetski modificirani kukuruz DP51291, od njega se sastoje ili su od njega proizvedeni, u skladu s Uredbom (EZ) br. 1829/2003 Europskog parlamenta i Vijeća (</w:t>
      </w:r>
      <w:r w:rsidR="0072022D">
        <w:rPr>
          <w:sz w:val="24"/>
          <w:lang w:val="hr-HR"/>
        </w:rPr>
        <w:t xml:space="preserve">Usvojeni tekstovi, </w:t>
      </w:r>
      <w:r w:rsidR="00C2650C" w:rsidRPr="006E3ABA">
        <w:rPr>
          <w:sz w:val="24"/>
          <w:lang w:val="hr-HR"/>
        </w:rPr>
        <w:t>P10_TA(2025)0222).</w:t>
      </w:r>
    </w:p>
    <w:p w14:paraId="5F9D9701" w14:textId="1337D5CC" w:rsidR="00C2650C" w:rsidRPr="006E3ABA" w:rsidRDefault="006E3ABA" w:rsidP="006E3ABA">
      <w:pPr>
        <w:pStyle w:val="FootnoteText"/>
        <w:ind w:left="567" w:hanging="567"/>
        <w:rPr>
          <w:sz w:val="24"/>
          <w:vertAlign w:val="superscript"/>
          <w:lang w:val="hr-HR"/>
        </w:rPr>
      </w:pPr>
      <w:r w:rsidRPr="006E3ABA">
        <w:rPr>
          <w:sz w:val="24"/>
          <w:lang w:val="hr-HR"/>
        </w:rPr>
        <w:t xml:space="preserve"> </w:t>
      </w:r>
      <w:r w:rsidRPr="006E3ABA">
        <w:rPr>
          <w:sz w:val="24"/>
          <w:lang w:val="hr-HR"/>
        </w:rPr>
        <w:tab/>
      </w:r>
      <w:r w:rsidR="00C2650C" w:rsidRPr="006E3ABA">
        <w:rPr>
          <w:sz w:val="24"/>
          <w:lang w:val="hr-HR"/>
        </w:rPr>
        <w:t>–</w:t>
      </w:r>
      <w:r w:rsidR="00C2650C" w:rsidRPr="006E3ABA">
        <w:rPr>
          <w:sz w:val="24"/>
          <w:lang w:val="hr-HR"/>
        </w:rPr>
        <w:tab/>
        <w:t>Rezoluciju Europskog parlamenta od 25. studenog 2025. o Nacrtu provedbene odluke Komisije o odobravanju stavljanja na tržište proizvoda koji sadržavaju genetski modificirani kukuruz DAS1131, sastoje se od njega ili su od njega proizvedeni, na temelju Uredbe (EZ) br. 1829/2003 Europskog parlamenta i Vijeća (</w:t>
      </w:r>
      <w:r w:rsidR="0072022D">
        <w:rPr>
          <w:sz w:val="24"/>
          <w:lang w:val="hr-HR"/>
        </w:rPr>
        <w:t xml:space="preserve">Usvojeni tekstovi, </w:t>
      </w:r>
      <w:r w:rsidR="00C2650C" w:rsidRPr="006E3ABA">
        <w:rPr>
          <w:sz w:val="24"/>
          <w:lang w:val="hr-HR"/>
        </w:rPr>
        <w:t>P10_TA(2025)0288).</w:t>
      </w:r>
    </w:p>
    <w:p w14:paraId="3BB6E099" w14:textId="0DA40CB0" w:rsidR="00C2650C" w:rsidRPr="006E3ABA" w:rsidRDefault="006E3ABA" w:rsidP="006E3ABA">
      <w:pPr>
        <w:pStyle w:val="FootnoteText"/>
        <w:ind w:left="567" w:hanging="567"/>
        <w:rPr>
          <w:sz w:val="24"/>
          <w:vertAlign w:val="superscript"/>
          <w:lang w:val="hr-HR"/>
        </w:rPr>
      </w:pPr>
      <w:r w:rsidRPr="006E3ABA">
        <w:rPr>
          <w:sz w:val="24"/>
          <w:lang w:val="hr-HR"/>
        </w:rPr>
        <w:t xml:space="preserve"> </w:t>
      </w:r>
      <w:r w:rsidRPr="006E3ABA">
        <w:rPr>
          <w:sz w:val="24"/>
          <w:lang w:val="hr-HR"/>
        </w:rPr>
        <w:tab/>
      </w:r>
      <w:r w:rsidR="00C2650C" w:rsidRPr="006E3ABA">
        <w:rPr>
          <w:sz w:val="24"/>
          <w:lang w:val="hr-HR"/>
        </w:rPr>
        <w:t>–</w:t>
      </w:r>
      <w:r w:rsidR="00C2650C" w:rsidRPr="006E3ABA">
        <w:rPr>
          <w:sz w:val="24"/>
          <w:lang w:val="hr-HR"/>
        </w:rPr>
        <w:tab/>
        <w:t>Rezoluciju Europskog parlamenta od 25. studenog 2025. o Nacrtu provedbene odluke Komisije o produljenju odobrenja za stavljanje na tržište proizvoda koji sadržavaju genetski modificirani pamuk MON 88913 (MON-88913-8), sastoje se od njega ili su proizvedeni od njega, u skladu s Uredbom (EZ) br. 1829/2003 Europskog parlamenta i Vijeća (</w:t>
      </w:r>
      <w:r w:rsidR="0072022D">
        <w:rPr>
          <w:sz w:val="24"/>
          <w:lang w:val="hr-HR"/>
        </w:rPr>
        <w:t xml:space="preserve">Usvojeni tekstovi, </w:t>
      </w:r>
      <w:r w:rsidR="00C2650C" w:rsidRPr="006E3ABA">
        <w:rPr>
          <w:sz w:val="24"/>
          <w:lang w:val="hr-HR"/>
        </w:rPr>
        <w:t>P10_TA(2025)0289).</w:t>
      </w:r>
    </w:p>
    <w:p w14:paraId="71D32240" w14:textId="0A315AA0" w:rsidR="00C2650C" w:rsidRPr="006E3ABA" w:rsidRDefault="006E3ABA" w:rsidP="006E3ABA">
      <w:pPr>
        <w:pStyle w:val="FootnoteText"/>
        <w:ind w:left="567" w:hanging="567"/>
        <w:rPr>
          <w:sz w:val="24"/>
          <w:vertAlign w:val="superscript"/>
          <w:lang w:val="hr-HR"/>
        </w:rPr>
      </w:pPr>
      <w:r w:rsidRPr="006E3ABA">
        <w:rPr>
          <w:sz w:val="24"/>
          <w:lang w:val="hr-HR"/>
        </w:rPr>
        <w:t xml:space="preserve"> </w:t>
      </w:r>
      <w:r w:rsidRPr="006E3ABA">
        <w:rPr>
          <w:sz w:val="24"/>
          <w:lang w:val="hr-HR"/>
        </w:rPr>
        <w:tab/>
      </w:r>
      <w:r w:rsidR="00C2650C" w:rsidRPr="006E3ABA">
        <w:rPr>
          <w:sz w:val="24"/>
          <w:lang w:val="hr-HR"/>
        </w:rPr>
        <w:t>–</w:t>
      </w:r>
      <w:r w:rsidR="00C2650C" w:rsidRPr="006E3ABA">
        <w:rPr>
          <w:sz w:val="24"/>
          <w:lang w:val="hr-HR"/>
        </w:rPr>
        <w:tab/>
        <w:t>Rezoluciju Europskog parlamenta od 25. studenog 2025. o Nacrtu provedbene odluke Komisije o produljenju odobrenja za stavljanje na tržište proizvoda koji sadržavaju genetski modificiranu uljanu repicu MON 88302, sastoje se ili su proizvedeni od nje na temelju Uredbe (EZ) br. 1829/2003 Europskog parlamenta i Vijeća (</w:t>
      </w:r>
      <w:r w:rsidR="0072022D">
        <w:rPr>
          <w:sz w:val="24"/>
          <w:lang w:val="hr-HR"/>
        </w:rPr>
        <w:t xml:space="preserve">Usvojeni tekstovi, </w:t>
      </w:r>
      <w:r w:rsidR="00C2650C" w:rsidRPr="006E3ABA">
        <w:rPr>
          <w:sz w:val="24"/>
          <w:lang w:val="hr-HR"/>
        </w:rPr>
        <w:t>P10_TA(2025)0290).</w:t>
      </w:r>
    </w:p>
    <w:p w14:paraId="4BD5D4D4" w14:textId="68FD3EA8" w:rsidR="00C2650C" w:rsidRPr="006E3ABA" w:rsidRDefault="006E3ABA" w:rsidP="006E3ABA">
      <w:pPr>
        <w:pStyle w:val="FootnoteText"/>
        <w:ind w:left="567" w:hanging="567"/>
        <w:rPr>
          <w:sz w:val="24"/>
          <w:vertAlign w:val="superscript"/>
          <w:lang w:val="hr-HR"/>
        </w:rPr>
      </w:pPr>
      <w:r w:rsidRPr="006E3ABA">
        <w:rPr>
          <w:sz w:val="24"/>
          <w:lang w:val="hr-HR"/>
        </w:rPr>
        <w:t xml:space="preserve"> </w:t>
      </w:r>
      <w:r w:rsidRPr="006E3ABA">
        <w:rPr>
          <w:sz w:val="24"/>
          <w:lang w:val="hr-HR"/>
        </w:rPr>
        <w:tab/>
      </w:r>
      <w:r w:rsidR="00C2650C" w:rsidRPr="006E3ABA">
        <w:rPr>
          <w:sz w:val="24"/>
          <w:lang w:val="hr-HR"/>
        </w:rPr>
        <w:t>–</w:t>
      </w:r>
      <w:r w:rsidR="00C2650C" w:rsidRPr="006E3ABA">
        <w:rPr>
          <w:sz w:val="24"/>
          <w:lang w:val="hr-HR"/>
        </w:rPr>
        <w:tab/>
        <w:t>Rezoluciju Europskog parlamenta od 25. studenog 2025. o Nacrtu provedbene odluke Komisije o produljenju odobrenja za stavljanje na tržište proizvoda koji sadržavaju genetski modificiranu soju MON 87708, sastoje se ili su proizvedeni od nje, u skladu s Uredbom (EZ) br. 1829/2003 Europskog parlamenta i Vijeća (</w:t>
      </w:r>
      <w:r w:rsidR="0072022D">
        <w:rPr>
          <w:sz w:val="24"/>
          <w:lang w:val="hr-HR"/>
        </w:rPr>
        <w:t xml:space="preserve">Usvojeni tekstovi, </w:t>
      </w:r>
      <w:r w:rsidR="00C2650C" w:rsidRPr="006E3ABA">
        <w:rPr>
          <w:sz w:val="24"/>
          <w:lang w:val="hr-HR"/>
        </w:rPr>
        <w:t>P10_TA(2025)0291).</w:t>
      </w:r>
    </w:p>
    <w:p w14:paraId="6552B24A" w14:textId="08078241" w:rsidR="00C2650C" w:rsidRPr="006E3ABA" w:rsidRDefault="006E3ABA" w:rsidP="006E3ABA">
      <w:pPr>
        <w:pStyle w:val="FootnoteText"/>
        <w:ind w:left="567" w:hanging="567"/>
        <w:rPr>
          <w:sz w:val="24"/>
          <w:vertAlign w:val="superscript"/>
          <w:lang w:val="hr-HR"/>
        </w:rPr>
      </w:pPr>
      <w:r w:rsidRPr="006E3ABA">
        <w:rPr>
          <w:sz w:val="24"/>
          <w:lang w:val="hr-HR"/>
        </w:rPr>
        <w:t xml:space="preserve"> </w:t>
      </w:r>
      <w:r w:rsidRPr="006E3ABA">
        <w:rPr>
          <w:sz w:val="24"/>
          <w:lang w:val="hr-HR"/>
        </w:rPr>
        <w:tab/>
      </w:r>
      <w:r w:rsidR="00C2650C" w:rsidRPr="006E3ABA">
        <w:rPr>
          <w:sz w:val="24"/>
          <w:lang w:val="hr-HR"/>
        </w:rPr>
        <w:t>–</w:t>
      </w:r>
      <w:r w:rsidR="00C2650C" w:rsidRPr="006E3ABA">
        <w:rPr>
          <w:sz w:val="24"/>
          <w:lang w:val="hr-HR"/>
        </w:rPr>
        <w:tab/>
        <w:t>Rezoluciju Europskog parlamenta od 25. studenog 2025. o Nacrtu provedbene odluke Komisije o produljenju odobrenja za stavljanje na tržište proizvoda koji sadržavaju genetski modificirani kukuruz MON 87427 (MON-88913-8), sastoje se od njega ili su proizvedeni od njega, u skladu s Uredbom (EZ) br. 1829/2003 Europskog parlamenta i Vijeća (</w:t>
      </w:r>
      <w:r w:rsidR="0072022D">
        <w:rPr>
          <w:sz w:val="24"/>
          <w:lang w:val="hr-HR"/>
        </w:rPr>
        <w:t xml:space="preserve">Usvojeni tekstovi, </w:t>
      </w:r>
      <w:r w:rsidR="00C2650C" w:rsidRPr="006E3ABA">
        <w:rPr>
          <w:sz w:val="24"/>
          <w:lang w:val="hr-HR"/>
        </w:rPr>
        <w:t>P10_TA(2025)0292).</w:t>
      </w:r>
    </w:p>
    <w:p w14:paraId="308EA297" w14:textId="63528B8C" w:rsidR="00C2650C" w:rsidRPr="006E3ABA" w:rsidRDefault="006E3ABA" w:rsidP="006E3ABA">
      <w:pPr>
        <w:pStyle w:val="FootnoteText"/>
        <w:ind w:left="567" w:hanging="567"/>
        <w:rPr>
          <w:sz w:val="24"/>
          <w:vertAlign w:val="superscript"/>
          <w:lang w:val="hr-HR"/>
        </w:rPr>
      </w:pPr>
      <w:r w:rsidRPr="006E3ABA">
        <w:rPr>
          <w:sz w:val="24"/>
          <w:lang w:val="hr-HR"/>
        </w:rPr>
        <w:t xml:space="preserve"> </w:t>
      </w:r>
      <w:r w:rsidRPr="006E3ABA">
        <w:rPr>
          <w:sz w:val="24"/>
          <w:lang w:val="hr-HR"/>
        </w:rPr>
        <w:tab/>
      </w:r>
      <w:r w:rsidR="00C2650C" w:rsidRPr="006E3ABA">
        <w:rPr>
          <w:sz w:val="24"/>
          <w:lang w:val="hr-HR"/>
        </w:rPr>
        <w:t>–</w:t>
      </w:r>
      <w:r w:rsidR="00C2650C" w:rsidRPr="006E3ABA">
        <w:rPr>
          <w:sz w:val="24"/>
          <w:lang w:val="hr-HR"/>
        </w:rPr>
        <w:tab/>
        <w:t>Rezoluciju Europskog parlamenta od 16. prosinca 2025. o Nacrtu provedbene odluke Komisije o produljenju odobrenja za stavljanje na tržište proizvoda koji sadržavaju genetski modificirani kukuruz NK603, sastoje se ili su proizvedeni od njega na temelju Uredbe (EZ) br. 1829/2003 Europskog parlamenta i Vijeća (</w:t>
      </w:r>
      <w:r w:rsidR="0072022D">
        <w:rPr>
          <w:sz w:val="24"/>
          <w:lang w:val="hr-HR"/>
        </w:rPr>
        <w:t xml:space="preserve">Usvojeni tekstovi, </w:t>
      </w:r>
      <w:r w:rsidR="00C2650C" w:rsidRPr="006E3ABA">
        <w:rPr>
          <w:sz w:val="24"/>
          <w:lang w:val="hr-HR"/>
        </w:rPr>
        <w:t>P10_TA(2025)0327).</w:t>
      </w:r>
    </w:p>
    <w:p w14:paraId="6B004F4C" w14:textId="71136B85" w:rsidR="00C2650C" w:rsidRPr="006E3ABA" w:rsidRDefault="006E3ABA" w:rsidP="006E3ABA">
      <w:pPr>
        <w:pStyle w:val="FootnoteText"/>
        <w:ind w:left="567" w:hanging="567"/>
        <w:rPr>
          <w:sz w:val="24"/>
          <w:lang w:val="hr-HR"/>
        </w:rPr>
      </w:pPr>
      <w:r w:rsidRPr="006E3ABA">
        <w:rPr>
          <w:sz w:val="24"/>
          <w:lang w:val="hr-HR"/>
        </w:rPr>
        <w:t xml:space="preserve"> </w:t>
      </w:r>
      <w:r w:rsidRPr="006E3ABA">
        <w:rPr>
          <w:sz w:val="24"/>
          <w:lang w:val="hr-HR"/>
        </w:rPr>
        <w:tab/>
      </w:r>
      <w:r w:rsidR="00C2650C" w:rsidRPr="006E3ABA">
        <w:rPr>
          <w:sz w:val="24"/>
          <w:lang w:val="hr-HR"/>
        </w:rPr>
        <w:t>–</w:t>
      </w:r>
      <w:r w:rsidR="00C2650C" w:rsidRPr="006E3ABA">
        <w:rPr>
          <w:sz w:val="24"/>
          <w:lang w:val="hr-HR"/>
        </w:rPr>
        <w:tab/>
        <w:t>Rezoluciju Europskog parlamenta od 16. prosinca 2025. o Nacrtu provedbene odluke Komisije o odobravanju stavljanja na tržište hrane, sastojaka hrane i hrane za životinje proizvedenih od genetski modificirane šećerne repe KWS20-1 u skladu s Uredbom (EZ) br. 1829/2003 Europskog parlamenta i Vijeća (</w:t>
      </w:r>
      <w:r w:rsidR="0072022D">
        <w:rPr>
          <w:sz w:val="24"/>
          <w:lang w:val="hr-HR"/>
        </w:rPr>
        <w:t xml:space="preserve">Usvojeni tekstovi, </w:t>
      </w:r>
      <w:r w:rsidR="00C2650C" w:rsidRPr="006E3ABA">
        <w:rPr>
          <w:sz w:val="24"/>
          <w:lang w:val="hr-HR"/>
        </w:rPr>
        <w:t>P10_TA(2025)0328).</w:t>
      </w:r>
    </w:p>
  </w:footnote>
  <w:footnote w:id="5">
    <w:p w14:paraId="05EF0BA7" w14:textId="4748B629" w:rsidR="00C2650C" w:rsidRPr="006E3ABA" w:rsidRDefault="00C2650C" w:rsidP="006E3ABA">
      <w:pPr>
        <w:pStyle w:val="FootnoteText"/>
        <w:ind w:left="567" w:hanging="567"/>
        <w:rPr>
          <w:sz w:val="24"/>
          <w:lang w:val="hr-HR"/>
        </w:rPr>
      </w:pPr>
      <w:r w:rsidRPr="006E3ABA">
        <w:rPr>
          <w:rStyle w:val="FootnoteReference"/>
          <w:sz w:val="24"/>
          <w:lang w:val="hr-HR"/>
        </w:rPr>
        <w:footnoteRef/>
      </w:r>
      <w:r w:rsidR="006E3ABA" w:rsidRPr="006E3ABA">
        <w:rPr>
          <w:sz w:val="24"/>
          <w:shd w:val="clear" w:color="auto" w:fill="FFFFFF"/>
          <w:lang w:val="hr-HR"/>
        </w:rPr>
        <w:t xml:space="preserve"> </w:t>
      </w:r>
      <w:r w:rsidR="006E3ABA" w:rsidRPr="006E3ABA">
        <w:rPr>
          <w:sz w:val="24"/>
          <w:shd w:val="clear" w:color="auto" w:fill="FFFFFF"/>
          <w:lang w:val="hr-HR"/>
        </w:rPr>
        <w:tab/>
      </w:r>
      <w:r w:rsidRPr="006E3ABA">
        <w:rPr>
          <w:sz w:val="24"/>
          <w:shd w:val="clear" w:color="auto" w:fill="FFFFFF"/>
          <w:lang w:val="hr-HR"/>
        </w:rPr>
        <w:t xml:space="preserve">Vidi primjerice </w:t>
      </w:r>
      <w:proofErr w:type="spellStart"/>
      <w:r w:rsidRPr="006E3ABA">
        <w:rPr>
          <w:sz w:val="24"/>
          <w:shd w:val="clear" w:color="auto" w:fill="FFFFFF"/>
          <w:lang w:val="hr-HR"/>
        </w:rPr>
        <w:t>Bonny</w:t>
      </w:r>
      <w:proofErr w:type="spellEnd"/>
      <w:r w:rsidRPr="006E3ABA">
        <w:rPr>
          <w:sz w:val="24"/>
          <w:shd w:val="clear" w:color="auto" w:fill="FFFFFF"/>
          <w:lang w:val="hr-HR"/>
        </w:rPr>
        <w:t xml:space="preserve">, S., </w:t>
      </w:r>
      <w:proofErr w:type="spellStart"/>
      <w:r w:rsidRPr="006E3ABA">
        <w:rPr>
          <w:sz w:val="24"/>
          <w:shd w:val="clear" w:color="auto" w:fill="FFFFFF"/>
          <w:lang w:val="hr-HR"/>
        </w:rPr>
        <w:t>Genetically</w:t>
      </w:r>
      <w:proofErr w:type="spellEnd"/>
      <w:r w:rsidRPr="006E3ABA">
        <w:rPr>
          <w:sz w:val="24"/>
          <w:shd w:val="clear" w:color="auto" w:fill="FFFFFF"/>
          <w:lang w:val="hr-HR"/>
        </w:rPr>
        <w:t xml:space="preserve"> </w:t>
      </w:r>
      <w:proofErr w:type="spellStart"/>
      <w:r w:rsidRPr="006E3ABA">
        <w:rPr>
          <w:sz w:val="24"/>
          <w:shd w:val="clear" w:color="auto" w:fill="FFFFFF"/>
          <w:lang w:val="hr-HR"/>
        </w:rPr>
        <w:t>Modified</w:t>
      </w:r>
      <w:proofErr w:type="spellEnd"/>
      <w:r w:rsidRPr="006E3ABA">
        <w:rPr>
          <w:sz w:val="24"/>
          <w:shd w:val="clear" w:color="auto" w:fill="FFFFFF"/>
          <w:lang w:val="hr-HR"/>
        </w:rPr>
        <w:t xml:space="preserve"> Herbicide-</w:t>
      </w:r>
      <w:proofErr w:type="spellStart"/>
      <w:r w:rsidRPr="006E3ABA">
        <w:rPr>
          <w:sz w:val="24"/>
          <w:shd w:val="clear" w:color="auto" w:fill="FFFFFF"/>
          <w:lang w:val="hr-HR"/>
        </w:rPr>
        <w:t>Tolerant</w:t>
      </w:r>
      <w:proofErr w:type="spellEnd"/>
      <w:r w:rsidRPr="006E3ABA">
        <w:rPr>
          <w:sz w:val="24"/>
          <w:shd w:val="clear" w:color="auto" w:fill="FFFFFF"/>
          <w:lang w:val="hr-HR"/>
        </w:rPr>
        <w:t xml:space="preserve"> </w:t>
      </w:r>
      <w:proofErr w:type="spellStart"/>
      <w:r w:rsidRPr="006E3ABA">
        <w:rPr>
          <w:sz w:val="24"/>
          <w:shd w:val="clear" w:color="auto" w:fill="FFFFFF"/>
          <w:lang w:val="hr-HR"/>
        </w:rPr>
        <w:t>Crops</w:t>
      </w:r>
      <w:proofErr w:type="spellEnd"/>
      <w:r w:rsidRPr="006E3ABA">
        <w:rPr>
          <w:sz w:val="24"/>
          <w:shd w:val="clear" w:color="auto" w:fill="FFFFFF"/>
          <w:lang w:val="hr-HR"/>
        </w:rPr>
        <w:t xml:space="preserve">, </w:t>
      </w:r>
      <w:proofErr w:type="spellStart"/>
      <w:r w:rsidRPr="006E3ABA">
        <w:rPr>
          <w:sz w:val="24"/>
          <w:shd w:val="clear" w:color="auto" w:fill="FFFFFF"/>
          <w:lang w:val="hr-HR"/>
        </w:rPr>
        <w:t>Weeds</w:t>
      </w:r>
      <w:proofErr w:type="spellEnd"/>
      <w:r w:rsidRPr="006E3ABA">
        <w:rPr>
          <w:sz w:val="24"/>
          <w:shd w:val="clear" w:color="auto" w:fill="FFFFFF"/>
          <w:lang w:val="hr-HR"/>
        </w:rPr>
        <w:t xml:space="preserve">, </w:t>
      </w:r>
      <w:proofErr w:type="spellStart"/>
      <w:r w:rsidRPr="006E3ABA">
        <w:rPr>
          <w:sz w:val="24"/>
          <w:shd w:val="clear" w:color="auto" w:fill="FFFFFF"/>
          <w:lang w:val="hr-HR"/>
        </w:rPr>
        <w:t>and</w:t>
      </w:r>
      <w:proofErr w:type="spellEnd"/>
      <w:r w:rsidRPr="006E3ABA">
        <w:rPr>
          <w:sz w:val="24"/>
          <w:shd w:val="clear" w:color="auto" w:fill="FFFFFF"/>
          <w:lang w:val="hr-HR"/>
        </w:rPr>
        <w:t xml:space="preserve"> </w:t>
      </w:r>
      <w:proofErr w:type="spellStart"/>
      <w:r w:rsidRPr="006E3ABA">
        <w:rPr>
          <w:sz w:val="24"/>
          <w:shd w:val="clear" w:color="auto" w:fill="FFFFFF"/>
          <w:lang w:val="hr-HR"/>
        </w:rPr>
        <w:t>Herbicides</w:t>
      </w:r>
      <w:proofErr w:type="spellEnd"/>
      <w:r w:rsidRPr="006E3ABA">
        <w:rPr>
          <w:sz w:val="24"/>
          <w:shd w:val="clear" w:color="auto" w:fill="FFFFFF"/>
          <w:lang w:val="hr-HR"/>
        </w:rPr>
        <w:t xml:space="preserve">: </w:t>
      </w:r>
      <w:proofErr w:type="spellStart"/>
      <w:r w:rsidRPr="006E3ABA">
        <w:rPr>
          <w:sz w:val="24"/>
          <w:shd w:val="clear" w:color="auto" w:fill="FFFFFF"/>
          <w:lang w:val="hr-HR"/>
        </w:rPr>
        <w:t>Overview</w:t>
      </w:r>
      <w:proofErr w:type="spellEnd"/>
      <w:r w:rsidRPr="006E3ABA">
        <w:rPr>
          <w:sz w:val="24"/>
          <w:shd w:val="clear" w:color="auto" w:fill="FFFFFF"/>
          <w:lang w:val="hr-HR"/>
        </w:rPr>
        <w:t xml:space="preserve"> </w:t>
      </w:r>
      <w:proofErr w:type="spellStart"/>
      <w:r w:rsidRPr="006E3ABA">
        <w:rPr>
          <w:sz w:val="24"/>
          <w:shd w:val="clear" w:color="auto" w:fill="FFFFFF"/>
          <w:lang w:val="hr-HR"/>
        </w:rPr>
        <w:t>and</w:t>
      </w:r>
      <w:proofErr w:type="spellEnd"/>
      <w:r w:rsidRPr="006E3ABA">
        <w:rPr>
          <w:sz w:val="24"/>
          <w:shd w:val="clear" w:color="auto" w:fill="FFFFFF"/>
          <w:lang w:val="hr-HR"/>
        </w:rPr>
        <w:t xml:space="preserve"> </w:t>
      </w:r>
      <w:proofErr w:type="spellStart"/>
      <w:r w:rsidRPr="006E3ABA">
        <w:rPr>
          <w:sz w:val="24"/>
          <w:shd w:val="clear" w:color="auto" w:fill="FFFFFF"/>
          <w:lang w:val="hr-HR"/>
        </w:rPr>
        <w:t>Impact</w:t>
      </w:r>
      <w:proofErr w:type="spellEnd"/>
      <w:r w:rsidRPr="006E3ABA">
        <w:rPr>
          <w:sz w:val="24"/>
          <w:shd w:val="clear" w:color="auto" w:fill="FFFFFF"/>
          <w:lang w:val="hr-HR"/>
        </w:rPr>
        <w:t xml:space="preserve"> (Genetski modificirani usjevi otporni na herbicide, korovi i herbicidi: pregled i učinak), </w:t>
      </w:r>
      <w:proofErr w:type="spellStart"/>
      <w:r w:rsidRPr="006E3ABA">
        <w:rPr>
          <w:sz w:val="24"/>
          <w:shd w:val="clear" w:color="auto" w:fill="FFFFFF"/>
          <w:lang w:val="hr-HR"/>
        </w:rPr>
        <w:t>Environmental</w:t>
      </w:r>
      <w:proofErr w:type="spellEnd"/>
      <w:r w:rsidRPr="006E3ABA">
        <w:rPr>
          <w:sz w:val="24"/>
          <w:shd w:val="clear" w:color="auto" w:fill="FFFFFF"/>
          <w:lang w:val="hr-HR"/>
        </w:rPr>
        <w:t xml:space="preserve"> Management, siječanj 2016.;57(1), str. 31.-</w:t>
      </w:r>
      <w:r w:rsidRPr="006E3ABA">
        <w:rPr>
          <w:sz w:val="24"/>
          <w:shd w:val="clear" w:color="auto" w:fill="FFFFFF"/>
          <w:lang w:val="hr-HR"/>
        </w:rPr>
        <w:t>48.</w:t>
      </w:r>
      <w:r w:rsidRPr="006E3ABA">
        <w:rPr>
          <w:sz w:val="24"/>
          <w:lang w:val="hr-HR"/>
        </w:rPr>
        <w:t xml:space="preserve">, </w:t>
      </w:r>
      <w:hyperlink r:id="rId14" w:history="1">
        <w:r w:rsidRPr="006E3ABA">
          <w:rPr>
            <w:rStyle w:val="Hyperlink"/>
            <w:sz w:val="24"/>
            <w:shd w:val="clear" w:color="auto" w:fill="FFFFFF"/>
            <w:lang w:val="hr-HR"/>
          </w:rPr>
          <w:t>https://doi.org/10.1007/s00267-015-0589-7</w:t>
        </w:r>
      </w:hyperlink>
      <w:r w:rsidRPr="006E3ABA">
        <w:rPr>
          <w:sz w:val="24"/>
          <w:shd w:val="clear" w:color="auto" w:fill="FFFFFF"/>
          <w:lang w:val="hr-HR"/>
        </w:rPr>
        <w:t xml:space="preserve"> i </w:t>
      </w:r>
      <w:proofErr w:type="spellStart"/>
      <w:r w:rsidRPr="006E3ABA">
        <w:rPr>
          <w:sz w:val="24"/>
          <w:shd w:val="clear" w:color="auto" w:fill="FFFFFF"/>
          <w:lang w:val="hr-HR"/>
        </w:rPr>
        <w:t>Benbrook</w:t>
      </w:r>
      <w:proofErr w:type="spellEnd"/>
      <w:r w:rsidRPr="006E3ABA">
        <w:rPr>
          <w:sz w:val="24"/>
          <w:shd w:val="clear" w:color="auto" w:fill="FFFFFF"/>
          <w:lang w:val="hr-HR"/>
        </w:rPr>
        <w:t xml:space="preserve">, C.M., </w:t>
      </w:r>
      <w:proofErr w:type="spellStart"/>
      <w:r w:rsidRPr="006E3ABA">
        <w:rPr>
          <w:sz w:val="24"/>
          <w:shd w:val="clear" w:color="auto" w:fill="FFFFFF"/>
          <w:lang w:val="hr-HR"/>
        </w:rPr>
        <w:t>Impacts</w:t>
      </w:r>
      <w:proofErr w:type="spellEnd"/>
      <w:r w:rsidRPr="006E3ABA">
        <w:rPr>
          <w:sz w:val="24"/>
          <w:shd w:val="clear" w:color="auto" w:fill="FFFFFF"/>
          <w:lang w:val="hr-HR"/>
        </w:rPr>
        <w:t xml:space="preserve"> </w:t>
      </w:r>
      <w:proofErr w:type="spellStart"/>
      <w:r w:rsidRPr="006E3ABA">
        <w:rPr>
          <w:sz w:val="24"/>
          <w:shd w:val="clear" w:color="auto" w:fill="FFFFFF"/>
          <w:lang w:val="hr-HR"/>
        </w:rPr>
        <w:t>of</w:t>
      </w:r>
      <w:proofErr w:type="spellEnd"/>
      <w:r w:rsidRPr="006E3ABA">
        <w:rPr>
          <w:sz w:val="24"/>
          <w:shd w:val="clear" w:color="auto" w:fill="FFFFFF"/>
          <w:lang w:val="hr-HR"/>
        </w:rPr>
        <w:t xml:space="preserve"> </w:t>
      </w:r>
      <w:proofErr w:type="spellStart"/>
      <w:r w:rsidRPr="006E3ABA">
        <w:rPr>
          <w:sz w:val="24"/>
          <w:shd w:val="clear" w:color="auto" w:fill="FFFFFF"/>
          <w:lang w:val="hr-HR"/>
        </w:rPr>
        <w:t>genetically</w:t>
      </w:r>
      <w:proofErr w:type="spellEnd"/>
      <w:r w:rsidRPr="006E3ABA">
        <w:rPr>
          <w:sz w:val="24"/>
          <w:shd w:val="clear" w:color="auto" w:fill="FFFFFF"/>
          <w:lang w:val="hr-HR"/>
        </w:rPr>
        <w:t xml:space="preserve"> </w:t>
      </w:r>
      <w:proofErr w:type="spellStart"/>
      <w:r w:rsidRPr="006E3ABA">
        <w:rPr>
          <w:sz w:val="24"/>
          <w:shd w:val="clear" w:color="auto" w:fill="FFFFFF"/>
          <w:lang w:val="hr-HR"/>
        </w:rPr>
        <w:t>engineered</w:t>
      </w:r>
      <w:proofErr w:type="spellEnd"/>
      <w:r w:rsidRPr="006E3ABA">
        <w:rPr>
          <w:sz w:val="24"/>
          <w:shd w:val="clear" w:color="auto" w:fill="FFFFFF"/>
          <w:lang w:val="hr-HR"/>
        </w:rPr>
        <w:t xml:space="preserve"> </w:t>
      </w:r>
      <w:proofErr w:type="spellStart"/>
      <w:r w:rsidRPr="006E3ABA">
        <w:rPr>
          <w:sz w:val="24"/>
          <w:shd w:val="clear" w:color="auto" w:fill="FFFFFF"/>
          <w:lang w:val="hr-HR"/>
        </w:rPr>
        <w:t>crops</w:t>
      </w:r>
      <w:proofErr w:type="spellEnd"/>
      <w:r w:rsidRPr="006E3ABA">
        <w:rPr>
          <w:sz w:val="24"/>
          <w:shd w:val="clear" w:color="auto" w:fill="FFFFFF"/>
          <w:lang w:val="hr-HR"/>
        </w:rPr>
        <w:t xml:space="preserve"> on pesticide use </w:t>
      </w:r>
      <w:proofErr w:type="spellStart"/>
      <w:r w:rsidRPr="006E3ABA">
        <w:rPr>
          <w:sz w:val="24"/>
          <w:shd w:val="clear" w:color="auto" w:fill="FFFFFF"/>
          <w:lang w:val="hr-HR"/>
        </w:rPr>
        <w:t>in</w:t>
      </w:r>
      <w:proofErr w:type="spellEnd"/>
      <w:r w:rsidRPr="006E3ABA">
        <w:rPr>
          <w:sz w:val="24"/>
          <w:shd w:val="clear" w:color="auto" w:fill="FFFFFF"/>
          <w:lang w:val="hr-HR"/>
        </w:rPr>
        <w:t xml:space="preserve"> </w:t>
      </w:r>
      <w:proofErr w:type="spellStart"/>
      <w:r w:rsidRPr="006E3ABA">
        <w:rPr>
          <w:sz w:val="24"/>
          <w:shd w:val="clear" w:color="auto" w:fill="FFFFFF"/>
          <w:lang w:val="hr-HR"/>
        </w:rPr>
        <w:t>the</w:t>
      </w:r>
      <w:proofErr w:type="spellEnd"/>
      <w:r w:rsidRPr="006E3ABA">
        <w:rPr>
          <w:sz w:val="24"/>
          <w:shd w:val="clear" w:color="auto" w:fill="FFFFFF"/>
          <w:lang w:val="hr-HR"/>
        </w:rPr>
        <w:t xml:space="preserve"> U.S. - </w:t>
      </w:r>
      <w:proofErr w:type="spellStart"/>
      <w:r w:rsidRPr="006E3ABA">
        <w:rPr>
          <w:sz w:val="24"/>
          <w:shd w:val="clear" w:color="auto" w:fill="FFFFFF"/>
          <w:lang w:val="hr-HR"/>
        </w:rPr>
        <w:t>the</w:t>
      </w:r>
      <w:proofErr w:type="spellEnd"/>
      <w:r w:rsidRPr="006E3ABA">
        <w:rPr>
          <w:sz w:val="24"/>
          <w:shd w:val="clear" w:color="auto" w:fill="FFFFFF"/>
          <w:lang w:val="hr-HR"/>
        </w:rPr>
        <w:t xml:space="preserve"> </w:t>
      </w:r>
      <w:proofErr w:type="spellStart"/>
      <w:r w:rsidRPr="006E3ABA">
        <w:rPr>
          <w:sz w:val="24"/>
          <w:shd w:val="clear" w:color="auto" w:fill="FFFFFF"/>
          <w:lang w:val="hr-HR"/>
        </w:rPr>
        <w:t>first</w:t>
      </w:r>
      <w:proofErr w:type="spellEnd"/>
      <w:r w:rsidRPr="006E3ABA">
        <w:rPr>
          <w:sz w:val="24"/>
          <w:shd w:val="clear" w:color="auto" w:fill="FFFFFF"/>
          <w:lang w:val="hr-HR"/>
        </w:rPr>
        <w:t xml:space="preserve"> </w:t>
      </w:r>
      <w:proofErr w:type="spellStart"/>
      <w:r w:rsidRPr="006E3ABA">
        <w:rPr>
          <w:sz w:val="24"/>
          <w:shd w:val="clear" w:color="auto" w:fill="FFFFFF"/>
          <w:lang w:val="hr-HR"/>
        </w:rPr>
        <w:t>sixteen</w:t>
      </w:r>
      <w:proofErr w:type="spellEnd"/>
      <w:r w:rsidRPr="006E3ABA">
        <w:rPr>
          <w:sz w:val="24"/>
          <w:shd w:val="clear" w:color="auto" w:fill="FFFFFF"/>
          <w:lang w:val="hr-HR"/>
        </w:rPr>
        <w:t xml:space="preserve"> </w:t>
      </w:r>
      <w:proofErr w:type="spellStart"/>
      <w:r w:rsidRPr="006E3ABA">
        <w:rPr>
          <w:sz w:val="24"/>
          <w:shd w:val="clear" w:color="auto" w:fill="FFFFFF"/>
          <w:lang w:val="hr-HR"/>
        </w:rPr>
        <w:t>years</w:t>
      </w:r>
      <w:proofErr w:type="spellEnd"/>
      <w:r w:rsidRPr="006E3ABA">
        <w:rPr>
          <w:sz w:val="24"/>
          <w:shd w:val="clear" w:color="auto" w:fill="FFFFFF"/>
          <w:lang w:val="hr-HR"/>
        </w:rPr>
        <w:t xml:space="preserve"> (Učinak genetski modificiranih usjeva na korištenje pesticida u SAD-u – prvih šesnaest godina), </w:t>
      </w:r>
      <w:proofErr w:type="spellStart"/>
      <w:r w:rsidRPr="006E3ABA">
        <w:rPr>
          <w:sz w:val="24"/>
          <w:shd w:val="clear" w:color="auto" w:fill="FFFFFF"/>
          <w:lang w:val="hr-HR"/>
        </w:rPr>
        <w:t>Environmental</w:t>
      </w:r>
      <w:proofErr w:type="spellEnd"/>
      <w:r w:rsidRPr="006E3ABA">
        <w:rPr>
          <w:sz w:val="24"/>
          <w:shd w:val="clear" w:color="auto" w:fill="FFFFFF"/>
          <w:lang w:val="hr-HR"/>
        </w:rPr>
        <w:t xml:space="preserve"> </w:t>
      </w:r>
      <w:proofErr w:type="spellStart"/>
      <w:r w:rsidRPr="006E3ABA">
        <w:rPr>
          <w:sz w:val="24"/>
          <w:shd w:val="clear" w:color="auto" w:fill="FFFFFF"/>
          <w:lang w:val="hr-HR"/>
        </w:rPr>
        <w:t>Sciences</w:t>
      </w:r>
      <w:proofErr w:type="spellEnd"/>
      <w:r w:rsidRPr="006E3ABA">
        <w:rPr>
          <w:sz w:val="24"/>
          <w:shd w:val="clear" w:color="auto" w:fill="FFFFFF"/>
          <w:lang w:val="hr-HR"/>
        </w:rPr>
        <w:t xml:space="preserve"> Europe; 28. rujna 2012., sv. 24(1), </w:t>
      </w:r>
      <w:hyperlink r:id="rId15" w:history="1">
        <w:r w:rsidRPr="006E3ABA">
          <w:rPr>
            <w:rStyle w:val="Hyperlink"/>
            <w:sz w:val="24"/>
            <w:lang w:val="hr-HR"/>
          </w:rPr>
          <w:t>https://doi.org/10.1186/2190-4715-24-24</w:t>
        </w:r>
      </w:hyperlink>
      <w:r w:rsidRPr="006E3ABA">
        <w:rPr>
          <w:sz w:val="24"/>
          <w:lang w:val="hr-HR"/>
        </w:rPr>
        <w:t>.</w:t>
      </w:r>
      <w:r w:rsidRPr="006E3ABA">
        <w:rPr>
          <w:sz w:val="24"/>
          <w:shd w:val="clear" w:color="auto" w:fill="FFFFFF"/>
          <w:lang w:val="hr-HR"/>
        </w:rPr>
        <w:t xml:space="preserve"> </w:t>
      </w:r>
    </w:p>
  </w:footnote>
  <w:footnote w:id="6">
    <w:p w14:paraId="3E9EAEA7" w14:textId="41DBAAD0" w:rsidR="00C2650C" w:rsidRPr="006E3ABA" w:rsidRDefault="00C2650C" w:rsidP="006E3ABA">
      <w:pPr>
        <w:pStyle w:val="FootnoteText"/>
        <w:ind w:left="567" w:hanging="567"/>
        <w:rPr>
          <w:sz w:val="24"/>
          <w:shd w:val="clear" w:color="auto" w:fill="FFFFFF"/>
          <w:lang w:val="hr-HR"/>
        </w:rPr>
      </w:pPr>
      <w:r w:rsidRPr="006E3ABA">
        <w:rPr>
          <w:rStyle w:val="FootnoteReference"/>
          <w:sz w:val="24"/>
          <w:lang w:val="hr-HR"/>
        </w:rPr>
        <w:footnoteRef/>
      </w:r>
      <w:r w:rsidR="006E3ABA" w:rsidRPr="006E3ABA">
        <w:rPr>
          <w:sz w:val="24"/>
          <w:lang w:val="hr-HR"/>
        </w:rPr>
        <w:t xml:space="preserve"> </w:t>
      </w:r>
      <w:r w:rsidR="006E3ABA" w:rsidRPr="006E3ABA">
        <w:rPr>
          <w:sz w:val="24"/>
          <w:lang w:val="hr-HR"/>
        </w:rPr>
        <w:tab/>
      </w:r>
      <w:r w:rsidRPr="006E3ABA">
        <w:rPr>
          <w:sz w:val="24"/>
          <w:lang w:val="hr-HR"/>
        </w:rPr>
        <w:t xml:space="preserve">Vidjeti, primjerice: </w:t>
      </w:r>
      <w:hyperlink r:id="rId16" w:history="1">
        <w:r w:rsidRPr="006E3ABA">
          <w:rPr>
            <w:rStyle w:val="Hyperlink"/>
            <w:sz w:val="24"/>
            <w:lang w:val="hr-HR"/>
          </w:rPr>
          <w:t>https://doi.org/10.1002/ps.8105</w:t>
        </w:r>
      </w:hyperlink>
      <w:r w:rsidRPr="006E3ABA">
        <w:rPr>
          <w:sz w:val="24"/>
          <w:shd w:val="clear" w:color="auto" w:fill="FFFFFF"/>
          <w:lang w:val="hr-HR"/>
        </w:rPr>
        <w:t xml:space="preserve"> i </w:t>
      </w:r>
      <w:hyperlink r:id="rId17" w:history="1">
        <w:r w:rsidRPr="006E3ABA">
          <w:rPr>
            <w:rStyle w:val="Hyperlink"/>
            <w:sz w:val="24"/>
            <w:lang w:val="hr-HR"/>
          </w:rPr>
          <w:t>https://doi.org/10.1016/j.geoforum.2009.03.009</w:t>
        </w:r>
      </w:hyperlink>
      <w:r w:rsidRPr="006E3ABA">
        <w:rPr>
          <w:sz w:val="24"/>
          <w:lang w:val="hr-HR"/>
        </w:rPr>
        <w:t>.</w:t>
      </w:r>
    </w:p>
  </w:footnote>
  <w:footnote w:id="7">
    <w:p w14:paraId="689F2437" w14:textId="7F92D654" w:rsidR="00C2650C" w:rsidRPr="006E3ABA" w:rsidRDefault="00C2650C" w:rsidP="006E3ABA">
      <w:pPr>
        <w:pStyle w:val="FootnoteText"/>
        <w:ind w:left="567" w:hanging="567"/>
        <w:rPr>
          <w:sz w:val="24"/>
          <w:lang w:val="hr-HR"/>
        </w:rPr>
      </w:pPr>
      <w:r w:rsidRPr="006E3ABA">
        <w:rPr>
          <w:rStyle w:val="FootnoteReference"/>
          <w:sz w:val="24"/>
          <w:lang w:val="hr-HR"/>
        </w:rPr>
        <w:footnoteRef/>
      </w:r>
      <w:r w:rsidR="006E3ABA" w:rsidRPr="006E3ABA">
        <w:rPr>
          <w:sz w:val="24"/>
          <w:lang w:val="hr-HR"/>
        </w:rPr>
        <w:t xml:space="preserve"> </w:t>
      </w:r>
      <w:r w:rsidR="006E3ABA" w:rsidRPr="006E3ABA">
        <w:rPr>
          <w:sz w:val="24"/>
          <w:lang w:val="hr-HR"/>
        </w:rPr>
        <w:tab/>
      </w:r>
      <w:r w:rsidRPr="006E3ABA">
        <w:rPr>
          <w:sz w:val="24"/>
          <w:lang w:val="hr-HR"/>
        </w:rPr>
        <w:t xml:space="preserve">Uredba (EZ) br. 1107/2009 Europskog parlamenta i Vijeća od 21. listopada 2009. o stavljanju na tržište sredstava za zaštitu bilja i stavljanju izvan snage direktiva Vijeća 79/117/EEZ i 91/414/EEZ (SL L 309, 24.11.2009., str. </w:t>
      </w:r>
      <w:r w:rsidRPr="006E3ABA">
        <w:rPr>
          <w:sz w:val="24"/>
          <w:lang w:val="hr-HR"/>
        </w:rPr>
        <w:t>1, ELI: </w:t>
      </w:r>
      <w:hyperlink r:id="rId18" w:history="1">
        <w:r w:rsidRPr="006E3ABA">
          <w:rPr>
            <w:rStyle w:val="Hyperlink"/>
            <w:sz w:val="24"/>
            <w:lang w:val="hr-HR"/>
          </w:rPr>
          <w:t>http://data.europa.eu/eli/reg/2009/1107/oj</w:t>
        </w:r>
      </w:hyperlink>
      <w:r w:rsidRPr="006E3ABA">
        <w:rPr>
          <w:sz w:val="24"/>
          <w:lang w:val="hr-HR"/>
        </w:rPr>
        <w:t>).</w:t>
      </w:r>
    </w:p>
  </w:footnote>
  <w:footnote w:id="8">
    <w:p w14:paraId="3C3D533B" w14:textId="52C78501" w:rsidR="00C2650C" w:rsidRPr="006E3ABA" w:rsidRDefault="00C2650C" w:rsidP="006E3ABA">
      <w:pPr>
        <w:pStyle w:val="FootnoteText"/>
        <w:ind w:left="567" w:hanging="567"/>
        <w:rPr>
          <w:sz w:val="24"/>
          <w:lang w:val="hr-HR"/>
        </w:rPr>
      </w:pPr>
      <w:r w:rsidRPr="006E3ABA">
        <w:rPr>
          <w:rStyle w:val="FootnoteReference"/>
          <w:sz w:val="24"/>
          <w:lang w:val="hr-HR"/>
        </w:rPr>
        <w:footnoteRef/>
      </w:r>
      <w:r w:rsidR="006E3ABA" w:rsidRPr="006E3ABA">
        <w:rPr>
          <w:sz w:val="24"/>
          <w:lang w:val="hr-HR"/>
        </w:rPr>
        <w:t xml:space="preserve"> </w:t>
      </w:r>
      <w:r w:rsidR="006E3ABA" w:rsidRPr="006E3ABA">
        <w:rPr>
          <w:sz w:val="24"/>
          <w:lang w:val="hr-HR"/>
        </w:rPr>
        <w:tab/>
      </w:r>
      <w:r w:rsidRPr="006E3ABA">
        <w:rPr>
          <w:sz w:val="24"/>
          <w:lang w:val="hr-HR"/>
        </w:rPr>
        <w:t xml:space="preserve">Vidjeti, primjerice: </w:t>
      </w:r>
      <w:hyperlink r:id="rId19" w:history="1">
        <w:r w:rsidRPr="006E3ABA">
          <w:rPr>
            <w:rStyle w:val="Hyperlink"/>
            <w:sz w:val="24"/>
            <w:lang w:val="hr-HR"/>
          </w:rPr>
          <w:t>https://doi.org/10.1016/j.mrrev.2019.02.001</w:t>
        </w:r>
      </w:hyperlink>
      <w:r w:rsidRPr="006E3ABA">
        <w:rPr>
          <w:sz w:val="24"/>
          <w:lang w:val="hr-HR"/>
        </w:rPr>
        <w:t xml:space="preserve">, </w:t>
      </w:r>
      <w:hyperlink r:id="rId20" w:history="1">
        <w:r w:rsidRPr="006E3ABA">
          <w:rPr>
            <w:rStyle w:val="Hyperlink"/>
            <w:sz w:val="24"/>
            <w:lang w:val="hr-HR"/>
          </w:rPr>
          <w:t>https://doi.org/10.1093/ije/dyz017</w:t>
        </w:r>
      </w:hyperlink>
      <w:r w:rsidRPr="006E3ABA">
        <w:rPr>
          <w:sz w:val="24"/>
          <w:lang w:val="hr-HR"/>
        </w:rPr>
        <w:t xml:space="preserve">, </w:t>
      </w:r>
      <w:hyperlink r:id="rId21" w:history="1">
        <w:r w:rsidRPr="006E3ABA">
          <w:rPr>
            <w:rStyle w:val="Hyperlink"/>
            <w:sz w:val="24"/>
            <w:lang w:val="hr-HR"/>
          </w:rPr>
          <w:t>https://doi.org/10.1371/journal.pone.0219610</w:t>
        </w:r>
      </w:hyperlink>
      <w:r w:rsidRPr="006E3ABA">
        <w:rPr>
          <w:sz w:val="24"/>
          <w:lang w:val="hr-HR"/>
        </w:rPr>
        <w:t xml:space="preserve"> i </w:t>
      </w:r>
      <w:hyperlink r:id="rId22" w:history="1">
        <w:r w:rsidRPr="006E3ABA">
          <w:rPr>
            <w:rStyle w:val="Hyperlink"/>
            <w:sz w:val="24"/>
            <w:lang w:val="hr-HR"/>
          </w:rPr>
          <w:t>https://doi.org/10.1186/s13045-019-0767-9</w:t>
        </w:r>
      </w:hyperlink>
      <w:r w:rsidRPr="006E3ABA">
        <w:rPr>
          <w:sz w:val="24"/>
          <w:lang w:val="hr-HR"/>
        </w:rPr>
        <w:t>.</w:t>
      </w:r>
    </w:p>
  </w:footnote>
  <w:footnote w:id="9">
    <w:p w14:paraId="17AEE4F0" w14:textId="6782DD13" w:rsidR="00C2650C" w:rsidRPr="006E3ABA" w:rsidRDefault="00C2650C" w:rsidP="006E3ABA">
      <w:pPr>
        <w:pStyle w:val="FootnoteText"/>
        <w:ind w:left="567" w:hanging="567"/>
        <w:rPr>
          <w:sz w:val="24"/>
          <w:lang w:val="hr-HR"/>
        </w:rPr>
      </w:pPr>
      <w:r w:rsidRPr="006E3ABA">
        <w:rPr>
          <w:rStyle w:val="FootnoteReference"/>
          <w:sz w:val="24"/>
          <w:lang w:val="hr-HR"/>
        </w:rPr>
        <w:footnoteRef/>
      </w:r>
      <w:r w:rsidR="006E3ABA" w:rsidRPr="006E3ABA">
        <w:rPr>
          <w:sz w:val="24"/>
          <w:lang w:val="hr-HR"/>
        </w:rPr>
        <w:t xml:space="preserve"> </w:t>
      </w:r>
      <w:r w:rsidR="006E3ABA" w:rsidRPr="006E3ABA">
        <w:rPr>
          <w:sz w:val="24"/>
          <w:lang w:val="hr-HR"/>
        </w:rPr>
        <w:tab/>
      </w:r>
      <w:hyperlink r:id="rId23" w:history="1">
        <w:r w:rsidRPr="006E3ABA">
          <w:rPr>
            <w:rStyle w:val="Hyperlink"/>
            <w:sz w:val="24"/>
            <w:lang w:val="hr-HR"/>
          </w:rPr>
          <w:t>https://doi.org/10.1006/rtph.1999.1371</w:t>
        </w:r>
      </w:hyperlink>
      <w:r w:rsidRPr="006E3ABA">
        <w:rPr>
          <w:sz w:val="24"/>
          <w:lang w:val="hr-HR"/>
        </w:rPr>
        <w:t xml:space="preserve">. </w:t>
      </w:r>
    </w:p>
  </w:footnote>
  <w:footnote w:id="10">
    <w:p w14:paraId="2B91913F" w14:textId="6809ED15" w:rsidR="00C2650C" w:rsidRPr="006E3ABA" w:rsidRDefault="00C2650C" w:rsidP="006E3ABA">
      <w:pPr>
        <w:pStyle w:val="FootnoteText"/>
        <w:ind w:left="567" w:hanging="567"/>
        <w:rPr>
          <w:sz w:val="24"/>
          <w:lang w:val="hr-HR"/>
        </w:rPr>
      </w:pPr>
      <w:r w:rsidRPr="006E3ABA">
        <w:rPr>
          <w:rStyle w:val="FootnoteReference"/>
          <w:sz w:val="24"/>
          <w:lang w:val="hr-HR"/>
        </w:rPr>
        <w:footnoteRef/>
      </w:r>
      <w:r w:rsidR="006E3ABA" w:rsidRPr="006E3ABA">
        <w:rPr>
          <w:color w:val="000000" w:themeColor="text1"/>
          <w:sz w:val="24"/>
          <w:lang w:val="hr-HR"/>
        </w:rPr>
        <w:t xml:space="preserve"> </w:t>
      </w:r>
      <w:r w:rsidR="006E3ABA" w:rsidRPr="006E3ABA">
        <w:rPr>
          <w:color w:val="000000" w:themeColor="text1"/>
          <w:sz w:val="24"/>
          <w:lang w:val="hr-HR"/>
        </w:rPr>
        <w:tab/>
      </w:r>
      <w:r w:rsidRPr="006E3ABA">
        <w:rPr>
          <w:color w:val="000000" w:themeColor="text1"/>
          <w:sz w:val="24"/>
          <w:lang w:val="hr-HR"/>
        </w:rPr>
        <w:t xml:space="preserve">U prosincu 2022. na konferenciji COP15 Konvencije Ujedinjenih naroda o biološkoj raznolikosti dogovoren je globalni okvir za biološku raznolikost, koji obuhvaća globalni cilj smanjenja rizika od pesticida za najmanje 50 % do 2030. </w:t>
      </w:r>
      <w:r w:rsidRPr="006E3ABA">
        <w:rPr>
          <w:color w:val="000000" w:themeColor="text1"/>
          <w:sz w:val="24"/>
          <w:lang w:val="hr-HR"/>
        </w:rPr>
        <w:t xml:space="preserve">(vidjeti: </w:t>
      </w:r>
      <w:hyperlink r:id="rId24" w:history="1">
        <w:r w:rsidRPr="006E3ABA">
          <w:rPr>
            <w:rStyle w:val="Hyperlink"/>
            <w:sz w:val="24"/>
            <w:lang w:val="hr-HR"/>
          </w:rPr>
          <w:t>https://ec.europa.eu/commission/presscorner/detail/hr/ip_22_7834</w:t>
        </w:r>
      </w:hyperlink>
      <w:r w:rsidRPr="006E3ABA">
        <w:rPr>
          <w:sz w:val="24"/>
          <w:lang w:val="hr-HR"/>
        </w:rPr>
        <w:t>).</w:t>
      </w:r>
    </w:p>
  </w:footnote>
  <w:footnote w:id="11">
    <w:p w14:paraId="0A7DF15C" w14:textId="04D44039" w:rsidR="00C2650C" w:rsidRPr="006E3ABA" w:rsidRDefault="00C2650C" w:rsidP="006E3ABA">
      <w:pPr>
        <w:pStyle w:val="FootnoteText"/>
        <w:ind w:left="567" w:hanging="567"/>
        <w:rPr>
          <w:sz w:val="24"/>
          <w:lang w:val="hr-HR"/>
        </w:rPr>
      </w:pPr>
      <w:r w:rsidRPr="006E3ABA">
        <w:rPr>
          <w:rStyle w:val="FootnoteReference"/>
          <w:sz w:val="24"/>
          <w:lang w:val="hr-HR"/>
        </w:rPr>
        <w:footnoteRef/>
      </w:r>
      <w:r w:rsidR="006E3ABA" w:rsidRPr="006E3ABA">
        <w:rPr>
          <w:sz w:val="24"/>
          <w:lang w:val="hr-HR"/>
        </w:rPr>
        <w:t xml:space="preserve"> </w:t>
      </w:r>
      <w:r w:rsidR="006E3ABA" w:rsidRPr="006E3ABA">
        <w:rPr>
          <w:sz w:val="24"/>
          <w:lang w:val="hr-HR"/>
        </w:rPr>
        <w:tab/>
      </w:r>
      <w:hyperlink r:id="rId25" w:history="1">
        <w:r w:rsidRPr="006E3ABA">
          <w:rPr>
            <w:rStyle w:val="Hyperlink"/>
            <w:sz w:val="24"/>
            <w:lang w:val="hr-HR"/>
          </w:rPr>
          <w:t>https://commission.europa.eu/strategy-and-policy/priorities-2019-2024/european-green-deal/agriculture-and-green-deal/strategic-dialogue-future-eu-agriculture_hr</w:t>
        </w:r>
      </w:hyperlink>
      <w:r w:rsidRPr="006E3ABA">
        <w:rPr>
          <w:rStyle w:val="Hyperlink"/>
          <w:sz w:val="24"/>
          <w:lang w:val="hr-HR"/>
        </w:rPr>
        <w:t>.</w:t>
      </w:r>
      <w:r w:rsidRPr="006E3ABA">
        <w:rPr>
          <w:sz w:val="24"/>
          <w:lang w:val="hr-HR"/>
        </w:rPr>
        <w:t xml:space="preserve"> </w:t>
      </w:r>
    </w:p>
  </w:footnote>
  <w:footnote w:id="12">
    <w:p w14:paraId="1CA1173D" w14:textId="0B6E8F48" w:rsidR="00C2650C" w:rsidRPr="006E3ABA" w:rsidRDefault="00C2650C" w:rsidP="006E3ABA">
      <w:pPr>
        <w:pStyle w:val="FootnoteText"/>
        <w:ind w:left="567" w:hanging="567"/>
        <w:rPr>
          <w:sz w:val="24"/>
          <w:lang w:val="hr-HR"/>
        </w:rPr>
      </w:pPr>
      <w:r w:rsidRPr="006E3ABA">
        <w:rPr>
          <w:rStyle w:val="FootnoteReference"/>
          <w:sz w:val="24"/>
          <w:lang w:val="hr-HR"/>
        </w:rPr>
        <w:footnoteRef/>
      </w:r>
      <w:r w:rsidR="006E3ABA" w:rsidRPr="006E3ABA">
        <w:rPr>
          <w:sz w:val="24"/>
          <w:lang w:val="hr-HR"/>
        </w:rPr>
        <w:t xml:space="preserve"> </w:t>
      </w:r>
      <w:r w:rsidR="006E3ABA" w:rsidRPr="006E3ABA">
        <w:rPr>
          <w:sz w:val="24"/>
          <w:lang w:val="hr-HR"/>
        </w:rPr>
        <w:tab/>
      </w:r>
      <w:r w:rsidRPr="006E3ABA">
        <w:rPr>
          <w:sz w:val="24"/>
          <w:lang w:val="hr-HR"/>
        </w:rPr>
        <w:t>Uredba (EZ) br. 178/2002 Europskog parlamenta i Vijeća od 28. siječnja 2002. o utvrđivanju općih načela i uvjeta zakona o hrani, osnivanju Europske agencije za sigurnost hrane te utvrđivanju postupaka u područjima sigurnosti hrane (SL L 31, 1.2.2002., str. </w:t>
      </w:r>
      <w:r w:rsidRPr="006E3ABA">
        <w:rPr>
          <w:sz w:val="24"/>
          <w:lang w:val="hr-HR"/>
        </w:rPr>
        <w:t>1., ELI:</w:t>
      </w:r>
      <w:r w:rsidRPr="006E3ABA">
        <w:rPr>
          <w:color w:val="000000" w:themeColor="text1"/>
          <w:sz w:val="24"/>
          <w:lang w:val="hr-HR"/>
        </w:rPr>
        <w:t> </w:t>
      </w:r>
      <w:hyperlink r:id="rId26" w:tgtFrame="Gives access to this document through its ELI URI." w:history="1">
        <w:r w:rsidRPr="006E3ABA">
          <w:rPr>
            <w:rStyle w:val="Hyperlink"/>
            <w:color w:val="0070C0"/>
            <w:sz w:val="24"/>
            <w:lang w:val="hr-HR"/>
          </w:rPr>
          <w:t>http://data.europa.eu/eli/reg/2002/178/oj</w:t>
        </w:r>
      </w:hyperlink>
      <w:r w:rsidRPr="006E3ABA">
        <w:rPr>
          <w:sz w:val="24"/>
          <w:lang w:val="hr-H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43C6FA" w14:textId="77777777" w:rsidR="00064002" w:rsidRPr="006E3ABA"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66C2EB" w14:textId="77777777" w:rsidR="00064002" w:rsidRPr="006E3ABA"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6C0912" w14:textId="77777777" w:rsidR="00064002" w:rsidRPr="006E3AB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306513477">
    <w:abstractNumId w:val="9"/>
  </w:num>
  <w:num w:numId="2" w16cid:durableId="891960973">
    <w:abstractNumId w:val="9"/>
  </w:num>
  <w:num w:numId="3" w16cid:durableId="1455949532">
    <w:abstractNumId w:val="7"/>
  </w:num>
  <w:num w:numId="4" w16cid:durableId="1487353653">
    <w:abstractNumId w:val="7"/>
  </w:num>
  <w:num w:numId="5" w16cid:durableId="848373801">
    <w:abstractNumId w:val="6"/>
  </w:num>
  <w:num w:numId="6" w16cid:durableId="391193603">
    <w:abstractNumId w:val="6"/>
  </w:num>
  <w:num w:numId="7" w16cid:durableId="632563954">
    <w:abstractNumId w:val="5"/>
  </w:num>
  <w:num w:numId="8" w16cid:durableId="514156095">
    <w:abstractNumId w:val="5"/>
  </w:num>
  <w:num w:numId="9" w16cid:durableId="1439132090">
    <w:abstractNumId w:val="4"/>
  </w:num>
  <w:num w:numId="10" w16cid:durableId="956252869">
    <w:abstractNumId w:val="4"/>
  </w:num>
  <w:num w:numId="11" w16cid:durableId="1462334854">
    <w:abstractNumId w:val="8"/>
  </w:num>
  <w:num w:numId="12" w16cid:durableId="783811806">
    <w:abstractNumId w:val="8"/>
  </w:num>
  <w:num w:numId="13" w16cid:durableId="1564370631">
    <w:abstractNumId w:val="3"/>
  </w:num>
  <w:num w:numId="14" w16cid:durableId="1480462007">
    <w:abstractNumId w:val="3"/>
  </w:num>
  <w:num w:numId="15" w16cid:durableId="508183250">
    <w:abstractNumId w:val="2"/>
  </w:num>
  <w:num w:numId="16" w16cid:durableId="1359696145">
    <w:abstractNumId w:val="2"/>
  </w:num>
  <w:num w:numId="17" w16cid:durableId="841431102">
    <w:abstractNumId w:val="1"/>
  </w:num>
  <w:num w:numId="18" w16cid:durableId="1248417125">
    <w:abstractNumId w:val="1"/>
  </w:num>
  <w:num w:numId="19" w16cid:durableId="1140146953">
    <w:abstractNumId w:val="0"/>
  </w:num>
  <w:num w:numId="20" w16cid:durableId="1840999371">
    <w:abstractNumId w:val="0"/>
  </w:num>
  <w:num w:numId="21" w16cid:durableId="25061036">
    <w:abstractNumId w:val="9"/>
  </w:num>
  <w:num w:numId="22" w16cid:durableId="929774863">
    <w:abstractNumId w:val="7"/>
  </w:num>
  <w:num w:numId="23" w16cid:durableId="753628531">
    <w:abstractNumId w:val="6"/>
  </w:num>
  <w:num w:numId="24" w16cid:durableId="62872100">
    <w:abstractNumId w:val="5"/>
  </w:num>
  <w:num w:numId="25" w16cid:durableId="770510811">
    <w:abstractNumId w:val="4"/>
  </w:num>
  <w:num w:numId="26" w16cid:durableId="485971393">
    <w:abstractNumId w:val="8"/>
  </w:num>
  <w:num w:numId="27" w16cid:durableId="340788169">
    <w:abstractNumId w:val="3"/>
  </w:num>
  <w:num w:numId="28" w16cid:durableId="1347100491">
    <w:abstractNumId w:val="2"/>
  </w:num>
  <w:num w:numId="29" w16cid:durableId="2055226913">
    <w:abstractNumId w:val="1"/>
  </w:num>
  <w:num w:numId="30" w16cid:durableId="1793211662">
    <w:abstractNumId w:val="0"/>
  </w:num>
  <w:num w:numId="31" w16cid:durableId="1306157760">
    <w:abstractNumId w:val="9"/>
  </w:num>
  <w:num w:numId="32" w16cid:durableId="1130904384">
    <w:abstractNumId w:val="7"/>
  </w:num>
  <w:num w:numId="33" w16cid:durableId="1592931894">
    <w:abstractNumId w:val="6"/>
  </w:num>
  <w:num w:numId="34" w16cid:durableId="1347974533">
    <w:abstractNumId w:val="5"/>
  </w:num>
  <w:num w:numId="35" w16cid:durableId="1716585708">
    <w:abstractNumId w:val="4"/>
  </w:num>
  <w:num w:numId="36" w16cid:durableId="2112969834">
    <w:abstractNumId w:val="8"/>
  </w:num>
  <w:num w:numId="37" w16cid:durableId="1358892511">
    <w:abstractNumId w:val="3"/>
  </w:num>
  <w:num w:numId="38" w16cid:durableId="18435268">
    <w:abstractNumId w:val="2"/>
  </w:num>
  <w:num w:numId="39" w16cid:durableId="791704249">
    <w:abstractNumId w:val="1"/>
  </w:num>
  <w:num w:numId="40" w16cid:durableId="196816590">
    <w:abstractNumId w:val="0"/>
  </w:num>
  <w:num w:numId="41" w16cid:durableId="66542421">
    <w:abstractNumId w:val="10"/>
  </w:num>
  <w:num w:numId="42" w16cid:durableId="23024778">
    <w:abstractNumId w:val="10"/>
  </w:num>
  <w:num w:numId="43" w16cid:durableId="1426923045">
    <w:abstractNumId w:val="10"/>
  </w:num>
  <w:num w:numId="44" w16cid:durableId="75683167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107/2026"/>
    <w:docVar w:name="dvlangue" w:val="HR"/>
    <w:docVar w:name="dvnumam" w:val="0"/>
    <w:docVar w:name="dvpe" w:val="782.192"/>
    <w:docVar w:name="dvtitre" w:val="Rezolucija Europskog parlamenta od .... 2026. o Nacrtu provedbene odluke Komisije o odobravanju stavljanja na tržište proizvoda koji sadržavaju genetski modificiranu soju DBN-09004-6, sastoje se ili su proizvedeni od nje, u skladu s Uredbom (EZ) br. 1829/2003 Europskog parlamenta i Vijeća (D111472/02 – 2026/2523(RSP))"/>
  </w:docVars>
  <w:rsids>
    <w:rsidRoot w:val="003B5737"/>
    <w:rsid w:val="00002272"/>
    <w:rsid w:val="00064002"/>
    <w:rsid w:val="000677B9"/>
    <w:rsid w:val="000831BA"/>
    <w:rsid w:val="000A42CC"/>
    <w:rsid w:val="000E7DD9"/>
    <w:rsid w:val="0010095E"/>
    <w:rsid w:val="00125B37"/>
    <w:rsid w:val="00187494"/>
    <w:rsid w:val="001F32AE"/>
    <w:rsid w:val="002767FF"/>
    <w:rsid w:val="002A2A7D"/>
    <w:rsid w:val="002B18FE"/>
    <w:rsid w:val="002B5493"/>
    <w:rsid w:val="002C761A"/>
    <w:rsid w:val="00343214"/>
    <w:rsid w:val="00361C00"/>
    <w:rsid w:val="00395FA1"/>
    <w:rsid w:val="003B5737"/>
    <w:rsid w:val="003C406C"/>
    <w:rsid w:val="003E15D4"/>
    <w:rsid w:val="00411CCE"/>
    <w:rsid w:val="0041666E"/>
    <w:rsid w:val="00421060"/>
    <w:rsid w:val="0046508F"/>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E3ABA"/>
    <w:rsid w:val="006E5904"/>
    <w:rsid w:val="006F74FA"/>
    <w:rsid w:val="0072022D"/>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2650C"/>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D431C"/>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40B3805"/>
  <w15:chartTrackingRefBased/>
  <w15:docId w15:val="{B0A84C23-B24B-4DD0-B759-C84E77D4F1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r-H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uiPriority w:val="99"/>
    <w:rsid w:val="00C2650C"/>
    <w:pPr>
      <w:spacing w:before="480" w:after="240"/>
    </w:pPr>
  </w:style>
  <w:style w:type="paragraph" w:customStyle="1" w:styleId="NormalHanging12a">
    <w:name w:val="NormalHanging12a"/>
    <w:basedOn w:val="Normal"/>
    <w:uiPriority w:val="99"/>
    <w:qFormat/>
    <w:rsid w:val="00C2650C"/>
    <w:pPr>
      <w:spacing w:after="240"/>
      <w:ind w:left="567" w:hanging="567"/>
    </w:pPr>
  </w:style>
  <w:style w:type="character" w:styleId="Hyperlink">
    <w:name w:val="Hyperlink"/>
    <w:basedOn w:val="DefaultParagraphFont"/>
    <w:uiPriority w:val="99"/>
    <w:rsid w:val="00C2650C"/>
    <w:rPr>
      <w:color w:val="0563C1" w:themeColor="hyperlink"/>
      <w:u w:val="single"/>
    </w:rPr>
  </w:style>
  <w:style w:type="paragraph" w:styleId="NormalWeb">
    <w:name w:val="Normal (Web)"/>
    <w:basedOn w:val="Normal"/>
    <w:uiPriority w:val="99"/>
    <w:unhideWhenUsed/>
    <w:rsid w:val="00C2650C"/>
    <w:pPr>
      <w:widowControl/>
      <w:spacing w:before="100" w:beforeAutospacing="1" w:after="100" w:afterAutospacing="1"/>
    </w:pPr>
    <w:rPr>
      <w:szCs w:val="24"/>
    </w:rPr>
  </w:style>
  <w:style w:type="paragraph" w:styleId="Revision">
    <w:name w:val="Revision"/>
    <w:hidden/>
    <w:uiPriority w:val="99"/>
    <w:semiHidden/>
    <w:rsid w:val="0072022D"/>
    <w:rPr>
      <w:sz w:val="24"/>
      <w:lang w:val="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5/1801/oj" TargetMode="External"/><Relationship Id="rId13" Type="http://schemas.openxmlformats.org/officeDocument/2006/relationships/hyperlink" Target="http://data.europa.eu/eli/C/2025/2247/oj" TargetMode="External"/><Relationship Id="rId18" Type="http://schemas.openxmlformats.org/officeDocument/2006/relationships/hyperlink" Target="http://data.europa.eu/eli/reg/2009/1107/oj" TargetMode="External"/><Relationship Id="rId26" Type="http://schemas.openxmlformats.org/officeDocument/2006/relationships/hyperlink" Target="http://data.europa.eu/eli/reg/2002/178/oj" TargetMode="External"/><Relationship Id="rId3" Type="http://schemas.openxmlformats.org/officeDocument/2006/relationships/hyperlink" Target="https://doi.org/10.2903/j.efsa.2025.9503" TargetMode="External"/><Relationship Id="rId21" Type="http://schemas.openxmlformats.org/officeDocument/2006/relationships/hyperlink" Target="https://doi.org/10.1371/journal.pone.0219610" TargetMode="External"/><Relationship Id="rId7" Type="http://schemas.openxmlformats.org/officeDocument/2006/relationships/hyperlink" Target="http://data.europa.eu/eli/C/2025/1800/oj" TargetMode="External"/><Relationship Id="rId12" Type="http://schemas.openxmlformats.org/officeDocument/2006/relationships/hyperlink" Target="http://data.europa.eu/eli/C/2025/2246/oj" TargetMode="External"/><Relationship Id="rId17" Type="http://schemas.openxmlformats.org/officeDocument/2006/relationships/hyperlink" Target="https://doi.org/10.1016/j.geoforum.2009.03.009" TargetMode="External"/><Relationship Id="rId25" Type="http://schemas.openxmlformats.org/officeDocument/2006/relationships/hyperlink" Target="https://commission.europa.eu/strategy-and-policy/priorities-2019-2024/european-green-deal/agriculture-and-green-deal/strategic-dialogue-future-eu-agriculture_hr" TargetMode="External"/><Relationship Id="rId2" Type="http://schemas.openxmlformats.org/officeDocument/2006/relationships/hyperlink" Target="http://data.europa.eu/eli/reg/2011/182/oj" TargetMode="External"/><Relationship Id="rId16" Type="http://schemas.openxmlformats.org/officeDocument/2006/relationships/hyperlink" Target="https://doi.org/10.1002/ps.8105" TargetMode="External"/><Relationship Id="rId20" Type="http://schemas.openxmlformats.org/officeDocument/2006/relationships/hyperlink" Target="https://doi.org/10.1093/ije/dyz017" TargetMode="External"/><Relationship Id="rId1" Type="http://schemas.openxmlformats.org/officeDocument/2006/relationships/hyperlink" Target="http://data.europa.eu/eli/reg/2003/1829/oj" TargetMode="External"/><Relationship Id="rId6" Type="http://schemas.openxmlformats.org/officeDocument/2006/relationships/hyperlink" Target="http://data.europa.eu/eli/C/2025/1799/oj" TargetMode="External"/><Relationship Id="rId11" Type="http://schemas.openxmlformats.org/officeDocument/2006/relationships/hyperlink" Target="http://data.europa.eu/eli/C/2025/1804/oj" TargetMode="External"/><Relationship Id="rId24" Type="http://schemas.openxmlformats.org/officeDocument/2006/relationships/hyperlink" Target="https://ec.europa.eu/commission/presscorner/detail/hr/ip_22_7834" TargetMode="External"/><Relationship Id="rId5" Type="http://schemas.openxmlformats.org/officeDocument/2006/relationships/hyperlink" Target="http://data.europa.eu/eli/C/2025/1798/oj" TargetMode="External"/><Relationship Id="rId15" Type="http://schemas.openxmlformats.org/officeDocument/2006/relationships/hyperlink" Target="https://doi.org/10.1186/2190-4715-24-24" TargetMode="External"/><Relationship Id="rId23" Type="http://schemas.openxmlformats.org/officeDocument/2006/relationships/hyperlink" Target="https://doi.org/10.1006/rtph.1999.1371" TargetMode="External"/><Relationship Id="rId10" Type="http://schemas.openxmlformats.org/officeDocument/2006/relationships/hyperlink" Target="http://data.europa.eu/eli/C/2025/1803/oj" TargetMode="External"/><Relationship Id="rId19" Type="http://schemas.openxmlformats.org/officeDocument/2006/relationships/hyperlink" Target="https://doi.org/10.1016/j.mrrev.2019.02.001" TargetMode="External"/><Relationship Id="rId4" Type="http://schemas.openxmlformats.org/officeDocument/2006/relationships/hyperlink" Target="http://data.europa.eu/eli/C/2025/1797/oj" TargetMode="External"/><Relationship Id="rId9" Type="http://schemas.openxmlformats.org/officeDocument/2006/relationships/hyperlink" Target="http://data.europa.eu/eli/C/2025/1802/oj" TargetMode="External"/><Relationship Id="rId14" Type="http://schemas.openxmlformats.org/officeDocument/2006/relationships/hyperlink" Target="https://doi.org/10.1007/s00267-015-0589-7" TargetMode="External"/><Relationship Id="rId22" Type="http://schemas.openxmlformats.org/officeDocument/2006/relationships/hyperlink" Target="https://doi.org/10.1186/s13045-019-0767-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7</Pages>
  <Words>1580</Words>
  <Characters>9298</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JELIC PRIMORAC Ivana</dc:creator>
  <cp:keywords/>
  <cp:lastModifiedBy>JELIC PRIMORAC Ivana</cp:lastModifiedBy>
  <cp:revision>2</cp:revision>
  <cp:lastPrinted>2004-11-19T15:42:00Z</cp:lastPrinted>
  <dcterms:created xsi:type="dcterms:W3CDTF">2026-02-11T11:57:00Z</dcterms:created>
  <dcterms:modified xsi:type="dcterms:W3CDTF">2026-02-11T11:57:00Z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B10-0107/2026</vt:lpwstr>
  </property>
  <property fmtid="{D5CDD505-2E9C-101B-9397-08002B2CF9AE}" pid="4" name="&lt;Type&gt;">
    <vt:lpwstr>RR</vt:lpwstr>
  </property>
</Properties>
</file>