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5440" w14:paraId="148652AD" w14:textId="77777777" w:rsidTr="0010095E">
        <w:trPr>
          <w:trHeight w:hRule="exact" w:val="1418"/>
        </w:trPr>
        <w:tc>
          <w:tcPr>
            <w:tcW w:w="6804" w:type="dxa"/>
            <w:shd w:val="clear" w:color="auto" w:fill="auto"/>
            <w:vAlign w:val="center"/>
          </w:tcPr>
          <w:p w14:paraId="5F2698CD" w14:textId="60FB0D32" w:rsidR="00751A4A" w:rsidRPr="00E85440" w:rsidRDefault="00DA42B5" w:rsidP="0010095E">
            <w:pPr>
              <w:pStyle w:val="EPName"/>
            </w:pPr>
            <w:r w:rsidRPr="00E85440">
              <w:t>Europos Parlamentas</w:t>
            </w:r>
          </w:p>
          <w:p w14:paraId="66C0EA87" w14:textId="77777777" w:rsidR="00751A4A" w:rsidRPr="00E85440" w:rsidRDefault="005F1B17" w:rsidP="005F1B17">
            <w:pPr>
              <w:pStyle w:val="EPTerm"/>
              <w:rPr>
                <w:rStyle w:val="HideTWBExt"/>
                <w:noProof w:val="0"/>
                <w:vanish w:val="0"/>
                <w:color w:val="auto"/>
              </w:rPr>
            </w:pPr>
            <w:r w:rsidRPr="00E85440">
              <w:t>2024</w:t>
            </w:r>
            <w:r w:rsidR="00817416" w:rsidRPr="00E85440">
              <w:t>-202</w:t>
            </w:r>
            <w:r w:rsidRPr="00E85440">
              <w:t>9</w:t>
            </w:r>
          </w:p>
        </w:tc>
        <w:tc>
          <w:tcPr>
            <w:tcW w:w="2268" w:type="dxa"/>
            <w:shd w:val="clear" w:color="auto" w:fill="auto"/>
          </w:tcPr>
          <w:p w14:paraId="11F23921" w14:textId="77777777" w:rsidR="00751A4A" w:rsidRPr="00E85440" w:rsidRDefault="00187494" w:rsidP="0010095E">
            <w:pPr>
              <w:pStyle w:val="EPLogo"/>
            </w:pPr>
            <w:r w:rsidRPr="00E85440">
              <w:rPr>
                <w:noProof/>
                <w:lang w:eastAsia="ja-JP"/>
              </w:rPr>
              <w:drawing>
                <wp:inline distT="0" distB="0" distL="0" distR="0" wp14:anchorId="48B45385" wp14:editId="48F4E9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1E665B" w14:textId="77777777" w:rsidR="00D058B8" w:rsidRPr="00E85440" w:rsidRDefault="00D058B8" w:rsidP="004C5D52">
      <w:pPr>
        <w:pStyle w:val="LineTop"/>
      </w:pPr>
    </w:p>
    <w:p w14:paraId="29496AAE" w14:textId="286DAE13" w:rsidR="00680577" w:rsidRPr="00E85440" w:rsidRDefault="00DA42B5" w:rsidP="00680577">
      <w:pPr>
        <w:pStyle w:val="EPBodyTA1"/>
      </w:pPr>
      <w:r w:rsidRPr="00E85440">
        <w:t>PRIIMTI TEKSTAI</w:t>
      </w:r>
    </w:p>
    <w:p w14:paraId="008E62D8" w14:textId="77777777" w:rsidR="00D058B8" w:rsidRPr="00E85440" w:rsidRDefault="00D058B8" w:rsidP="00D058B8">
      <w:pPr>
        <w:pStyle w:val="LineBottom"/>
      </w:pPr>
    </w:p>
    <w:p w14:paraId="0DBE8367" w14:textId="0EFBEDF4" w:rsidR="00DA42B5" w:rsidRPr="00E85440" w:rsidRDefault="00DA42B5" w:rsidP="00DA42B5">
      <w:pPr>
        <w:pStyle w:val="ATHeading1"/>
      </w:pPr>
      <w:bookmarkStart w:id="0" w:name="TANumber"/>
      <w:r w:rsidRPr="00E85440">
        <w:t>P10_TA(2026)00</w:t>
      </w:r>
      <w:r w:rsidR="005931CC">
        <w:t>41</w:t>
      </w:r>
      <w:bookmarkEnd w:id="0"/>
    </w:p>
    <w:p w14:paraId="4CEA437F" w14:textId="732EBF07" w:rsidR="00DA42B5" w:rsidRPr="00E85440" w:rsidRDefault="003554CD" w:rsidP="00DA42B5">
      <w:pPr>
        <w:pStyle w:val="ATHeading2"/>
      </w:pPr>
      <w:bookmarkStart w:id="1" w:name="title"/>
      <w:r>
        <w:t>G</w:t>
      </w:r>
      <w:r w:rsidR="00DA42B5" w:rsidRPr="00E85440">
        <w:t>enetiškai modifikuotos sojos DBN-09004-6</w:t>
      </w:r>
      <w:bookmarkEnd w:id="1"/>
    </w:p>
    <w:p w14:paraId="76873295" w14:textId="77777777" w:rsidR="00DA42B5" w:rsidRPr="00E85440" w:rsidRDefault="00DA42B5" w:rsidP="00DA42B5">
      <w:pPr>
        <w:rPr>
          <w:i/>
          <w:vanish/>
        </w:rPr>
      </w:pPr>
      <w:r w:rsidRPr="00E85440">
        <w:rPr>
          <w:i/>
        </w:rPr>
        <w:fldChar w:fldCharType="begin"/>
      </w:r>
      <w:r w:rsidRPr="00E85440">
        <w:rPr>
          <w:i/>
        </w:rPr>
        <w:instrText xml:space="preserve"> TC"(</w:instrText>
      </w:r>
      <w:bookmarkStart w:id="2" w:name="DocNumber"/>
      <w:r w:rsidRPr="00E85440">
        <w:rPr>
          <w:i/>
        </w:rPr>
        <w:instrText>B10-0107/2026</w:instrText>
      </w:r>
      <w:bookmarkEnd w:id="2"/>
      <w:r w:rsidRPr="00E85440">
        <w:rPr>
          <w:i/>
        </w:rPr>
        <w:instrText xml:space="preserve">)"\l3 \n&gt; \* MERGEFORMAT </w:instrText>
      </w:r>
      <w:r w:rsidRPr="00E85440">
        <w:rPr>
          <w:i/>
        </w:rPr>
        <w:fldChar w:fldCharType="end"/>
      </w:r>
    </w:p>
    <w:p w14:paraId="1BF20179" w14:textId="77777777" w:rsidR="00DA42B5" w:rsidRPr="00E85440" w:rsidRDefault="00DA42B5" w:rsidP="00DA42B5">
      <w:pPr>
        <w:rPr>
          <w:vanish/>
        </w:rPr>
      </w:pPr>
      <w:bookmarkStart w:id="3" w:name="PE"/>
      <w:r w:rsidRPr="00E85440">
        <w:rPr>
          <w:vanish/>
        </w:rPr>
        <w:t>PE782.192</w:t>
      </w:r>
      <w:bookmarkEnd w:id="3"/>
    </w:p>
    <w:p w14:paraId="69B8BF19" w14:textId="22F30689" w:rsidR="00DA42B5" w:rsidRPr="00E85440" w:rsidRDefault="00DA42B5" w:rsidP="00762CED">
      <w:pPr>
        <w:pStyle w:val="ATHeading3"/>
      </w:pPr>
      <w:bookmarkStart w:id="4" w:name="Sujet"/>
      <w:r w:rsidRPr="00E85440">
        <w:t xml:space="preserve">2026 m. vasario 11 d. Europos Parlamento rezoliucija dėl Komisijos įgyvendinimo sprendimo, kuriuo pagal Europos Parlamento ir Tarybos reglamentą (EB) Nr. 1829/2003 leidžiama pateikti rinkai produktus, kurių sudėtyje yra genetiškai modifikuotų sojų DBN-09004-6, kurie iš jų sudaryti arba kurie iš jų pagaminti, projekto </w:t>
      </w:r>
      <w:bookmarkStart w:id="5" w:name="References"/>
      <w:bookmarkEnd w:id="4"/>
      <w:r w:rsidRPr="00E85440">
        <w:t>(D111472/02 – 2026/2523(RSP))</w:t>
      </w:r>
      <w:bookmarkEnd w:id="5"/>
    </w:p>
    <w:p w14:paraId="5F3F459B" w14:textId="77777777" w:rsidR="005A3CBF" w:rsidRPr="00E85440" w:rsidRDefault="005A3CBF" w:rsidP="005A3CBF">
      <w:pPr>
        <w:pStyle w:val="EPComma"/>
      </w:pPr>
      <w:bookmarkStart w:id="6" w:name="TextBodyBegin"/>
      <w:bookmarkEnd w:id="6"/>
      <w:r w:rsidRPr="00E85440">
        <w:rPr>
          <w:i/>
          <w:iCs/>
        </w:rPr>
        <w:t>Europos Parlamentas</w:t>
      </w:r>
      <w:r w:rsidRPr="00E85440">
        <w:t>,</w:t>
      </w:r>
    </w:p>
    <w:p w14:paraId="195E2B4B" w14:textId="77777777" w:rsidR="005A3CBF" w:rsidRPr="00E85440" w:rsidRDefault="005A3CBF" w:rsidP="005A3CBF">
      <w:pPr>
        <w:pStyle w:val="NormalHanging12a"/>
      </w:pPr>
      <w:r w:rsidRPr="00E85440">
        <w:t>–</w:t>
      </w:r>
      <w:r w:rsidRPr="00E85440">
        <w:tab/>
        <w:t>atsižvelgdamas į Komisijos įgyvendinimo sprendimo, kuriuo pagal Europos Parlamento ir Tarybos reglamentą (EB) Nr. 1829/2003 leidžiama pateikti rinkai produktus, kurių sudėtyje yra genetiškai modifikuotų sojų DBN-09004-6, kurie iš jų sudaryti arba kurie iš jų pagaminti, projektą (D111472/02),</w:t>
      </w:r>
    </w:p>
    <w:p w14:paraId="4CAFA9DF" w14:textId="77777777" w:rsidR="005A3CBF" w:rsidRPr="00E85440" w:rsidRDefault="005A3CBF" w:rsidP="005A3CBF">
      <w:pPr>
        <w:pStyle w:val="NormalHanging12a"/>
      </w:pPr>
      <w:r w:rsidRPr="00E85440">
        <w:t>–</w:t>
      </w:r>
      <w:r w:rsidRPr="00E85440">
        <w:tab/>
        <w:t>atsižvelgdamas į 2003 m. rugsėjo 22 d. Europos Parlamento ir Tarybos reglamentą (EB) Nr. 1829/2003 dėl genetiškai modifikuoto maisto ir pašarų</w:t>
      </w:r>
      <w:r w:rsidRPr="00E85440">
        <w:rPr>
          <w:rStyle w:val="FootnoteReference"/>
        </w:rPr>
        <w:footnoteReference w:id="1"/>
      </w:r>
      <w:r w:rsidRPr="00E85440">
        <w:t>, ypač į jo 7 straipsnio 3 dalį ir 19 straipsnio 3 dalį,</w:t>
      </w:r>
    </w:p>
    <w:p w14:paraId="0A14B0BF" w14:textId="5A6A55AC" w:rsidR="005A3CBF" w:rsidRPr="00E85440" w:rsidRDefault="005A3CBF" w:rsidP="005A3CBF">
      <w:pPr>
        <w:pStyle w:val="NormalHanging12a"/>
      </w:pPr>
      <w:r w:rsidRPr="00E85440">
        <w:t>–</w:t>
      </w:r>
      <w:r w:rsidRPr="00E85440">
        <w:tab/>
        <w:t>atsižvelgdamas į tai, kad Reglamento (EB) Nr. 1829/2003 35 straipsnyje nurodytas Augalų, gyvūnų, maisto ir pašarų nuolatinis komitetas per 2025 m. gruodžio 12 d. vykusį balsavimą nusprendė nuomonės neteikti</w:t>
      </w:r>
      <w:bookmarkStart w:id="7" w:name="_Hlk219206484"/>
      <w:r w:rsidRPr="00E85440">
        <w:t>,</w:t>
      </w:r>
      <w:bookmarkEnd w:id="7"/>
      <w:r w:rsidR="0092302E">
        <w:t xml:space="preserve"> </w:t>
      </w:r>
      <w:r w:rsidR="0092302E" w:rsidRPr="0092302E">
        <w:t>ir į tai, kad Apeliacinis komitetas per 202</w:t>
      </w:r>
      <w:r w:rsidR="0092302E">
        <w:t>6</w:t>
      </w:r>
      <w:r w:rsidR="0092302E" w:rsidRPr="0092302E">
        <w:t xml:space="preserve"> m. </w:t>
      </w:r>
      <w:r w:rsidR="0092302E">
        <w:t>sausio</w:t>
      </w:r>
      <w:r w:rsidR="0092302E" w:rsidRPr="0092302E">
        <w:t xml:space="preserve"> 2</w:t>
      </w:r>
      <w:r w:rsidR="0092302E">
        <w:t>7</w:t>
      </w:r>
      <w:r w:rsidR="0092302E" w:rsidRPr="0092302E">
        <w:t xml:space="preserve"> d. vykusį balsavimą taip pat nusprendė nuomonės neteikti</w:t>
      </w:r>
      <w:r w:rsidR="00217E3F">
        <w:t>,</w:t>
      </w:r>
    </w:p>
    <w:p w14:paraId="56CD55F8" w14:textId="77777777" w:rsidR="005A3CBF" w:rsidRPr="00E85440" w:rsidRDefault="005A3CBF" w:rsidP="005A3CBF">
      <w:pPr>
        <w:pStyle w:val="NormalHanging12a"/>
      </w:pPr>
      <w:r w:rsidRPr="00E85440">
        <w:t>–</w:t>
      </w:r>
      <w:r w:rsidRPr="00E85440">
        <w:tab/>
        <w:t>atsižvelgdamas į 2011 m. vasario 16 d. Europos Parlamento ir Tarybos reglamento (ES) Nr. 182/2011, kuriuo nustatomos valstybių narių vykdomos Komisijos naudojimosi įgyvendinimo įgaliojimais kontrolės mechanizmų taisyklės ir bendrieji principai</w:t>
      </w:r>
      <w:r w:rsidRPr="00E85440">
        <w:rPr>
          <w:rStyle w:val="FootnoteReference"/>
        </w:rPr>
        <w:footnoteReference w:id="2"/>
      </w:r>
      <w:r w:rsidRPr="00E85440">
        <w:t>, 11 straipsnį,</w:t>
      </w:r>
    </w:p>
    <w:p w14:paraId="1E67E8FB" w14:textId="77777777" w:rsidR="005A3CBF" w:rsidRPr="00E85440" w:rsidRDefault="005A3CBF" w:rsidP="005A3CBF">
      <w:pPr>
        <w:pStyle w:val="NormalHanging12a"/>
      </w:pPr>
      <w:r w:rsidRPr="00E85440">
        <w:t>–</w:t>
      </w:r>
      <w:r w:rsidRPr="00E85440">
        <w:tab/>
        <w:t>atsižvelgdamas į Europos maisto saugos tarnybos (EFSA) 2025 m. gegužės 21 d. priimtą nuomonę</w:t>
      </w:r>
      <w:r w:rsidRPr="00E85440">
        <w:rPr>
          <w:vertAlign w:val="superscript"/>
        </w:rPr>
        <w:footnoteReference w:id="3"/>
      </w:r>
      <w:r w:rsidRPr="00E85440">
        <w:t>, kuri paskelbta 2025 m. liepos 7 d.,</w:t>
      </w:r>
    </w:p>
    <w:p w14:paraId="1361AF84" w14:textId="77777777" w:rsidR="005A3CBF" w:rsidRPr="00E85440" w:rsidRDefault="005A3CBF" w:rsidP="005A3CBF">
      <w:pPr>
        <w:pStyle w:val="NormalHanging12a"/>
      </w:pPr>
      <w:r w:rsidRPr="00E85440">
        <w:lastRenderedPageBreak/>
        <w:t>–</w:t>
      </w:r>
      <w:r w:rsidRPr="00E85440">
        <w:tab/>
        <w:t>atsižvelgdamas į savo ankstesnes rezoliucijas, kuriose prieštaraujama leidimui naudoti genetiškai modifikuotus organizmus (GMO)</w:t>
      </w:r>
      <w:r w:rsidRPr="00E85440">
        <w:rPr>
          <w:vertAlign w:val="superscript"/>
        </w:rPr>
        <w:footnoteReference w:id="4"/>
      </w:r>
      <w:r w:rsidRPr="00E85440">
        <w:t>,</w:t>
      </w:r>
    </w:p>
    <w:p w14:paraId="259715A0" w14:textId="77777777" w:rsidR="005A3CBF" w:rsidRPr="00E85440" w:rsidRDefault="005A3CBF" w:rsidP="005A3CBF">
      <w:pPr>
        <w:pStyle w:val="NormalHanging12a"/>
      </w:pPr>
      <w:r w:rsidRPr="00E85440">
        <w:lastRenderedPageBreak/>
        <w:t>–</w:t>
      </w:r>
      <w:r w:rsidRPr="00E85440">
        <w:tab/>
        <w:t>atsižvelgdamas į Darbo tvarkos taisyklių 115 straipsnio 2 ir 3 dalis,</w:t>
      </w:r>
    </w:p>
    <w:p w14:paraId="30255738" w14:textId="77777777" w:rsidR="005A3CBF" w:rsidRPr="00E85440" w:rsidRDefault="005A3CBF" w:rsidP="005A3CBF">
      <w:pPr>
        <w:pStyle w:val="NormalHanging12a"/>
      </w:pPr>
      <w:r w:rsidRPr="00E85440">
        <w:t>–</w:t>
      </w:r>
      <w:r w:rsidRPr="00E85440">
        <w:tab/>
        <w:t>atsižvelgdamas į Aplinkos, visuomenės sveikatos ir maisto saugos komiteto pasiūlymą dėl rezoliucijos,</w:t>
      </w:r>
    </w:p>
    <w:p w14:paraId="238FCCBF" w14:textId="77777777" w:rsidR="005A3CBF" w:rsidRPr="00E85440" w:rsidRDefault="005A3CBF" w:rsidP="005A3CBF">
      <w:pPr>
        <w:pStyle w:val="NormalHanging12a"/>
        <w:ind w:hanging="570"/>
      </w:pPr>
      <w:r w:rsidRPr="00E85440">
        <w:t>A.</w:t>
      </w:r>
      <w:r w:rsidRPr="00E85440">
        <w:tab/>
        <w:t xml:space="preserve">kadangi 2019 m. gruodžio 20 d. Belgijoje įsisteigusi bendrovė „Perseus BV“ Kinijoje įsisteigusios bendrovės „Beijing DaBeiNong Biotechnology Co., Ltd.“ vardu pagal Reglamento (EB) Nr. 1829/2003 5 ir 17 straipsnius </w:t>
      </w:r>
      <w:r w:rsidRPr="00E85440">
        <w:rPr>
          <w:snapToGrid w:val="0"/>
        </w:rPr>
        <w:t>Belgijos nacionalinei kompetentingai institucijai pateikė prašymą</w:t>
      </w:r>
      <w:r w:rsidRPr="00E85440">
        <w:t xml:space="preserve"> leisti pateikti rinkai maisto produktus, maisto sudedamąsias dalis ir pašarus, kurių sudėtyje yra genetiškai modifikuotų sojų DBN-09004-6 (toliau – GM sojos), kurie iš jų sudaryti arba kurie iš jų pagaminti; kadangi paraiška taip pat apėmė produktų, kurių sudėtyje yra GM sojų arba kurie iš jų sudaryti, naudojimą kitais tikslais nei maistui ir pašarams, išskyrus auginimą;</w:t>
      </w:r>
    </w:p>
    <w:p w14:paraId="5EAE8736" w14:textId="77777777" w:rsidR="005A3CBF" w:rsidRPr="00E85440" w:rsidRDefault="005A3CBF" w:rsidP="005A3CBF">
      <w:pPr>
        <w:pStyle w:val="NormalHanging12a"/>
        <w:ind w:hanging="570"/>
      </w:pPr>
      <w:bookmarkStart w:id="8" w:name="_Hlk218675754"/>
      <w:r w:rsidRPr="00E85440">
        <w:t>B.</w:t>
      </w:r>
      <w:r w:rsidRPr="00E85440">
        <w:tab/>
        <w:t>kadangi 2025 m. liepos 7 d. EFSA pateikė palankią mokslinę nuomonę pagal Reglamento (EB) Nr. 1829/2003 6 ir 18 straipsnius, kurioje padarė išvadą, kad prašyme aprašytos GM sojos yra tokios pat saugios kaip ir jų tradicinio atitikmens bei išbandytos genetiškai nemodifikuotų sojų etaloninės veislės, atsižvelgiant į galimą poveikį žmonių ir gyvūnų sveikatai bei aplinkai; kadangi toje nuomonėje nebuvo aptarti keli platesnio pobūdžio aplinkos, socialinio ir ekonominio bei kumuliacinio poveikio klausimai, kurie, EFSA nuomone, nepriklauso jos kompetencijos sričiai;</w:t>
      </w:r>
    </w:p>
    <w:p w14:paraId="68861BED" w14:textId="77777777" w:rsidR="005A3CBF" w:rsidRPr="00E85440" w:rsidRDefault="005A3CBF" w:rsidP="005A3CBF">
      <w:pPr>
        <w:pStyle w:val="NormalHanging12a"/>
        <w:ind w:hanging="570"/>
      </w:pPr>
      <w:r w:rsidRPr="00E85440">
        <w:t>C.</w:t>
      </w:r>
      <w:r w:rsidRPr="00E85440">
        <w:tab/>
        <w:t>kadangi GM sojos buvo sukurtos siekiant, kad jos būtų atsparios glufozinatui ir glifosatui;</w:t>
      </w:r>
    </w:p>
    <w:bookmarkEnd w:id="8"/>
    <w:p w14:paraId="7BEA2FDB" w14:textId="77777777" w:rsidR="005A3CBF" w:rsidRPr="00E85440" w:rsidRDefault="005A3CBF" w:rsidP="005A3CBF">
      <w:pPr>
        <w:pStyle w:val="NormalHanging12a"/>
      </w:pPr>
      <w:r w:rsidRPr="00E85440">
        <w:t>D.</w:t>
      </w:r>
      <w:r w:rsidRPr="00E85440">
        <w:tab/>
        <w:t>kadangi į EFSA atliktus rizikos vertinimus nebuvo įtraukti ilgalaikiai toksikologiniai tyrimai ar išsami kumuliacinio ir kombinatorinio poveikio analizė, įskaitant galimas sąveikas su pesticidų, dažnai naudojamų auginant sojas, liekanomis;</w:t>
      </w:r>
    </w:p>
    <w:p w14:paraId="623ADFD0" w14:textId="77777777" w:rsidR="005A3CBF" w:rsidRPr="00E85440" w:rsidRDefault="005A3CBF" w:rsidP="005A3CBF">
      <w:pPr>
        <w:pStyle w:val="NormalHanging12a"/>
        <w:rPr>
          <w:color w:val="000000" w:themeColor="text1"/>
          <w:szCs w:val="24"/>
        </w:rPr>
      </w:pPr>
      <w:r w:rsidRPr="00E85440">
        <w:rPr>
          <w:color w:val="000000" w:themeColor="text1"/>
        </w:rPr>
        <w:t>E.</w:t>
      </w:r>
      <w:r w:rsidRPr="00E85440">
        <w:rPr>
          <w:color w:val="000000" w:themeColor="text1"/>
        </w:rPr>
        <w:tab/>
      </w:r>
      <w:r w:rsidRPr="00E85440">
        <w:t xml:space="preserve">kadangi didžioji dauguma genetiškai modifikuotų kultūrų, įskaitant GM sojas, buvo genetiškai modifikuotos taip, kad būtų atsparios vienam ar keliems papildomiems herbicidams, kuriuos galima naudoti auginant genetiškai modifikuotas kultūras, jų nesunaikinant, kaip būtų herbicidams neatsparių pasėlių atveju; </w:t>
      </w:r>
      <w:r w:rsidRPr="00E85440">
        <w:rPr>
          <w:color w:val="000000" w:themeColor="text1"/>
        </w:rPr>
        <w:t>kadangi nemažai tyrimų parodė, jog auginant herbicidams atsparias genetiškai modifikuotas kultūras naudojama daugiau papildomų herbicidų, labiausiai dėl to, kad atsirado herbicidams atsparių piktžolių</w:t>
      </w:r>
      <w:r w:rsidRPr="00E85440">
        <w:rPr>
          <w:rStyle w:val="FootnoteReference"/>
          <w:color w:val="000000" w:themeColor="text1"/>
          <w:szCs w:val="24"/>
        </w:rPr>
        <w:footnoteReference w:id="5"/>
      </w:r>
      <w:r w:rsidRPr="00E85440">
        <w:rPr>
          <w:color w:val="000000" w:themeColor="text1"/>
        </w:rPr>
        <w:t>;</w:t>
      </w:r>
    </w:p>
    <w:p w14:paraId="07A92720" w14:textId="77777777" w:rsidR="005A3CBF" w:rsidRPr="00E85440" w:rsidRDefault="005A3CBF" w:rsidP="005A3CBF">
      <w:pPr>
        <w:spacing w:after="240"/>
        <w:ind w:left="567" w:hanging="567"/>
        <w:rPr>
          <w:color w:val="000000" w:themeColor="text1"/>
          <w:szCs w:val="24"/>
        </w:rPr>
      </w:pPr>
      <w:r w:rsidRPr="00E85440">
        <w:t>F.</w:t>
      </w:r>
      <w:r w:rsidRPr="00E85440">
        <w:tab/>
        <w:t xml:space="preserve">kadangi herbicidams atsparias genetiškai modifikuotas kultūras auginantys ūkininkai patenka į piktžolių valdymo sistemą, kuri yra labai arba visiškai priklausoma nuo </w:t>
      </w:r>
      <w:r w:rsidRPr="00E85440">
        <w:lastRenderedPageBreak/>
        <w:t>herbicidų, ir tai daroma taikant priemoką už genetiškai modifikuotas sėklas, kuri gali būti pateisinama tik tuo atveju, jei tokias sėklas perkantys ūkininkai purškia ir papildomus herbicidus;</w:t>
      </w:r>
      <w:r w:rsidRPr="00E85440">
        <w:rPr>
          <w:color w:val="000000" w:themeColor="text1"/>
        </w:rPr>
        <w:t xml:space="preserve"> kadangi dėl padidėjusios priklausomybės nuo papildomų herbicidų ūkiuose, kuriuose sėjamos GM sojos, sparčiau atsiras ir plis tiems herbicidams atsparios piktžolės, todėl reikia naudoti dar daugiau herbicidų, ir taip susidaro užburtas ratas, kitaip vadinamas „įsuktu herbicidų ratu“; kadangi dėl to neigiamas poveikis, kurį lemia pernelyg didelė priklausomybė nuo herbicidų, pablogins dirvožemio būklę, vandens kokybę ir virš žemės bei po žeme esančią biologinę įvairovę, taip pat turės įtakos žmonėms ir gyvūnams, be kita ko, dėl didesnių herbicidų liekanų maiste ir pašaruose</w:t>
      </w:r>
      <w:r w:rsidRPr="00E85440">
        <w:rPr>
          <w:rStyle w:val="FootnoteReference"/>
          <w:color w:val="000000" w:themeColor="text1"/>
          <w:szCs w:val="24"/>
        </w:rPr>
        <w:footnoteReference w:id="6"/>
      </w:r>
      <w:r w:rsidRPr="00E85440">
        <w:rPr>
          <w:color w:val="000000" w:themeColor="text1"/>
        </w:rPr>
        <w:t>;</w:t>
      </w:r>
    </w:p>
    <w:p w14:paraId="7F4EB410" w14:textId="77777777" w:rsidR="005A3CBF" w:rsidRPr="00E85440" w:rsidRDefault="005A3CBF" w:rsidP="005A3CBF">
      <w:pPr>
        <w:pStyle w:val="NormalWeb"/>
        <w:widowControl w:val="0"/>
        <w:spacing w:before="0" w:beforeAutospacing="0" w:after="240" w:afterAutospacing="0"/>
        <w:ind w:left="567" w:hanging="567"/>
      </w:pPr>
      <w:r w:rsidRPr="00E85440">
        <w:t>G.</w:t>
      </w:r>
      <w:r w:rsidRPr="00E85440">
        <w:tab/>
        <w:t>kadangi gliufozinatas priskiriamas prie toksiškų reprodukcijai medžiagų (1B kategorija), todėl atitinka Europos Parlamento ir Tarybos reglamente (EB) Nr. 1107/2009</w:t>
      </w:r>
      <w:r w:rsidRPr="00E85440">
        <w:rPr>
          <w:rStyle w:val="FootnoteReference"/>
        </w:rPr>
        <w:footnoteReference w:id="7"/>
      </w:r>
      <w:r w:rsidRPr="00E85440">
        <w:t xml:space="preserve"> nustatytus atmetimo kriterijus; kadangi leidimas Sąjungoje naudoti gliufozinatą baigė galioti 2018 m. liepos 31 d.;</w:t>
      </w:r>
    </w:p>
    <w:p w14:paraId="095EC7EC" w14:textId="77777777" w:rsidR="005A3CBF" w:rsidRPr="00E85440" w:rsidRDefault="005A3CBF" w:rsidP="005A3CBF">
      <w:pPr>
        <w:pStyle w:val="NormalHanging12a"/>
      </w:pPr>
      <w:r w:rsidRPr="00E85440">
        <w:t>H.</w:t>
      </w:r>
      <w:r w:rsidRPr="00E85440">
        <w:tab/>
        <w:t>kadangi vis dar neatsakyta į svarbius klausimus dėl glifosato kancerogeniškumo; kadangi 2015 m. lapkričio mėn. EFSA pateikė išvadą, kad glifosatas tikriausiai nėra kancerogeniškas, o Europos cheminių medžiagų agentūra 2017 m. kovo mėn. pateikė išvadą, kad nėra pagrindo jo priskirti prie jokios pavojingų medžiagų kategorijos; kadangi 2015 m. Tarptautinė vėžio tyrimų agentūra – specializuota Pasaulio sveikatos organizacijos vėžio agentūra – priešingai, glifosatą priskyrė prie galbūt kancerogeninį poveikį žmonėms turinčių medžiagų; kadangi keletu naujausių recenzuojamų mokslinių tyrimų patvirtinamas glifosato kancerogeninis potencialas</w:t>
      </w:r>
      <w:r w:rsidRPr="00E85440">
        <w:rPr>
          <w:rStyle w:val="FootnoteReference"/>
        </w:rPr>
        <w:footnoteReference w:id="8"/>
      </w:r>
      <w:r w:rsidRPr="00E85440">
        <w:t xml:space="preserve">; kadangi žurnalas „Regulatory Toxicology and Pharmacology“ oficialiai atšaukė 2000 m. paskelbtą mokslinį straipsnį „Herbicido </w:t>
      </w:r>
      <w:r w:rsidRPr="00E85440">
        <w:rPr>
          <w:i/>
          <w:iCs/>
        </w:rPr>
        <w:t>Roundup</w:t>
      </w:r>
      <w:r w:rsidRPr="00E85440">
        <w:t xml:space="preserve"> ir jo veikliosios medžiagos glifosato saugos vertinimas ir rizikos žmogui vertinimas“ (angl. </w:t>
      </w:r>
      <w:r w:rsidRPr="00E85440">
        <w:rPr>
          <w:i/>
          <w:iCs/>
        </w:rPr>
        <w:t>Safety Evaluation and Risk Assessment of the Herbicide Roundup and Its Active Ingredient, Glyphosate, for Humans</w:t>
      </w:r>
      <w:r w:rsidRPr="00E85440">
        <w:t>), kuris buvo naudojamas daugelyje rizikos vertinimų siekiant pagrįsti glifosato saugumą, nes buvo iškelti klausimai dėl jo autorystės, tyrimų rezultatų pagrįstumo, atsižvelgiant į neteisingą autorių ir tyrimo rėmėjo indėlio pateikimą, bei galimų autorių interesų konfliktų</w:t>
      </w:r>
      <w:r w:rsidRPr="00E85440">
        <w:rPr>
          <w:rStyle w:val="FootnoteReference"/>
        </w:rPr>
        <w:footnoteReference w:id="9"/>
      </w:r>
      <w:r w:rsidRPr="00E85440">
        <w:t>;</w:t>
      </w:r>
    </w:p>
    <w:p w14:paraId="142850D3" w14:textId="77777777" w:rsidR="005A3CBF" w:rsidRPr="00E85440" w:rsidRDefault="005A3CBF" w:rsidP="005A3CBF">
      <w:pPr>
        <w:pStyle w:val="NormalHanging12a"/>
      </w:pPr>
      <w:r w:rsidRPr="00E85440">
        <w:t>I.</w:t>
      </w:r>
      <w:r w:rsidRPr="00E85440">
        <w:tab/>
        <w:t>kadangi nepriklausoma galimo neigiamo poveikio biologinei įvairovei, dirvožemio būklei, apdulkintojams ir netiksliniams organizmams stebėsena ir priežiūra tebėra nepakankamai užtikrinta;</w:t>
      </w:r>
    </w:p>
    <w:p w14:paraId="69B168F2" w14:textId="77777777" w:rsidR="005A3CBF" w:rsidRPr="00E85440" w:rsidRDefault="005A3CBF" w:rsidP="005A3CBF">
      <w:pPr>
        <w:spacing w:after="240"/>
        <w:ind w:left="567" w:hanging="567"/>
      </w:pPr>
      <w:r w:rsidRPr="00E85440">
        <w:t>J.</w:t>
      </w:r>
      <w:r w:rsidRPr="00E85440">
        <w:tab/>
        <w:t>kadangi esant moksliniam netikrumui turėtų būti taikomas Sutarties dėl Europos Sąjungos veikimo 191 straipsnyje įtvirtintas atsargumo principas;</w:t>
      </w:r>
    </w:p>
    <w:p w14:paraId="5613F1E4" w14:textId="77777777" w:rsidR="005A3CBF" w:rsidRPr="00E85440" w:rsidRDefault="005A3CBF" w:rsidP="005A3CBF">
      <w:pPr>
        <w:spacing w:after="240"/>
        <w:ind w:left="567" w:hanging="567"/>
      </w:pPr>
      <w:r w:rsidRPr="00E85440">
        <w:t>K.</w:t>
      </w:r>
      <w:r w:rsidRPr="00E85440">
        <w:tab/>
        <w:t xml:space="preserve">kadangi Reglamente (EB) Nr. 1829/2003 reikalaujama užtikrinti, kad genetiškai </w:t>
      </w:r>
      <w:r w:rsidRPr="00E85440">
        <w:lastRenderedPageBreak/>
        <w:t>modifikuoti maisto produktai ir pašarai neturėtų neigiamo poveikio žmonių sveikatai, gyvūnų sveikatai ar aplinkai;</w:t>
      </w:r>
    </w:p>
    <w:p w14:paraId="563399D5" w14:textId="77777777" w:rsidR="005A3CBF" w:rsidRPr="00E85440" w:rsidRDefault="005A3CBF" w:rsidP="005A3CBF">
      <w:pPr>
        <w:pStyle w:val="NormalWeb"/>
        <w:widowControl w:val="0"/>
        <w:spacing w:before="0" w:beforeAutospacing="0" w:after="240" w:afterAutospacing="0"/>
        <w:ind w:left="567" w:hanging="567"/>
      </w:pPr>
      <w:r w:rsidRPr="00E85440">
        <w:t>L.</w:t>
      </w:r>
      <w:r w:rsidRPr="00E85440">
        <w:tab/>
        <w:t>kadangi Sąjungos leidimas naudoti GM sojas neatitiktų tarptautinių įsipareigojimų mažinti pesticidų kiekį</w:t>
      </w:r>
      <w:r w:rsidRPr="00E85440">
        <w:rPr>
          <w:vertAlign w:val="superscript"/>
        </w:rPr>
        <w:footnoteReference w:id="10"/>
      </w:r>
      <w:r w:rsidRPr="00E85440">
        <w:t>, atsižvelgiant į padidėjusį glifosato ir gliufozinato poveikį žmonėms, gyvūnams ir aplinkai šalyse, kuriose auginamos šios herbicidams atsparios genetiškai modifikuotos kultūros, taip pat į galimus rimtus su tuo susijusius sveikatos rezultatus;</w:t>
      </w:r>
    </w:p>
    <w:p w14:paraId="14A170B3" w14:textId="77777777" w:rsidR="005A3CBF" w:rsidRPr="00E85440" w:rsidRDefault="005A3CBF" w:rsidP="005A3CBF">
      <w:pPr>
        <w:spacing w:after="240"/>
        <w:ind w:left="567" w:hanging="567"/>
      </w:pPr>
      <w:r w:rsidRPr="00E85440">
        <w:t>M.</w:t>
      </w:r>
      <w:r w:rsidRPr="00E85440">
        <w:tab/>
        <w:t>kadangi Komisijos įgyvendinimo sprendimo projektu būtų leidžiama į Sąjungą importuoti produktus, kurie neatitinka standartų, kurių laikosi Sąjungos ūkininkai, dėl to jie atsidurtų nepalankioje konkurencinėje padėtyje;</w:t>
      </w:r>
    </w:p>
    <w:p w14:paraId="106D4139" w14:textId="77777777" w:rsidR="005A3CBF" w:rsidRPr="00E85440" w:rsidRDefault="005A3CBF" w:rsidP="005A3CBF">
      <w:pPr>
        <w:spacing w:after="240"/>
        <w:ind w:left="567" w:hanging="567"/>
      </w:pPr>
      <w:r w:rsidRPr="00E85440">
        <w:t>N.</w:t>
      </w:r>
      <w:r w:rsidRPr="00E85440">
        <w:tab/>
        <w:t>kadangi strateginio dialogo dėl žemės ūkio ateities ES išvadose</w:t>
      </w:r>
      <w:r w:rsidRPr="00E85440">
        <w:rPr>
          <w:rStyle w:val="FootnoteReference"/>
        </w:rPr>
        <w:footnoteReference w:id="11"/>
      </w:r>
      <w:r w:rsidRPr="00E85440">
        <w:t xml:space="preserv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per 2023, 2024 ir 2025 m. demonstracijas;</w:t>
      </w:r>
    </w:p>
    <w:p w14:paraId="4A6BD20B" w14:textId="77777777" w:rsidR="005A3CBF" w:rsidRPr="00E85440" w:rsidRDefault="005A3CBF" w:rsidP="005A3CBF">
      <w:pPr>
        <w:spacing w:after="240"/>
        <w:ind w:left="567" w:hanging="567"/>
      </w:pPr>
      <w:r w:rsidRPr="00E85440">
        <w:t>O.</w:t>
      </w:r>
      <w:r w:rsidRPr="00E85440">
        <w:tab/>
        <w:t>kadangi Parlamentas ne kartą pabrėžė, kad Komisija neturėtų leisti naudoti GMO tais atvejais, kai valstybės narės Augalų, gyvūnų, maisto ir pašarų nuolatinio komiteto arba Apeliacinio komiteto posėdžiuose nesusitaria kvalifikuota balsų dauguma, kad būtų išspręstas nuolatinės demokratijos stokos klausimas;</w:t>
      </w:r>
    </w:p>
    <w:p w14:paraId="2565BB87" w14:textId="77777777" w:rsidR="005A3CBF" w:rsidRPr="00E85440" w:rsidRDefault="005A3CBF" w:rsidP="005A3CBF">
      <w:pPr>
        <w:pStyle w:val="NormalWeb"/>
        <w:widowControl w:val="0"/>
        <w:shd w:val="clear" w:color="auto" w:fill="FFFFFF"/>
        <w:spacing w:before="0" w:beforeAutospacing="0" w:after="240" w:afterAutospacing="0"/>
        <w:ind w:left="567" w:hanging="567"/>
        <w:rPr>
          <w:color w:val="000000" w:themeColor="text1"/>
        </w:rPr>
      </w:pPr>
      <w:r w:rsidRPr="00E85440">
        <w:rPr>
          <w:color w:val="000000" w:themeColor="text1"/>
        </w:rPr>
        <w:t>P.</w:t>
      </w:r>
      <w:r w:rsidRPr="00E85440">
        <w:rPr>
          <w:color w:val="000000" w:themeColor="text1"/>
        </w:rPr>
        <w:tab/>
        <w:t>kadangi, nepaisydama pačios pripažintų demokratijos trūkumų, to, kad valstybės narės nepalaiko GMO, ir Parlamento prieštaravimų, Komisija ir toliau suteikia leidimus GMO;</w:t>
      </w:r>
    </w:p>
    <w:p w14:paraId="4AD7E11D" w14:textId="77777777" w:rsidR="005A3CBF" w:rsidRPr="00E85440" w:rsidRDefault="005A3CBF" w:rsidP="005A3CBF">
      <w:pPr>
        <w:spacing w:after="240"/>
        <w:ind w:left="567" w:hanging="567"/>
      </w:pPr>
      <w:r w:rsidRPr="00E85440">
        <w:t>Q.</w:t>
      </w:r>
      <w:r w:rsidRPr="00E85440">
        <w:tab/>
        <w:t>kadangi, vadovaujantis bendros sveikatos koncepcija, vertinant GMO ilgalaikį tvarumą ir saugą būtina atsižvelgti į žmonių, gyvūnų, augalų ir aplinkos sveikatos tarpusavio priklausomybę;</w:t>
      </w:r>
    </w:p>
    <w:p w14:paraId="56E402C8" w14:textId="28972D8E" w:rsidR="005A3CBF" w:rsidRPr="00E85440" w:rsidRDefault="005A3CBF" w:rsidP="005A3CBF">
      <w:pPr>
        <w:spacing w:after="240"/>
        <w:ind w:left="567" w:hanging="567"/>
      </w:pPr>
      <w:r w:rsidRPr="00E85440">
        <w:t>R.</w:t>
      </w:r>
      <w:r w:rsidRPr="00E85440">
        <w:tab/>
        <w:t xml:space="preserve">kadangi ši rezoliucija bus </w:t>
      </w:r>
      <w:r w:rsidR="00686664" w:rsidRPr="00686664">
        <w:t xml:space="preserve">beveik </w:t>
      </w:r>
      <w:r w:rsidRPr="00E85440">
        <w:t xml:space="preserve">100-oji Europos Parlamento priimta rezoliucija, kuria prieštaraujama GMO kultūrų importo leidimui; </w:t>
      </w:r>
    </w:p>
    <w:p w14:paraId="044B860E" w14:textId="77777777" w:rsidR="005A3CBF" w:rsidRPr="00E85440" w:rsidRDefault="005A3CBF" w:rsidP="005A3CBF">
      <w:pPr>
        <w:pStyle w:val="NormalHanging12a"/>
      </w:pPr>
      <w:r w:rsidRPr="00E85440">
        <w:t>1.</w:t>
      </w:r>
      <w:r w:rsidRPr="00E85440">
        <w:tab/>
        <w:t>mano, kad Komisijos įgyvendinimo sprendimo projektas viršija Reglamente (EB) Nr. 1829/2003 numatytus įgyvendinimo įgaliojimus;</w:t>
      </w:r>
    </w:p>
    <w:p w14:paraId="606280EE" w14:textId="77777777" w:rsidR="005A3CBF" w:rsidRPr="00E85440" w:rsidRDefault="005A3CBF" w:rsidP="005A3CBF">
      <w:pPr>
        <w:pStyle w:val="NormalHanging12a"/>
      </w:pPr>
      <w:bookmarkStart w:id="9" w:name="_Hlk218675825"/>
      <w:r w:rsidRPr="00E85440">
        <w:t>2.</w:t>
      </w:r>
      <w:r w:rsidRPr="00E85440">
        <w:tab/>
        <w:t>mano, kad Komisijos įgyvendinimo sprendimo projektas neatitinka Sąjungos teisės, nes jis nesuderinamas su Reglamento (EB) Nr. 1829/2003 tikslu, pagal kurį, remiantis Europos Parlamento ir Tarybos reglamente (EB) Nr. 178/2002</w:t>
      </w:r>
      <w:r w:rsidRPr="00E85440">
        <w:rPr>
          <w:vertAlign w:val="superscript"/>
        </w:rPr>
        <w:footnoteReference w:id="12"/>
      </w:r>
      <w:r w:rsidRPr="00E85440">
        <w:t xml:space="preserve"> nustatytais bendraisiais </w:t>
      </w:r>
      <w:r w:rsidRPr="00E85440">
        <w:lastRenderedPageBreak/>
        <w:t xml:space="preserve">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 </w:t>
      </w:r>
    </w:p>
    <w:bookmarkEnd w:id="9"/>
    <w:p w14:paraId="3DF90CFE" w14:textId="77777777" w:rsidR="005A3CBF" w:rsidRPr="00E85440" w:rsidRDefault="005A3CBF" w:rsidP="005A3CBF">
      <w:pPr>
        <w:pStyle w:val="NormalHanging12a"/>
      </w:pPr>
      <w:r w:rsidRPr="00E85440">
        <w:t>3.</w:t>
      </w:r>
      <w:r w:rsidRPr="00E85440">
        <w:tab/>
        <w:t>prašo Komisijos atsiimti savo įgyvendinimo sprendimo projektą;</w:t>
      </w:r>
    </w:p>
    <w:p w14:paraId="167440A5" w14:textId="77777777" w:rsidR="005A3CBF" w:rsidRPr="00E85440" w:rsidRDefault="005A3CBF" w:rsidP="005A3CBF">
      <w:pPr>
        <w:spacing w:after="240"/>
        <w:ind w:left="567" w:hanging="567"/>
      </w:pPr>
      <w:r w:rsidRPr="00E85440">
        <w:t>4.</w:t>
      </w:r>
      <w:r w:rsidRPr="00E85440">
        <w:tab/>
        <w:t>ragina Komisiją, vadovaujantis bendros sveikatos koncepcija, neleisti naudoti GM sojų, nes nėra pakankamai įrodymų apie jų ilgalaikį poveikį biologinei įvairovei, maisto saugai, ūkininkų pragyvenimui ir gyvūnų sveikatai;</w:t>
      </w:r>
    </w:p>
    <w:p w14:paraId="04E0C1A7" w14:textId="77777777" w:rsidR="005A3CBF" w:rsidRPr="00E85440" w:rsidRDefault="005A3CBF" w:rsidP="005A3CBF">
      <w:pPr>
        <w:spacing w:after="240"/>
        <w:ind w:left="567" w:hanging="567"/>
      </w:pPr>
      <w:bookmarkStart w:id="10" w:name="_Hlk210900300"/>
      <w:r w:rsidRPr="00E85440">
        <w:t>5.</w:t>
      </w:r>
      <w:r w:rsidRPr="00E85440">
        <w:tab/>
        <w:t>ragina Komisiją nedelsiant pateikti pasiūlymą dėl teisėkūros procedūra priimamo akto dėl sprendimų priėmimo procedūros GMO srityje reformos, siekiant atsižvelgti į nuolatinius Parlamento prieštaravimus ir trūkstamą kvalifikuotos daugumos paramą tarp valstybių narių</w:t>
      </w:r>
      <w:bookmarkEnd w:id="10"/>
      <w:r w:rsidRPr="00E85440">
        <w:t>;</w:t>
      </w:r>
    </w:p>
    <w:p w14:paraId="3D71D0A0" w14:textId="77777777" w:rsidR="005A3CBF" w:rsidRPr="00E85440" w:rsidRDefault="005A3CBF" w:rsidP="005A3CBF">
      <w:pPr>
        <w:spacing w:after="240"/>
        <w:ind w:left="567" w:hanging="567"/>
      </w:pPr>
      <w:bookmarkStart w:id="11" w:name="_Hlk210900241"/>
      <w:r w:rsidRPr="00E85440">
        <w:t>6.</w:t>
      </w:r>
      <w:r w:rsidRPr="00E85440">
        <w:tab/>
        <w:t xml:space="preserve">šiuo atžvilgiu pabrėžia, kad leidimas importuoti bet kokius maisto produktams ar pašarams naudojamus genetiškai modifikuotus augalus, kurie tapo atsparūs Sąjungoje uždraustiems herbicidams, pvz., glufozinatui, neatitinka Sąjungos tarptautinių įsipareigojimų, prisiimtų, </w:t>
      </w:r>
      <w:r w:rsidRPr="00E85440">
        <w:rPr>
          <w:i/>
          <w:iCs/>
        </w:rPr>
        <w:t>inter alia</w:t>
      </w:r>
      <w:r w:rsidRPr="00E85440">
        <w:t>, pagal Jungtinių Tautų (JT) Biologinės įvairovės konvenciją ir JT darnaus vystymosi tikslus, įskaitant Kunmingo ir Monrealio strategiją, ir kad taip sukuriamos nevienodos sąlygos Sąjungos ūkininkams;</w:t>
      </w:r>
      <w:bookmarkEnd w:id="11"/>
    </w:p>
    <w:p w14:paraId="5319CD64" w14:textId="6E452DF0" w:rsidR="00E365E1" w:rsidRPr="00E85440" w:rsidRDefault="005A3CBF" w:rsidP="00762CED">
      <w:pPr>
        <w:pStyle w:val="NormalHanging12a"/>
      </w:pPr>
      <w:r w:rsidRPr="00E85440">
        <w:t>7.</w:t>
      </w:r>
      <w:r w:rsidRPr="00E85440">
        <w:tab/>
        <w:t>paveda Pirmininkei perduoti šią rezoliuciją Tarybai ir Komisijai bei valstybių narių vyriausybėms ir parlamentams.</w:t>
      </w:r>
    </w:p>
    <w:sectPr w:rsidR="00E365E1" w:rsidRPr="00E85440" w:rsidSect="00E8544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58263" w14:textId="77777777" w:rsidR="00DA42B5" w:rsidRPr="00E85440" w:rsidRDefault="00DA42B5">
      <w:r w:rsidRPr="00E85440">
        <w:separator/>
      </w:r>
    </w:p>
  </w:endnote>
  <w:endnote w:type="continuationSeparator" w:id="0">
    <w:p w14:paraId="6C60B3C5" w14:textId="77777777" w:rsidR="00DA42B5" w:rsidRPr="00E85440" w:rsidRDefault="00DA42B5">
      <w:r w:rsidRPr="00E854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250D2" w14:textId="77777777" w:rsidR="00DA42B5" w:rsidRPr="00E85440" w:rsidRDefault="00DA42B5">
      <w:r w:rsidRPr="00E85440">
        <w:separator/>
      </w:r>
    </w:p>
  </w:footnote>
  <w:footnote w:type="continuationSeparator" w:id="0">
    <w:p w14:paraId="2C2A99F8" w14:textId="77777777" w:rsidR="00DA42B5" w:rsidRPr="00E85440" w:rsidRDefault="00DA42B5">
      <w:r w:rsidRPr="00E85440">
        <w:continuationSeparator/>
      </w:r>
    </w:p>
  </w:footnote>
  <w:footnote w:id="1">
    <w:p w14:paraId="6A0B15AE" w14:textId="5627188A" w:rsidR="005A3CBF" w:rsidRPr="00E85440" w:rsidRDefault="005A3CBF" w:rsidP="00E85440">
      <w:pPr>
        <w:pStyle w:val="FootnoteText"/>
        <w:ind w:left="567" w:hanging="567"/>
        <w:rPr>
          <w:sz w:val="24"/>
          <w:lang w:val="lt-LT"/>
        </w:rPr>
      </w:pPr>
      <w:r w:rsidRPr="00E85440">
        <w:rPr>
          <w:rStyle w:val="FootnoteReference"/>
          <w:sz w:val="24"/>
          <w:lang w:val="lt-LT"/>
        </w:rPr>
        <w:footnoteRef/>
      </w:r>
      <w:r w:rsidR="00E85440" w:rsidRPr="00E85440">
        <w:rPr>
          <w:sz w:val="24"/>
          <w:lang w:val="lt-LT"/>
        </w:rPr>
        <w:t xml:space="preserve"> </w:t>
      </w:r>
      <w:r w:rsidR="00E85440" w:rsidRPr="00E85440">
        <w:rPr>
          <w:sz w:val="24"/>
          <w:lang w:val="lt-LT"/>
        </w:rPr>
        <w:tab/>
      </w:r>
      <w:r w:rsidRPr="00E85440">
        <w:rPr>
          <w:sz w:val="24"/>
          <w:lang w:val="lt-LT"/>
        </w:rPr>
        <w:t>OL L 268, 2003 10 18, p. 1, ELI: </w:t>
      </w:r>
      <w:hyperlink r:id="rId1" w:history="1">
        <w:r w:rsidRPr="00E85440">
          <w:rPr>
            <w:rStyle w:val="Hyperlink"/>
            <w:sz w:val="24"/>
            <w:lang w:val="lt-LT"/>
          </w:rPr>
          <w:t>http://data.europa.eu/eli/reg/2003/1829/oj</w:t>
        </w:r>
      </w:hyperlink>
      <w:r w:rsidRPr="00E85440">
        <w:rPr>
          <w:sz w:val="24"/>
          <w:u w:val="single"/>
          <w:lang w:val="lt-LT"/>
        </w:rPr>
        <w:t>.</w:t>
      </w:r>
    </w:p>
  </w:footnote>
  <w:footnote w:id="2">
    <w:p w14:paraId="464BA5CD" w14:textId="23DDCC0F" w:rsidR="005A3CBF" w:rsidRPr="00E85440" w:rsidRDefault="005A3CBF" w:rsidP="00E85440">
      <w:pPr>
        <w:pStyle w:val="FootnoteText"/>
        <w:ind w:left="567" w:hanging="567"/>
        <w:rPr>
          <w:sz w:val="24"/>
          <w:lang w:val="lt-LT"/>
        </w:rPr>
      </w:pPr>
      <w:r w:rsidRPr="00E85440">
        <w:rPr>
          <w:rStyle w:val="FootnoteReference"/>
          <w:sz w:val="24"/>
          <w:lang w:val="lt-LT"/>
        </w:rPr>
        <w:footnoteRef/>
      </w:r>
      <w:r w:rsidR="00E85440" w:rsidRPr="00E85440">
        <w:rPr>
          <w:sz w:val="24"/>
          <w:lang w:val="lt-LT"/>
        </w:rPr>
        <w:t xml:space="preserve"> </w:t>
      </w:r>
      <w:r w:rsidR="00E85440" w:rsidRPr="00E85440">
        <w:rPr>
          <w:sz w:val="24"/>
          <w:lang w:val="lt-LT"/>
        </w:rPr>
        <w:tab/>
      </w:r>
      <w:r w:rsidRPr="00E85440">
        <w:rPr>
          <w:sz w:val="24"/>
          <w:lang w:val="lt-LT"/>
        </w:rPr>
        <w:t>OL L 55, 2011 2 28, p. 13, ELI: </w:t>
      </w:r>
      <w:hyperlink r:id="rId2" w:history="1">
        <w:r w:rsidRPr="00E85440">
          <w:rPr>
            <w:rStyle w:val="Hyperlink"/>
            <w:sz w:val="24"/>
            <w:lang w:val="lt-LT"/>
          </w:rPr>
          <w:t>http://data.europa.eu/eli/reg/2011/182/oj</w:t>
        </w:r>
      </w:hyperlink>
      <w:r w:rsidRPr="00E85440">
        <w:rPr>
          <w:rStyle w:val="Hyperlink"/>
          <w:sz w:val="24"/>
          <w:lang w:val="lt-LT"/>
        </w:rPr>
        <w:t>.</w:t>
      </w:r>
    </w:p>
  </w:footnote>
  <w:footnote w:id="3">
    <w:p w14:paraId="5F249166" w14:textId="71254744" w:rsidR="005A3CBF" w:rsidRPr="00E85440" w:rsidRDefault="005A3CBF" w:rsidP="00E85440">
      <w:pPr>
        <w:pStyle w:val="FootnoteText"/>
        <w:ind w:left="567" w:hanging="567"/>
        <w:rPr>
          <w:sz w:val="24"/>
          <w:lang w:val="lt-LT"/>
        </w:rPr>
      </w:pPr>
      <w:r w:rsidRPr="00E85440">
        <w:rPr>
          <w:rStyle w:val="FootnoteReference"/>
          <w:sz w:val="24"/>
          <w:lang w:val="lt-LT"/>
        </w:rPr>
        <w:footnoteRef/>
      </w:r>
      <w:r w:rsidR="00E85440" w:rsidRPr="00E85440">
        <w:rPr>
          <w:sz w:val="24"/>
          <w:lang w:val="lt-LT"/>
        </w:rPr>
        <w:t xml:space="preserve"> </w:t>
      </w:r>
      <w:r w:rsidR="00E85440" w:rsidRPr="00E85440">
        <w:rPr>
          <w:sz w:val="24"/>
          <w:lang w:val="lt-LT"/>
        </w:rPr>
        <w:tab/>
      </w:r>
      <w:r w:rsidRPr="00E85440">
        <w:rPr>
          <w:sz w:val="24"/>
          <w:lang w:val="lt-LT"/>
        </w:rPr>
        <w:t xml:space="preserve">EFSA genetiškai modifikuotų organizmų specialistų grupės mokslinė nuomonė „Assessment of genetically modified soybean DBN9004 (application EFSA-GMO-BE-2019-165)“, </w:t>
      </w:r>
      <w:r w:rsidRPr="00E85440">
        <w:rPr>
          <w:i/>
          <w:iCs/>
          <w:sz w:val="24"/>
          <w:lang w:val="lt-LT"/>
        </w:rPr>
        <w:t>EFSA leidinys</w:t>
      </w:r>
      <w:r w:rsidRPr="00E85440">
        <w:rPr>
          <w:sz w:val="24"/>
          <w:lang w:val="lt-LT"/>
        </w:rPr>
        <w:t xml:space="preserve">, 2025; 23(7):e9503, </w:t>
      </w:r>
      <w:hyperlink r:id="rId3" w:history="1">
        <w:r w:rsidRPr="00E85440">
          <w:rPr>
            <w:rStyle w:val="Hyperlink"/>
            <w:sz w:val="24"/>
            <w:lang w:val="lt-LT"/>
          </w:rPr>
          <w:t>https://doi.org/10.2903/j.efsa.2025.9503</w:t>
        </w:r>
      </w:hyperlink>
      <w:r w:rsidRPr="00E85440">
        <w:rPr>
          <w:sz w:val="24"/>
          <w:lang w:val="lt-LT"/>
        </w:rPr>
        <w:t xml:space="preserve">. </w:t>
      </w:r>
    </w:p>
  </w:footnote>
  <w:footnote w:id="4">
    <w:p w14:paraId="18EACD6C" w14:textId="7C4CAF89" w:rsidR="005A3CBF" w:rsidRPr="00E85440" w:rsidRDefault="005A3CBF" w:rsidP="00E85440">
      <w:pPr>
        <w:pStyle w:val="FootnoteText"/>
        <w:ind w:left="567" w:hanging="567"/>
        <w:rPr>
          <w:sz w:val="24"/>
          <w:vertAlign w:val="superscript"/>
          <w:lang w:val="lt-LT"/>
        </w:rPr>
      </w:pPr>
      <w:r w:rsidRPr="00E85440">
        <w:rPr>
          <w:rStyle w:val="FootnoteReference"/>
          <w:sz w:val="24"/>
          <w:lang w:val="lt-LT"/>
        </w:rPr>
        <w:footnoteRef/>
      </w:r>
      <w:r w:rsidR="00E85440" w:rsidRPr="00E85440">
        <w:rPr>
          <w:sz w:val="24"/>
          <w:lang w:val="lt-LT"/>
        </w:rPr>
        <w:t xml:space="preserve"> </w:t>
      </w:r>
      <w:r w:rsidR="00E85440" w:rsidRPr="00E85440">
        <w:rPr>
          <w:sz w:val="24"/>
          <w:lang w:val="lt-LT"/>
        </w:rPr>
        <w:tab/>
      </w:r>
      <w:r w:rsidRPr="00E85440">
        <w:rPr>
          <w:sz w:val="24"/>
          <w:lang w:val="lt-LT"/>
        </w:rPr>
        <w:t>Per aštuntąją kadenciją Parlamentas priėmė 36 rezoliucijas, o per devintąją kadenciją – 38 rezoliucijas, kuriose prieštaraujama leidimui naudoti GMO. Be to, per dešimtąją kadenciją Parlamentas priėmė šias rezoliucijas:</w:t>
      </w:r>
    </w:p>
    <w:p w14:paraId="02D77A23" w14:textId="34826ED9"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C/2025/1797, 2025 4 4, ELI: </w:t>
      </w:r>
      <w:hyperlink r:id="rId4" w:history="1">
        <w:r w:rsidR="005A3CBF" w:rsidRPr="00E85440">
          <w:rPr>
            <w:rStyle w:val="Hyperlink"/>
            <w:sz w:val="24"/>
            <w:lang w:val="lt-LT"/>
          </w:rPr>
          <w:t>http://data.europa.eu/eli/C/2025/1797/oj</w:t>
        </w:r>
      </w:hyperlink>
      <w:r w:rsidR="005A3CBF" w:rsidRPr="00E85440">
        <w:rPr>
          <w:sz w:val="24"/>
          <w:lang w:val="lt-LT"/>
        </w:rPr>
        <w:t>);</w:t>
      </w:r>
    </w:p>
    <w:p w14:paraId="1F753249" w14:textId="4A2C2A95" w:rsidR="005A3CBF" w:rsidRPr="00E85440" w:rsidRDefault="00E85440" w:rsidP="00E85440">
      <w:pPr>
        <w:pStyle w:val="FootnoteText"/>
        <w:keepN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5" w:history="1">
        <w:r w:rsidR="005A3CBF" w:rsidRPr="00E85440">
          <w:rPr>
            <w:rStyle w:val="Hyperlink"/>
            <w:sz w:val="24"/>
            <w:lang w:val="lt-LT"/>
          </w:rPr>
          <w:t>http://data.europa.eu/eli/C/2025/1798/oj</w:t>
        </w:r>
      </w:hyperlink>
      <w:r w:rsidR="005A3CBF" w:rsidRPr="00E85440">
        <w:rPr>
          <w:sz w:val="24"/>
          <w:lang w:val="lt-LT"/>
        </w:rPr>
        <w:t>);</w:t>
      </w:r>
    </w:p>
    <w:p w14:paraId="6E16DC62" w14:textId="6083CA2A"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subkombinacijų, kurie iš jų sudaryti arba kurie iš jų pagaminti (OL C, C/2025/1799, 2025 4 4, ELI: </w:t>
      </w:r>
      <w:hyperlink r:id="rId6" w:history="1">
        <w:r w:rsidR="005A3CBF" w:rsidRPr="00E85440">
          <w:rPr>
            <w:rStyle w:val="Hyperlink"/>
            <w:sz w:val="24"/>
            <w:lang w:val="lt-LT"/>
          </w:rPr>
          <w:t>http://data.europa.eu/eli/C/2025/1799/oj</w:t>
        </w:r>
      </w:hyperlink>
      <w:r w:rsidR="005A3CBF" w:rsidRPr="00E85440">
        <w:rPr>
          <w:sz w:val="24"/>
          <w:lang w:val="lt-LT"/>
        </w:rPr>
        <w:t>);</w:t>
      </w:r>
    </w:p>
    <w:p w14:paraId="7E117F7A" w14:textId="157FD4D4"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7" w:history="1">
        <w:r w:rsidR="005A3CBF" w:rsidRPr="00E85440">
          <w:rPr>
            <w:rStyle w:val="Hyperlink"/>
            <w:sz w:val="24"/>
            <w:lang w:val="lt-LT"/>
          </w:rPr>
          <w:t>http://data.europa.eu/eli/C/2025/1800/oj</w:t>
        </w:r>
      </w:hyperlink>
      <w:r w:rsidR="005A3CBF" w:rsidRPr="00E85440">
        <w:rPr>
          <w:sz w:val="24"/>
          <w:lang w:val="lt-LT"/>
        </w:rPr>
        <w:t>);</w:t>
      </w:r>
    </w:p>
    <w:p w14:paraId="00547079" w14:textId="04BBB420"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8" w:history="1">
        <w:r w:rsidR="005A3CBF" w:rsidRPr="00E85440">
          <w:rPr>
            <w:rStyle w:val="Hyperlink"/>
            <w:sz w:val="24"/>
            <w:lang w:val="lt-LT"/>
          </w:rPr>
          <w:t>http://data.europa.eu/eli/C/2025/1801/oj</w:t>
        </w:r>
      </w:hyperlink>
      <w:r w:rsidR="005A3CBF" w:rsidRPr="00E85440">
        <w:rPr>
          <w:sz w:val="24"/>
          <w:lang w:val="lt-LT"/>
        </w:rPr>
        <w:t>);</w:t>
      </w:r>
    </w:p>
    <w:p w14:paraId="426B7CE4" w14:textId="208D0DFD"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2024 m. lapkričio 26 d. Europos Parlamento rezoliuciją dėl Komisijos įgyvendinimo sprendimo (ES) 2024/1826, kuriuo pagal Europos Parlamento ir Tarybos reglamentą (EB) Nr. 1829/2003 leidžiama pateikti rinkai produktus, kurių sudėtyje yra genetiškai modifikuotų kukurūzų DP23211, kurie iš jų sudaryti ar pagaminti (OL C, C/2025/1802, 2025 4 4, ELI: </w:t>
      </w:r>
      <w:hyperlink r:id="rId9" w:history="1">
        <w:r w:rsidR="005A3CBF" w:rsidRPr="00E85440">
          <w:rPr>
            <w:rStyle w:val="Hyperlink"/>
            <w:sz w:val="24"/>
            <w:lang w:val="lt-LT"/>
          </w:rPr>
          <w:t>http://data.europa.eu/eli/C/2025/1802/oj</w:t>
        </w:r>
      </w:hyperlink>
      <w:r w:rsidR="005A3CBF" w:rsidRPr="00E85440">
        <w:rPr>
          <w:sz w:val="24"/>
          <w:lang w:val="lt-LT"/>
        </w:rPr>
        <w:t>);</w:t>
      </w:r>
    </w:p>
    <w:p w14:paraId="30A313BE" w14:textId="69354B4F"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2024 m. lapkričio 26 d. Europos Parlamento rezoliuciją dėl Komisijos įgyvendinimo sprendimo (ES) 2024/2618, kuriuo pagal Europos Parlamento ir Tarybos reglamentą (EB) Nr. 1829/2003 leidžiama pateikti rinkai produktus, kurių sudėtyje yra genetiškai modifikuotų kukurūzų DP202216, kurie iš jų sudaryti arba kurie iš jų pagaminti (OL C, C/2025/1803, 2025 4 4, ELI: </w:t>
      </w:r>
      <w:hyperlink r:id="rId10" w:history="1">
        <w:r w:rsidR="005A3CBF" w:rsidRPr="00E85440">
          <w:rPr>
            <w:rStyle w:val="Hyperlink"/>
            <w:sz w:val="24"/>
            <w:lang w:val="lt-LT"/>
          </w:rPr>
          <w:t>http://data.europa.eu/eli/C/2025/1803/oj</w:t>
        </w:r>
      </w:hyperlink>
      <w:r w:rsidR="005A3CBF" w:rsidRPr="00E85440">
        <w:rPr>
          <w:sz w:val="24"/>
          <w:lang w:val="lt-LT"/>
        </w:rPr>
        <w:t>);</w:t>
      </w:r>
    </w:p>
    <w:p w14:paraId="7B392AE0" w14:textId="088C8EFC"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2024 m. lapkričio 26 d. Europos Parlamento rezoliuciją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1" w:history="1">
        <w:r w:rsidR="005A3CBF" w:rsidRPr="00E85440">
          <w:rPr>
            <w:rStyle w:val="Hyperlink"/>
            <w:sz w:val="24"/>
            <w:lang w:val="lt-LT"/>
          </w:rPr>
          <w:t>http://data.europa.eu/eli/C/2025/1804/oj</w:t>
        </w:r>
      </w:hyperlink>
      <w:r w:rsidR="005A3CBF" w:rsidRPr="00E85440">
        <w:rPr>
          <w:sz w:val="24"/>
          <w:lang w:val="lt-LT"/>
        </w:rPr>
        <w:t>);</w:t>
      </w:r>
    </w:p>
    <w:p w14:paraId="5B2EBED2" w14:textId="68948176"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12" w:tooltip="Prieiga prie šio dokumento suteikiama per ELI sistemoje jam suteiktą URI." w:history="1">
        <w:r w:rsidR="005A3CBF" w:rsidRPr="00E85440">
          <w:rPr>
            <w:rStyle w:val="Hyperlink"/>
            <w:sz w:val="24"/>
            <w:lang w:val="lt-LT"/>
          </w:rPr>
          <w:t>http://data.europa.eu/eli/C/2025/2246/oj</w:t>
        </w:r>
      </w:hyperlink>
      <w:r w:rsidR="005A3CBF" w:rsidRPr="00E85440">
        <w:rPr>
          <w:sz w:val="24"/>
          <w:lang w:val="lt-LT"/>
        </w:rPr>
        <w:t>);</w:t>
      </w:r>
    </w:p>
    <w:p w14:paraId="2B5B6A6A" w14:textId="7D7374D8"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3" w:history="1">
        <w:r w:rsidR="005A3CBF" w:rsidRPr="00E85440">
          <w:rPr>
            <w:rStyle w:val="Hyperlink"/>
            <w:sz w:val="24"/>
            <w:lang w:val="lt-LT"/>
          </w:rPr>
          <w:t>http://data.europa.eu/eli/C/2025/2247/oj</w:t>
        </w:r>
      </w:hyperlink>
      <w:r w:rsidR="005A3CBF" w:rsidRPr="00E85440">
        <w:rPr>
          <w:sz w:val="24"/>
          <w:lang w:val="lt-LT"/>
        </w:rPr>
        <w:t>);</w:t>
      </w:r>
    </w:p>
    <w:p w14:paraId="6D0E1C1A" w14:textId="7691C10E"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w:t>
      </w:r>
      <w:r w:rsidR="003D2F42" w:rsidRPr="003D2F42">
        <w:rPr>
          <w:sz w:val="24"/>
          <w:lang w:val="lt-LT"/>
        </w:rPr>
        <w:t xml:space="preserve">Priimti tekstai, </w:t>
      </w:r>
      <w:r w:rsidR="005A3CBF" w:rsidRPr="00E85440">
        <w:rPr>
          <w:sz w:val="24"/>
          <w:lang w:val="lt-LT"/>
        </w:rPr>
        <w:t>P10_TA(2025)0106);</w:t>
      </w:r>
    </w:p>
    <w:p w14:paraId="5159091B" w14:textId="4AB073CF"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 xml:space="preserve">2025 m. spalio 8 d. </w:t>
      </w:r>
      <w:r w:rsidR="005A3CBF" w:rsidRPr="00E85440">
        <w:rPr>
          <w:sz w:val="24"/>
          <w:lang w:val="lt-LT"/>
        </w:rPr>
        <w:t>Europos Parlamento rezoliuciją dėl 2025 m</w:t>
      </w:r>
      <w:r w:rsidR="00D50FFB">
        <w:rPr>
          <w:sz w:val="24"/>
          <w:lang w:val="lt-LT"/>
        </w:rPr>
        <w:t>.</w:t>
      </w:r>
      <w:r w:rsidR="005A3CBF" w:rsidRPr="00E85440">
        <w:rPr>
          <w:sz w:val="24"/>
          <w:lang w:val="lt-LT"/>
        </w:rPr>
        <w:t xml:space="preserve"> rugsėjo 22 d. Komisijos įgyvendinimo sprendimo (ES) 2025/1898, kuriuo pagal Europos Parlamento ir Tarybos reglamentą (EB) Nr. 1829/2003 leidžiama pateikti rinkai produktus, kurių sudėtyje yra genetiškai modifikuotų kukurūzų DP51291, kurie iš jų sudaryti arba kurie iš jų pagaminti (</w:t>
      </w:r>
      <w:r w:rsidR="003D2F42" w:rsidRPr="003D2F42">
        <w:rPr>
          <w:sz w:val="24"/>
          <w:lang w:val="lt-LT"/>
        </w:rPr>
        <w:t xml:space="preserve">Priimti tekstai, </w:t>
      </w:r>
      <w:r w:rsidR="005A3CBF" w:rsidRPr="00E85440">
        <w:rPr>
          <w:sz w:val="24"/>
          <w:lang w:val="lt-LT"/>
        </w:rPr>
        <w:t>P10_TA(2025)0222);</w:t>
      </w:r>
    </w:p>
    <w:p w14:paraId="5FBF2DCB" w14:textId="4E892642"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2025 m. lapkričio 25 d. Europos Parlamento rezoliuciją dėl Komisijos įgyvendinimo sprendimo, kuriuo pagal Europos Parlamento ir Tarybos reglamentą (EB) Nr. 1829/2003 leidžiama pateikti rinkai produktus, kurių sudėtyje yra genetiškai modifikuotų kukurūzų DAS1131, kurie iš jų sudaryti arba kurie iš jų pagaminti, projekto (</w:t>
      </w:r>
      <w:r w:rsidR="003D2F42" w:rsidRPr="003D2F42">
        <w:rPr>
          <w:sz w:val="24"/>
          <w:lang w:val="lt-LT"/>
        </w:rPr>
        <w:t xml:space="preserve">Priimti tekstai, </w:t>
      </w:r>
      <w:r w:rsidR="005A3CBF" w:rsidRPr="00E85440">
        <w:rPr>
          <w:sz w:val="24"/>
          <w:lang w:val="lt-LT"/>
        </w:rPr>
        <w:t>P10_TA(2025)0288);</w:t>
      </w:r>
    </w:p>
    <w:p w14:paraId="444CAE8B" w14:textId="4102D370"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modifikuotos medvilnės MON 88913 (MON-88913-8), kurie iš jos sudaryti arba kurie iš jos pagaminti, projekto (</w:t>
      </w:r>
      <w:r w:rsidR="003D2F42" w:rsidRPr="003D2F42">
        <w:rPr>
          <w:sz w:val="24"/>
          <w:lang w:val="lt-LT"/>
        </w:rPr>
        <w:t xml:space="preserve">Priimti tekstai, </w:t>
      </w:r>
      <w:r w:rsidR="005A3CBF" w:rsidRPr="00E85440">
        <w:rPr>
          <w:sz w:val="24"/>
          <w:lang w:val="lt-LT"/>
        </w:rPr>
        <w:t>P10_TA(2025)0289);</w:t>
      </w:r>
    </w:p>
    <w:p w14:paraId="4CD0F69E" w14:textId="25A871C7"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aliejinių rapsų MON 88302, kurie iš jų sudaryti arba kurie iš jų pagaminti, projekto (</w:t>
      </w:r>
      <w:r w:rsidR="003D2F42" w:rsidRPr="003D2F42">
        <w:rPr>
          <w:sz w:val="24"/>
          <w:lang w:val="lt-LT"/>
        </w:rPr>
        <w:t xml:space="preserve">Priimti tekstai, </w:t>
      </w:r>
      <w:r w:rsidR="005A3CBF" w:rsidRPr="00E85440">
        <w:rPr>
          <w:sz w:val="24"/>
          <w:lang w:val="lt-LT"/>
        </w:rPr>
        <w:t>P10_TA(2025)0290);</w:t>
      </w:r>
    </w:p>
    <w:p w14:paraId="0791E95D" w14:textId="0B106F41"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sojų MON 87708, kurie iš jų sudaryti arba kurie iš jų pagaminti (</w:t>
      </w:r>
      <w:r w:rsidR="003D2F42" w:rsidRPr="003D2F42">
        <w:rPr>
          <w:sz w:val="24"/>
          <w:lang w:val="lt-LT"/>
        </w:rPr>
        <w:t xml:space="preserve">Priimti tekstai, </w:t>
      </w:r>
      <w:r w:rsidR="005A3CBF" w:rsidRPr="00E85440">
        <w:rPr>
          <w:sz w:val="24"/>
          <w:lang w:val="lt-LT"/>
        </w:rPr>
        <w:t>P10_TA(2025)0291);</w:t>
      </w:r>
    </w:p>
    <w:p w14:paraId="03B23FB9" w14:textId="2D221767"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kukurūzų MON 87427, kurie iš jų sudaryti arba kurie iš jų pagaminti, projekto (</w:t>
      </w:r>
      <w:r w:rsidR="003D2F42" w:rsidRPr="003D2F42">
        <w:rPr>
          <w:sz w:val="24"/>
          <w:lang w:val="lt-LT"/>
        </w:rPr>
        <w:t xml:space="preserve">Priimti tekstai, </w:t>
      </w:r>
      <w:r w:rsidR="005A3CBF" w:rsidRPr="00E85440">
        <w:rPr>
          <w:sz w:val="24"/>
          <w:lang w:val="lt-LT"/>
        </w:rPr>
        <w:t>P10_TA(2025)0292);</w:t>
      </w:r>
    </w:p>
    <w:p w14:paraId="684352C1" w14:textId="2A11E76D" w:rsidR="005A3CBF" w:rsidRPr="00E85440" w:rsidRDefault="00E85440" w:rsidP="00E85440">
      <w:pPr>
        <w:pStyle w:val="FootnoteText"/>
        <w:ind w:left="567" w:hanging="567"/>
        <w:rPr>
          <w:sz w:val="24"/>
          <w:vertAlign w:val="superscript"/>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2025 m. gruodžio 16 d. Europos Parlamento rezoliuciją dėl Komisijos įgyvendinimo sprendimo, kuriuo pagal Europos Parlamento ir Tarybos reglamentą (EB) Nr. 1829/2003 atnaujinamas leidimas pateikti rinkai produktus, kurių sudėtyje yra genetiškai modifikuotų kukurūzų NK603, kurie iš jų sudaryti arba kurie iš jų pagaminti, projekto (</w:t>
      </w:r>
      <w:r w:rsidR="003D2F42" w:rsidRPr="003D2F42">
        <w:rPr>
          <w:sz w:val="24"/>
          <w:lang w:val="lt-LT"/>
        </w:rPr>
        <w:t xml:space="preserve">Priimti tekstai, </w:t>
      </w:r>
      <w:r w:rsidR="005A3CBF" w:rsidRPr="00E85440">
        <w:rPr>
          <w:sz w:val="24"/>
          <w:lang w:val="lt-LT"/>
        </w:rPr>
        <w:t>P10_TA(2025)0327);</w:t>
      </w:r>
    </w:p>
    <w:p w14:paraId="79CA98F1" w14:textId="1772C6B6" w:rsidR="005A3CBF" w:rsidRPr="00E85440" w:rsidRDefault="00E85440" w:rsidP="00E85440">
      <w:pPr>
        <w:pStyle w:val="FootnoteText"/>
        <w:ind w:left="567" w:hanging="567"/>
        <w:rPr>
          <w:sz w:val="24"/>
          <w:lang w:val="lt-LT"/>
        </w:rPr>
      </w:pPr>
      <w:r w:rsidRPr="00E85440">
        <w:rPr>
          <w:sz w:val="24"/>
          <w:lang w:val="lt-LT"/>
        </w:rPr>
        <w:t xml:space="preserve"> </w:t>
      </w:r>
      <w:r w:rsidRPr="00E85440">
        <w:rPr>
          <w:sz w:val="24"/>
          <w:lang w:val="lt-LT"/>
        </w:rPr>
        <w:tab/>
      </w:r>
      <w:r w:rsidR="005A3CBF" w:rsidRPr="00E85440">
        <w:rPr>
          <w:sz w:val="24"/>
          <w:lang w:val="lt-LT"/>
        </w:rPr>
        <w:t>–</w:t>
      </w:r>
      <w:r w:rsidR="005A3CBF" w:rsidRPr="00E85440">
        <w:rPr>
          <w:sz w:val="24"/>
          <w:lang w:val="lt-LT"/>
        </w:rPr>
        <w:tab/>
        <w:t>2025 m. gruodžio 16 d. Europos Parlamento rezoliuciją dėl Komisijos įgyvendinimo sprendimo, kuriuo pagal Europos Parlamento ir Tarybos reglamentą (EB) Nr. 1829/2003 leidžiama pateikti rinkai maisto produktus, maisto sudedamąsias dalis ir pašarus, pagamintus iš genetiškai modifikuotų cukrinių runkelių KWS20-1, projekto (</w:t>
      </w:r>
      <w:r w:rsidR="00446E50" w:rsidRPr="00446E50">
        <w:rPr>
          <w:sz w:val="24"/>
          <w:lang w:val="lt-LT"/>
        </w:rPr>
        <w:t xml:space="preserve">Priimti tekstai, </w:t>
      </w:r>
      <w:r w:rsidR="005A3CBF" w:rsidRPr="00E85440">
        <w:rPr>
          <w:sz w:val="24"/>
          <w:lang w:val="lt-LT"/>
        </w:rPr>
        <w:t>P10_TA(2025)0328).</w:t>
      </w:r>
    </w:p>
  </w:footnote>
  <w:footnote w:id="5">
    <w:p w14:paraId="6C5A45CA" w14:textId="3186F3BB" w:rsidR="005A3CBF" w:rsidRPr="00E85440" w:rsidRDefault="005A3CBF" w:rsidP="00E85440">
      <w:pPr>
        <w:pStyle w:val="FootnoteText"/>
        <w:ind w:left="567" w:hanging="567"/>
        <w:rPr>
          <w:sz w:val="24"/>
          <w:lang w:val="lt-LT"/>
        </w:rPr>
      </w:pPr>
      <w:r w:rsidRPr="00E85440">
        <w:rPr>
          <w:rStyle w:val="FootnoteReference"/>
          <w:sz w:val="24"/>
          <w:lang w:val="lt-LT"/>
        </w:rPr>
        <w:footnoteRef/>
      </w:r>
      <w:r w:rsidR="00E85440" w:rsidRPr="00E85440">
        <w:rPr>
          <w:sz w:val="24"/>
          <w:shd w:val="clear" w:color="auto" w:fill="FFFFFF"/>
          <w:lang w:val="lt-LT"/>
        </w:rPr>
        <w:t xml:space="preserve"> </w:t>
      </w:r>
      <w:r w:rsidR="00E85440" w:rsidRPr="00E85440">
        <w:rPr>
          <w:sz w:val="24"/>
          <w:shd w:val="clear" w:color="auto" w:fill="FFFFFF"/>
          <w:lang w:val="lt-LT"/>
        </w:rPr>
        <w:tab/>
      </w:r>
      <w:r w:rsidRPr="00E85440">
        <w:rPr>
          <w:sz w:val="24"/>
          <w:shd w:val="clear" w:color="auto" w:fill="FFFFFF"/>
          <w:lang w:val="lt-LT"/>
        </w:rPr>
        <w:t xml:space="preserve">Žr., pvz., S. Bonny, „Genetiškai modifikuotos herbicidams atsparios kultūros, piktžolės ir herbicidai. Apžvalga ir poveikis“ (angl. </w:t>
      </w:r>
      <w:r w:rsidRPr="00E85440">
        <w:rPr>
          <w:i/>
          <w:iCs/>
          <w:sz w:val="24"/>
          <w:shd w:val="clear" w:color="auto" w:fill="FFFFFF"/>
          <w:lang w:val="lt-LT"/>
        </w:rPr>
        <w:t>„Genetically Modified Herbicide-Tolerant Crops, Weeds, and Herbicides:</w:t>
      </w:r>
      <w:r w:rsidRPr="00E85440">
        <w:rPr>
          <w:sz w:val="24"/>
          <w:shd w:val="clear" w:color="auto" w:fill="FFFFFF"/>
          <w:lang w:val="lt-LT"/>
        </w:rPr>
        <w:t xml:space="preserve"> </w:t>
      </w:r>
      <w:r w:rsidRPr="00E85440">
        <w:rPr>
          <w:i/>
          <w:iCs/>
          <w:sz w:val="24"/>
          <w:shd w:val="clear" w:color="auto" w:fill="FFFFFF"/>
          <w:lang w:val="lt-LT"/>
        </w:rPr>
        <w:t>Overview and Impact“</w:t>
      </w:r>
      <w:r w:rsidRPr="00E85440">
        <w:rPr>
          <w:sz w:val="24"/>
          <w:shd w:val="clear" w:color="auto" w:fill="FFFFFF"/>
          <w:lang w:val="lt-LT"/>
        </w:rPr>
        <w:t xml:space="preserve">), </w:t>
      </w:r>
      <w:r w:rsidRPr="00E85440">
        <w:rPr>
          <w:i/>
          <w:iCs/>
          <w:sz w:val="24"/>
          <w:shd w:val="clear" w:color="auto" w:fill="FFFFFF"/>
          <w:lang w:val="lt-LT"/>
        </w:rPr>
        <w:t>Environmental Management</w:t>
      </w:r>
      <w:r w:rsidRPr="00E85440">
        <w:rPr>
          <w:sz w:val="24"/>
          <w:shd w:val="clear" w:color="auto" w:fill="FFFFFF"/>
          <w:lang w:val="lt-LT"/>
        </w:rPr>
        <w:t xml:space="preserve">, 2016 m. sausio mėn. 57(1), p. 31–48, </w:t>
      </w:r>
      <w:hyperlink r:id="rId14" w:history="1">
        <w:r w:rsidRPr="00E85440">
          <w:rPr>
            <w:rStyle w:val="Hyperlink"/>
            <w:sz w:val="24"/>
            <w:shd w:val="clear" w:color="auto" w:fill="FFFFFF"/>
            <w:lang w:val="lt-LT"/>
          </w:rPr>
          <w:t>https://doi.org/10.1007/s00267-015-0589-7</w:t>
        </w:r>
      </w:hyperlink>
      <w:r w:rsidRPr="00E85440">
        <w:rPr>
          <w:sz w:val="24"/>
          <w:shd w:val="clear" w:color="auto" w:fill="FFFFFF"/>
          <w:lang w:val="lt-LT"/>
        </w:rPr>
        <w:t xml:space="preserve"> ir C. M. Benbrook, „Genetiškai modifikuotų kultūrų poveikis pesticidų naudojimui JAV – pirmieji šešiolika metų“ (angl. </w:t>
      </w:r>
      <w:r w:rsidRPr="00E85440">
        <w:rPr>
          <w:i/>
          <w:iCs/>
          <w:sz w:val="24"/>
          <w:shd w:val="clear" w:color="auto" w:fill="FFFFFF"/>
          <w:lang w:val="lt-LT"/>
        </w:rPr>
        <w:t>„Impacts of genetically engineered crops on pesticide use in the U.S. – the first sixteen years“</w:t>
      </w:r>
      <w:r w:rsidRPr="00E85440">
        <w:rPr>
          <w:sz w:val="24"/>
          <w:shd w:val="clear" w:color="auto" w:fill="FFFFFF"/>
          <w:lang w:val="lt-LT"/>
        </w:rPr>
        <w:t xml:space="preserve">), </w:t>
      </w:r>
      <w:r w:rsidRPr="00E85440">
        <w:rPr>
          <w:i/>
          <w:iCs/>
          <w:sz w:val="24"/>
          <w:shd w:val="clear" w:color="auto" w:fill="FFFFFF"/>
          <w:lang w:val="lt-LT"/>
        </w:rPr>
        <w:t>Environmental Sciences Europe</w:t>
      </w:r>
      <w:r w:rsidRPr="00E85440">
        <w:rPr>
          <w:sz w:val="24"/>
          <w:shd w:val="clear" w:color="auto" w:fill="FFFFFF"/>
          <w:lang w:val="lt-LT"/>
        </w:rPr>
        <w:t xml:space="preserve">; 2012 m. rugsėjo 28 d., 24(1) tomas, </w:t>
      </w:r>
      <w:hyperlink r:id="rId15" w:history="1">
        <w:r w:rsidRPr="00E85440">
          <w:rPr>
            <w:rStyle w:val="Hyperlink"/>
            <w:sz w:val="24"/>
            <w:lang w:val="lt-LT"/>
          </w:rPr>
          <w:t>https://doi.org/10.1186/2190-4715-24-24</w:t>
        </w:r>
      </w:hyperlink>
      <w:r w:rsidRPr="00E85440">
        <w:rPr>
          <w:sz w:val="24"/>
          <w:lang w:val="lt-LT"/>
        </w:rPr>
        <w:t>.</w:t>
      </w:r>
      <w:r w:rsidRPr="00E85440">
        <w:rPr>
          <w:sz w:val="24"/>
          <w:shd w:val="clear" w:color="auto" w:fill="FFFFFF"/>
          <w:lang w:val="lt-LT"/>
        </w:rPr>
        <w:t xml:space="preserve"> </w:t>
      </w:r>
    </w:p>
  </w:footnote>
  <w:footnote w:id="6">
    <w:p w14:paraId="5E345A7B" w14:textId="779721F5" w:rsidR="005A3CBF" w:rsidRPr="00E85440" w:rsidRDefault="005A3CBF" w:rsidP="00E85440">
      <w:pPr>
        <w:pStyle w:val="FootnoteText"/>
        <w:ind w:left="567" w:hanging="567"/>
        <w:rPr>
          <w:sz w:val="24"/>
          <w:shd w:val="clear" w:color="auto" w:fill="FFFFFF"/>
          <w:lang w:val="lt-LT"/>
        </w:rPr>
      </w:pPr>
      <w:r w:rsidRPr="00E85440">
        <w:rPr>
          <w:rStyle w:val="FootnoteReference"/>
          <w:sz w:val="24"/>
          <w:lang w:val="lt-LT"/>
        </w:rPr>
        <w:footnoteRef/>
      </w:r>
      <w:r w:rsidR="00E85440" w:rsidRPr="00E85440">
        <w:rPr>
          <w:sz w:val="24"/>
          <w:lang w:val="lt-LT"/>
        </w:rPr>
        <w:t xml:space="preserve"> </w:t>
      </w:r>
      <w:r w:rsidR="00E85440" w:rsidRPr="00E85440">
        <w:rPr>
          <w:sz w:val="24"/>
          <w:lang w:val="lt-LT"/>
        </w:rPr>
        <w:tab/>
      </w:r>
      <w:r w:rsidRPr="00E85440">
        <w:rPr>
          <w:sz w:val="24"/>
          <w:lang w:val="lt-LT"/>
        </w:rPr>
        <w:t xml:space="preserve">Žr., pavyzdžiui: </w:t>
      </w:r>
      <w:hyperlink r:id="rId16" w:history="1">
        <w:r w:rsidRPr="00E85440">
          <w:rPr>
            <w:rStyle w:val="Hyperlink"/>
            <w:sz w:val="24"/>
            <w:lang w:val="lt-LT"/>
          </w:rPr>
          <w:t>https://doi.org/10.1002/ps.8105</w:t>
        </w:r>
      </w:hyperlink>
      <w:r w:rsidRPr="00E85440">
        <w:rPr>
          <w:sz w:val="24"/>
          <w:shd w:val="clear" w:color="auto" w:fill="FFFFFF"/>
          <w:lang w:val="lt-LT"/>
        </w:rPr>
        <w:t xml:space="preserve"> ir </w:t>
      </w:r>
      <w:hyperlink r:id="rId17" w:history="1">
        <w:r w:rsidRPr="00E85440">
          <w:rPr>
            <w:rStyle w:val="Hyperlink"/>
            <w:sz w:val="24"/>
            <w:lang w:val="lt-LT"/>
          </w:rPr>
          <w:t>https://doi.org/10.1016/j.geoforum.2009.03.009</w:t>
        </w:r>
      </w:hyperlink>
      <w:r w:rsidRPr="00E85440">
        <w:rPr>
          <w:sz w:val="24"/>
          <w:lang w:val="lt-LT"/>
        </w:rPr>
        <w:t>.</w:t>
      </w:r>
    </w:p>
  </w:footnote>
  <w:footnote w:id="7">
    <w:p w14:paraId="19800384" w14:textId="742EF430" w:rsidR="005A3CBF" w:rsidRPr="00E85440" w:rsidRDefault="005A3CBF" w:rsidP="00E85440">
      <w:pPr>
        <w:pStyle w:val="FootnoteText"/>
        <w:ind w:left="567" w:hanging="567"/>
        <w:rPr>
          <w:sz w:val="24"/>
          <w:lang w:val="lt-LT"/>
        </w:rPr>
      </w:pPr>
      <w:r w:rsidRPr="00E85440">
        <w:rPr>
          <w:rStyle w:val="FootnoteReference"/>
          <w:sz w:val="24"/>
          <w:lang w:val="lt-LT"/>
        </w:rPr>
        <w:footnoteRef/>
      </w:r>
      <w:r w:rsidR="00E85440" w:rsidRPr="00E85440">
        <w:rPr>
          <w:sz w:val="24"/>
          <w:lang w:val="lt-LT"/>
        </w:rPr>
        <w:t xml:space="preserve"> </w:t>
      </w:r>
      <w:r w:rsidR="00E85440" w:rsidRPr="00E85440">
        <w:rPr>
          <w:sz w:val="24"/>
          <w:lang w:val="lt-LT"/>
        </w:rPr>
        <w:tab/>
      </w:r>
      <w:r w:rsidRPr="00E85440">
        <w:rPr>
          <w:sz w:val="24"/>
          <w:lang w:val="lt-LT"/>
        </w:rPr>
        <w:t>2009 m. spalio 21 d. Europos Parlamento ir Tarybos reglamentas (EB) Nr. 1107/2009 dėl augalų apsaugos produktų pateikimo į rinką ir panaikinantis Tarybos direktyvas 79/117/EEB ir 91/414/EEB (OL L 309, 2009 11 24, p. 1, ELI: </w:t>
      </w:r>
      <w:hyperlink r:id="rId18" w:history="1">
        <w:r w:rsidRPr="00E85440">
          <w:rPr>
            <w:rStyle w:val="Hyperlink"/>
            <w:sz w:val="24"/>
            <w:lang w:val="lt-LT"/>
          </w:rPr>
          <w:t>http://data.europa.eu/eli/reg/2009/1107/oj</w:t>
        </w:r>
      </w:hyperlink>
      <w:r w:rsidRPr="00E85440">
        <w:rPr>
          <w:sz w:val="24"/>
          <w:lang w:val="lt-LT"/>
        </w:rPr>
        <w:t>).</w:t>
      </w:r>
    </w:p>
  </w:footnote>
  <w:footnote w:id="8">
    <w:p w14:paraId="5F13A8D5" w14:textId="3C668B4B" w:rsidR="005A3CBF" w:rsidRPr="00E85440" w:rsidRDefault="005A3CBF" w:rsidP="00E85440">
      <w:pPr>
        <w:pStyle w:val="FootnoteText"/>
        <w:ind w:left="567" w:hanging="567"/>
        <w:rPr>
          <w:sz w:val="24"/>
          <w:lang w:val="lt-LT"/>
        </w:rPr>
      </w:pPr>
      <w:r w:rsidRPr="00E85440">
        <w:rPr>
          <w:rStyle w:val="FootnoteReference"/>
          <w:sz w:val="24"/>
          <w:lang w:val="lt-LT"/>
        </w:rPr>
        <w:footnoteRef/>
      </w:r>
      <w:r w:rsidR="00E85440" w:rsidRPr="00E85440">
        <w:rPr>
          <w:sz w:val="24"/>
          <w:lang w:val="lt-LT"/>
        </w:rPr>
        <w:t xml:space="preserve"> </w:t>
      </w:r>
      <w:r w:rsidR="00E85440" w:rsidRPr="00E85440">
        <w:rPr>
          <w:sz w:val="24"/>
          <w:lang w:val="lt-LT"/>
        </w:rPr>
        <w:tab/>
      </w:r>
      <w:r w:rsidRPr="00E85440">
        <w:rPr>
          <w:sz w:val="24"/>
          <w:lang w:val="lt-LT"/>
        </w:rPr>
        <w:t xml:space="preserve">Žr., pavyzdžiui: </w:t>
      </w:r>
      <w:hyperlink r:id="rId19" w:history="1">
        <w:r w:rsidRPr="00E85440">
          <w:rPr>
            <w:rStyle w:val="Hyperlink"/>
            <w:sz w:val="24"/>
            <w:lang w:val="lt-LT"/>
          </w:rPr>
          <w:t>https://doi.org/10.1016/j.mrrev.2019.02.001</w:t>
        </w:r>
      </w:hyperlink>
      <w:r w:rsidRPr="00E85440">
        <w:rPr>
          <w:sz w:val="24"/>
          <w:lang w:val="lt-LT"/>
        </w:rPr>
        <w:t xml:space="preserve">, </w:t>
      </w:r>
      <w:hyperlink r:id="rId20" w:history="1">
        <w:r w:rsidRPr="00E85440">
          <w:rPr>
            <w:rStyle w:val="Hyperlink"/>
            <w:sz w:val="24"/>
            <w:lang w:val="lt-LT"/>
          </w:rPr>
          <w:t>https://doi.org/10.1093/ije/dyz017</w:t>
        </w:r>
      </w:hyperlink>
      <w:r w:rsidRPr="00E85440">
        <w:rPr>
          <w:sz w:val="24"/>
          <w:lang w:val="lt-LT"/>
        </w:rPr>
        <w:t xml:space="preserve">, </w:t>
      </w:r>
      <w:hyperlink r:id="rId21" w:history="1">
        <w:r w:rsidRPr="00E85440">
          <w:rPr>
            <w:rStyle w:val="Hyperlink"/>
            <w:sz w:val="24"/>
            <w:lang w:val="lt-LT"/>
          </w:rPr>
          <w:t>https://doi.org/10.1371/journal.pone.0219610</w:t>
        </w:r>
      </w:hyperlink>
      <w:r w:rsidRPr="00E85440">
        <w:rPr>
          <w:sz w:val="24"/>
          <w:lang w:val="lt-LT"/>
        </w:rPr>
        <w:t xml:space="preserve"> ir </w:t>
      </w:r>
      <w:hyperlink r:id="rId22" w:history="1">
        <w:r w:rsidRPr="00E85440">
          <w:rPr>
            <w:rStyle w:val="Hyperlink"/>
            <w:sz w:val="24"/>
            <w:lang w:val="lt-LT"/>
          </w:rPr>
          <w:t>https://doi.org/10.1186/s13045-019-0767-9</w:t>
        </w:r>
      </w:hyperlink>
      <w:r w:rsidRPr="00E85440">
        <w:rPr>
          <w:sz w:val="24"/>
          <w:lang w:val="lt-LT"/>
        </w:rPr>
        <w:t>.</w:t>
      </w:r>
    </w:p>
  </w:footnote>
  <w:footnote w:id="9">
    <w:p w14:paraId="1040D0F8" w14:textId="5DB58C25" w:rsidR="005A3CBF" w:rsidRPr="00E85440" w:rsidRDefault="005A3CBF" w:rsidP="00E85440">
      <w:pPr>
        <w:pStyle w:val="FootnoteText"/>
        <w:ind w:left="567" w:hanging="567"/>
        <w:rPr>
          <w:sz w:val="24"/>
          <w:lang w:val="lt-LT"/>
        </w:rPr>
      </w:pPr>
      <w:r w:rsidRPr="00E85440">
        <w:rPr>
          <w:rStyle w:val="FootnoteReference"/>
          <w:sz w:val="24"/>
          <w:lang w:val="lt-LT"/>
        </w:rPr>
        <w:footnoteRef/>
      </w:r>
      <w:r w:rsidR="00E85440" w:rsidRPr="00E85440">
        <w:rPr>
          <w:sz w:val="24"/>
          <w:lang w:val="lt-LT"/>
        </w:rPr>
        <w:t xml:space="preserve"> </w:t>
      </w:r>
      <w:r w:rsidR="00E85440" w:rsidRPr="00E85440">
        <w:rPr>
          <w:sz w:val="24"/>
          <w:lang w:val="lt-LT"/>
        </w:rPr>
        <w:tab/>
      </w:r>
      <w:hyperlink r:id="rId23" w:history="1">
        <w:r w:rsidRPr="00E85440">
          <w:rPr>
            <w:rStyle w:val="Hyperlink"/>
            <w:sz w:val="24"/>
            <w:lang w:val="lt-LT"/>
          </w:rPr>
          <w:t>https://doi.org/10.1006/rtph.1999.1371</w:t>
        </w:r>
      </w:hyperlink>
      <w:r w:rsidRPr="00E85440">
        <w:rPr>
          <w:sz w:val="24"/>
          <w:lang w:val="lt-LT"/>
        </w:rPr>
        <w:t xml:space="preserve">. </w:t>
      </w:r>
    </w:p>
  </w:footnote>
  <w:footnote w:id="10">
    <w:p w14:paraId="219D688D" w14:textId="3C70A4F0" w:rsidR="005A3CBF" w:rsidRPr="00E85440" w:rsidRDefault="005A3CBF" w:rsidP="00E85440">
      <w:pPr>
        <w:pStyle w:val="FootnoteText"/>
        <w:ind w:left="567" w:hanging="567"/>
        <w:rPr>
          <w:sz w:val="24"/>
          <w:lang w:val="lt-LT"/>
        </w:rPr>
      </w:pPr>
      <w:r w:rsidRPr="00E85440">
        <w:rPr>
          <w:rStyle w:val="FootnoteReference"/>
          <w:sz w:val="24"/>
          <w:lang w:val="lt-LT"/>
        </w:rPr>
        <w:footnoteRef/>
      </w:r>
      <w:r w:rsidR="00E85440" w:rsidRPr="00E85440">
        <w:rPr>
          <w:sz w:val="24"/>
          <w:lang w:val="lt-LT"/>
        </w:rPr>
        <w:t xml:space="preserve"> </w:t>
      </w:r>
      <w:r w:rsidR="00E85440" w:rsidRPr="00E85440">
        <w:rPr>
          <w:sz w:val="24"/>
          <w:lang w:val="lt-LT"/>
        </w:rPr>
        <w:tab/>
      </w:r>
      <w:r w:rsidRPr="00E85440">
        <w:rPr>
          <w:sz w:val="24"/>
          <w:lang w:val="lt-LT"/>
        </w:rPr>
        <w:t>2022 m. gruodžio mėn. Jungtinių Tautų biologinės įvairovės konvencijos COP15 metu susitarta dėl pasaulinės biologinės įvairovės strategijos, į kurią įtrauktas pasaulinis tikslas iki 2030 m. bent 50 proc. sumažinti pesticidų keliamą riziką (žr.</w:t>
      </w:r>
      <w:r w:rsidRPr="00E85440">
        <w:rPr>
          <w:color w:val="000000" w:themeColor="text1"/>
          <w:sz w:val="24"/>
          <w:lang w:val="lt-LT"/>
        </w:rPr>
        <w:t xml:space="preserve"> </w:t>
      </w:r>
      <w:hyperlink r:id="rId24" w:history="1">
        <w:r w:rsidRPr="00E85440">
          <w:rPr>
            <w:rStyle w:val="Hyperlink"/>
            <w:sz w:val="24"/>
            <w:lang w:val="lt-LT"/>
          </w:rPr>
          <w:t>https://ec.europa.eu/commission/presscorner/detail/lt/ip_22_7834</w:t>
        </w:r>
      </w:hyperlink>
      <w:r w:rsidRPr="00E85440">
        <w:rPr>
          <w:sz w:val="24"/>
          <w:lang w:val="lt-LT"/>
        </w:rPr>
        <w:t>).</w:t>
      </w:r>
    </w:p>
  </w:footnote>
  <w:footnote w:id="11">
    <w:p w14:paraId="2EC0B461" w14:textId="172855FC" w:rsidR="005A3CBF" w:rsidRPr="00E85440" w:rsidRDefault="005A3CBF" w:rsidP="00E85440">
      <w:pPr>
        <w:pStyle w:val="FootnoteText"/>
        <w:ind w:left="567" w:hanging="567"/>
        <w:rPr>
          <w:sz w:val="24"/>
          <w:lang w:val="lt-LT"/>
        </w:rPr>
      </w:pPr>
      <w:r w:rsidRPr="00E85440">
        <w:rPr>
          <w:rStyle w:val="FootnoteReference"/>
          <w:sz w:val="24"/>
          <w:lang w:val="lt-LT"/>
        </w:rPr>
        <w:footnoteRef/>
      </w:r>
      <w:r w:rsidR="00E85440" w:rsidRPr="00E85440">
        <w:rPr>
          <w:sz w:val="24"/>
          <w:lang w:val="lt-LT"/>
        </w:rPr>
        <w:t xml:space="preserve"> </w:t>
      </w:r>
      <w:r w:rsidR="00E85440" w:rsidRPr="00E85440">
        <w:rPr>
          <w:sz w:val="24"/>
          <w:lang w:val="lt-LT"/>
        </w:rPr>
        <w:tab/>
      </w:r>
      <w:hyperlink r:id="rId25" w:history="1">
        <w:r w:rsidRPr="00E85440">
          <w:rPr>
            <w:rStyle w:val="Hyperlink"/>
            <w:sz w:val="24"/>
            <w:lang w:val="lt-LT"/>
          </w:rPr>
          <w:t>https://commission.europa.eu/topics/agriculture-and-rural-development/strategic-dialogue-future-eu-agriculture_lt</w:t>
        </w:r>
      </w:hyperlink>
      <w:r w:rsidRPr="00E85440">
        <w:rPr>
          <w:rStyle w:val="Hyperlink"/>
          <w:sz w:val="24"/>
          <w:lang w:val="lt-LT"/>
        </w:rPr>
        <w:t>.</w:t>
      </w:r>
      <w:r w:rsidRPr="00E85440">
        <w:rPr>
          <w:sz w:val="24"/>
          <w:lang w:val="lt-LT"/>
        </w:rPr>
        <w:t xml:space="preserve"> </w:t>
      </w:r>
    </w:p>
  </w:footnote>
  <w:footnote w:id="12">
    <w:p w14:paraId="31D4A7D5" w14:textId="3B037499" w:rsidR="005A3CBF" w:rsidRPr="00E85440" w:rsidRDefault="005A3CBF" w:rsidP="00E85440">
      <w:pPr>
        <w:pStyle w:val="FootnoteText"/>
        <w:ind w:left="567" w:hanging="567"/>
        <w:rPr>
          <w:sz w:val="24"/>
          <w:lang w:val="lt-LT"/>
        </w:rPr>
      </w:pPr>
      <w:r w:rsidRPr="00E85440">
        <w:rPr>
          <w:rStyle w:val="FootnoteReference"/>
          <w:sz w:val="24"/>
          <w:lang w:val="lt-LT"/>
        </w:rPr>
        <w:footnoteRef/>
      </w:r>
      <w:r w:rsidR="00E85440" w:rsidRPr="00E85440">
        <w:rPr>
          <w:sz w:val="24"/>
          <w:lang w:val="lt-LT"/>
        </w:rPr>
        <w:t xml:space="preserve"> </w:t>
      </w:r>
      <w:r w:rsidR="00E85440" w:rsidRPr="00E85440">
        <w:rPr>
          <w:sz w:val="24"/>
          <w:lang w:val="lt-LT"/>
        </w:rPr>
        <w:tab/>
      </w:r>
      <w:r w:rsidRPr="00E85440">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w:t>
      </w:r>
      <w:r w:rsidRPr="00E85440">
        <w:rPr>
          <w:color w:val="000000" w:themeColor="text1"/>
          <w:sz w:val="24"/>
          <w:lang w:val="lt-LT"/>
        </w:rPr>
        <w:t> </w:t>
      </w:r>
      <w:hyperlink r:id="rId26" w:tgtFrame="Gives access to this document through its ELI URI." w:history="1">
        <w:r w:rsidRPr="00E85440">
          <w:rPr>
            <w:rStyle w:val="Hyperlink"/>
            <w:color w:val="0070C0"/>
            <w:sz w:val="24"/>
            <w:lang w:val="lt-LT"/>
          </w:rPr>
          <w:t>http://data.europa.eu/eli/reg/2002/178/oj</w:t>
        </w:r>
      </w:hyperlink>
      <w:r w:rsidRPr="00E85440">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2714291">
    <w:abstractNumId w:val="9"/>
  </w:num>
  <w:num w:numId="2" w16cid:durableId="1570535783">
    <w:abstractNumId w:val="9"/>
  </w:num>
  <w:num w:numId="3" w16cid:durableId="1539585492">
    <w:abstractNumId w:val="7"/>
  </w:num>
  <w:num w:numId="4" w16cid:durableId="183328500">
    <w:abstractNumId w:val="7"/>
  </w:num>
  <w:num w:numId="5" w16cid:durableId="1772435436">
    <w:abstractNumId w:val="6"/>
  </w:num>
  <w:num w:numId="6" w16cid:durableId="1111626435">
    <w:abstractNumId w:val="6"/>
  </w:num>
  <w:num w:numId="7" w16cid:durableId="1023897302">
    <w:abstractNumId w:val="5"/>
  </w:num>
  <w:num w:numId="8" w16cid:durableId="1223757241">
    <w:abstractNumId w:val="5"/>
  </w:num>
  <w:num w:numId="9" w16cid:durableId="709066344">
    <w:abstractNumId w:val="4"/>
  </w:num>
  <w:num w:numId="10" w16cid:durableId="1891724206">
    <w:abstractNumId w:val="4"/>
  </w:num>
  <w:num w:numId="11" w16cid:durableId="1275399652">
    <w:abstractNumId w:val="8"/>
  </w:num>
  <w:num w:numId="12" w16cid:durableId="670527679">
    <w:abstractNumId w:val="8"/>
  </w:num>
  <w:num w:numId="13" w16cid:durableId="802430241">
    <w:abstractNumId w:val="3"/>
  </w:num>
  <w:num w:numId="14" w16cid:durableId="343358857">
    <w:abstractNumId w:val="3"/>
  </w:num>
  <w:num w:numId="15" w16cid:durableId="362705607">
    <w:abstractNumId w:val="2"/>
  </w:num>
  <w:num w:numId="16" w16cid:durableId="855970906">
    <w:abstractNumId w:val="2"/>
  </w:num>
  <w:num w:numId="17" w16cid:durableId="1730222265">
    <w:abstractNumId w:val="1"/>
  </w:num>
  <w:num w:numId="18" w16cid:durableId="1065954002">
    <w:abstractNumId w:val="1"/>
  </w:num>
  <w:num w:numId="19" w16cid:durableId="1099646491">
    <w:abstractNumId w:val="0"/>
  </w:num>
  <w:num w:numId="20" w16cid:durableId="1637027643">
    <w:abstractNumId w:val="0"/>
  </w:num>
  <w:num w:numId="21" w16cid:durableId="1106772589">
    <w:abstractNumId w:val="9"/>
  </w:num>
  <w:num w:numId="22" w16cid:durableId="1411922859">
    <w:abstractNumId w:val="7"/>
  </w:num>
  <w:num w:numId="23" w16cid:durableId="2130513768">
    <w:abstractNumId w:val="6"/>
  </w:num>
  <w:num w:numId="24" w16cid:durableId="627277246">
    <w:abstractNumId w:val="5"/>
  </w:num>
  <w:num w:numId="25" w16cid:durableId="373621315">
    <w:abstractNumId w:val="4"/>
  </w:num>
  <w:num w:numId="26" w16cid:durableId="444809689">
    <w:abstractNumId w:val="8"/>
  </w:num>
  <w:num w:numId="27" w16cid:durableId="1452624507">
    <w:abstractNumId w:val="3"/>
  </w:num>
  <w:num w:numId="28" w16cid:durableId="688413064">
    <w:abstractNumId w:val="2"/>
  </w:num>
  <w:num w:numId="29" w16cid:durableId="763064741">
    <w:abstractNumId w:val="1"/>
  </w:num>
  <w:num w:numId="30" w16cid:durableId="1912619451">
    <w:abstractNumId w:val="0"/>
  </w:num>
  <w:num w:numId="31" w16cid:durableId="626198572">
    <w:abstractNumId w:val="9"/>
  </w:num>
  <w:num w:numId="32" w16cid:durableId="380174908">
    <w:abstractNumId w:val="7"/>
  </w:num>
  <w:num w:numId="33" w16cid:durableId="255410467">
    <w:abstractNumId w:val="6"/>
  </w:num>
  <w:num w:numId="34" w16cid:durableId="1082023522">
    <w:abstractNumId w:val="5"/>
  </w:num>
  <w:num w:numId="35" w16cid:durableId="1468472763">
    <w:abstractNumId w:val="4"/>
  </w:num>
  <w:num w:numId="36" w16cid:durableId="1514568303">
    <w:abstractNumId w:val="8"/>
  </w:num>
  <w:num w:numId="37" w16cid:durableId="1864828031">
    <w:abstractNumId w:val="3"/>
  </w:num>
  <w:num w:numId="38" w16cid:durableId="1552307570">
    <w:abstractNumId w:val="2"/>
  </w:num>
  <w:num w:numId="39" w16cid:durableId="1763642384">
    <w:abstractNumId w:val="1"/>
  </w:num>
  <w:num w:numId="40" w16cid:durableId="1463419350">
    <w:abstractNumId w:val="0"/>
  </w:num>
  <w:num w:numId="41" w16cid:durableId="845901107">
    <w:abstractNumId w:val="10"/>
  </w:num>
  <w:num w:numId="42" w16cid:durableId="1797213370">
    <w:abstractNumId w:val="10"/>
  </w:num>
  <w:num w:numId="43" w16cid:durableId="1403218597">
    <w:abstractNumId w:val="10"/>
  </w:num>
  <w:num w:numId="44" w16cid:durableId="3225100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LT"/>
    <w:docVar w:name="dvnumam" w:val="0"/>
    <w:docVar w:name="dvpe" w:val="782.192"/>
    <w:docVar w:name="dvtitre" w:val="2026 m. vasario 11 d. Europos Parlamento rezoliucija dėl Komisijos įgyvendinimo sprendimo, kuriuo pagal Europos Parlamento ir Tarybos reglamentą (EB) Nr. 1829/2003 leidžiama pateikti rinkai produktus, kurių sudėtyje yra genetiškai modifikuotų sojų DBN-09004-6, kurie iš jų sudaryti arba kurie iš jų pagaminti, projekto (D111472/02 – 2026/2523(RSP))"/>
  </w:docVars>
  <w:rsids>
    <w:rsidRoot w:val="00DA42B5"/>
    <w:rsid w:val="00002272"/>
    <w:rsid w:val="00064002"/>
    <w:rsid w:val="000677B9"/>
    <w:rsid w:val="000831BA"/>
    <w:rsid w:val="000A42CC"/>
    <w:rsid w:val="000E7DD9"/>
    <w:rsid w:val="0010095E"/>
    <w:rsid w:val="00125B37"/>
    <w:rsid w:val="00187494"/>
    <w:rsid w:val="001F32AE"/>
    <w:rsid w:val="00217E3F"/>
    <w:rsid w:val="00257950"/>
    <w:rsid w:val="002767FF"/>
    <w:rsid w:val="002B18FE"/>
    <w:rsid w:val="002B5493"/>
    <w:rsid w:val="00343214"/>
    <w:rsid w:val="003554CD"/>
    <w:rsid w:val="00361C00"/>
    <w:rsid w:val="00395FA1"/>
    <w:rsid w:val="003D2F42"/>
    <w:rsid w:val="003E15D4"/>
    <w:rsid w:val="00411CCE"/>
    <w:rsid w:val="0041666E"/>
    <w:rsid w:val="00421060"/>
    <w:rsid w:val="00446E50"/>
    <w:rsid w:val="00471C19"/>
    <w:rsid w:val="004867E3"/>
    <w:rsid w:val="00494A28"/>
    <w:rsid w:val="004C0004"/>
    <w:rsid w:val="004C5D52"/>
    <w:rsid w:val="0050519A"/>
    <w:rsid w:val="005072A1"/>
    <w:rsid w:val="00514517"/>
    <w:rsid w:val="00545827"/>
    <w:rsid w:val="00560270"/>
    <w:rsid w:val="005931CC"/>
    <w:rsid w:val="005A3CBF"/>
    <w:rsid w:val="005C2568"/>
    <w:rsid w:val="005F1B17"/>
    <w:rsid w:val="006037C0"/>
    <w:rsid w:val="006631B6"/>
    <w:rsid w:val="00680577"/>
    <w:rsid w:val="00686664"/>
    <w:rsid w:val="006F74FA"/>
    <w:rsid w:val="00731ADD"/>
    <w:rsid w:val="00734777"/>
    <w:rsid w:val="007448AE"/>
    <w:rsid w:val="00747932"/>
    <w:rsid w:val="00751A4A"/>
    <w:rsid w:val="00756632"/>
    <w:rsid w:val="00762C74"/>
    <w:rsid w:val="00762CED"/>
    <w:rsid w:val="00786EC0"/>
    <w:rsid w:val="007D1690"/>
    <w:rsid w:val="007E22AD"/>
    <w:rsid w:val="00817416"/>
    <w:rsid w:val="00842779"/>
    <w:rsid w:val="00865F67"/>
    <w:rsid w:val="00881A7B"/>
    <w:rsid w:val="008840E5"/>
    <w:rsid w:val="00887B3E"/>
    <w:rsid w:val="008C2AC6"/>
    <w:rsid w:val="0092302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7F2"/>
    <w:rsid w:val="00C5569D"/>
    <w:rsid w:val="00C61C0C"/>
    <w:rsid w:val="00C846AE"/>
    <w:rsid w:val="00C941CB"/>
    <w:rsid w:val="00CC2357"/>
    <w:rsid w:val="00CF071A"/>
    <w:rsid w:val="00D058B8"/>
    <w:rsid w:val="00D50FFB"/>
    <w:rsid w:val="00D56C11"/>
    <w:rsid w:val="00D77B10"/>
    <w:rsid w:val="00D834A0"/>
    <w:rsid w:val="00D872DF"/>
    <w:rsid w:val="00D91E21"/>
    <w:rsid w:val="00DA42B5"/>
    <w:rsid w:val="00DA7FCD"/>
    <w:rsid w:val="00E365E1"/>
    <w:rsid w:val="00E820A4"/>
    <w:rsid w:val="00E8544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8933B"/>
  <w15:chartTrackingRefBased/>
  <w15:docId w15:val="{EE68CFF4-0560-4664-90FC-4B81B569D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5A3CBF"/>
    <w:pPr>
      <w:spacing w:before="480" w:after="240"/>
    </w:pPr>
  </w:style>
  <w:style w:type="paragraph" w:customStyle="1" w:styleId="NormalHanging12a">
    <w:name w:val="NormalHanging12a"/>
    <w:basedOn w:val="Normal"/>
    <w:uiPriority w:val="99"/>
    <w:qFormat/>
    <w:rsid w:val="005A3CBF"/>
    <w:pPr>
      <w:spacing w:after="240"/>
      <w:ind w:left="567" w:hanging="567"/>
    </w:pPr>
  </w:style>
  <w:style w:type="character" w:styleId="Hyperlink">
    <w:name w:val="Hyperlink"/>
    <w:basedOn w:val="DefaultParagraphFont"/>
    <w:uiPriority w:val="99"/>
    <w:rsid w:val="005A3CBF"/>
    <w:rPr>
      <w:color w:val="0563C1" w:themeColor="hyperlink"/>
      <w:u w:val="single"/>
    </w:rPr>
  </w:style>
  <w:style w:type="paragraph" w:styleId="NormalWeb">
    <w:name w:val="Normal (Web)"/>
    <w:basedOn w:val="Normal"/>
    <w:uiPriority w:val="99"/>
    <w:unhideWhenUsed/>
    <w:rsid w:val="005A3CBF"/>
    <w:pPr>
      <w:widowControl/>
      <w:spacing w:before="100" w:beforeAutospacing="1" w:after="100" w:afterAutospacing="1"/>
    </w:pPr>
    <w:rPr>
      <w:szCs w:val="24"/>
    </w:rPr>
  </w:style>
  <w:style w:type="paragraph" w:styleId="Revision">
    <w:name w:val="Revision"/>
    <w:hidden/>
    <w:uiPriority w:val="99"/>
    <w:semiHidden/>
    <w:rsid w:val="0068666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topics/agriculture-and-rural-development/strategic-dialogue-future-eu-agriculture_lt"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lt/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1379</Words>
  <Characters>9478</Characters>
  <Application>Microsoft Office Word</Application>
  <DocSecurity>0</DocSecurity>
  <Lines>201</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KRANKALIENĖ Neringa</cp:lastModifiedBy>
  <cp:revision>2</cp:revision>
  <cp:lastPrinted>2004-11-19T15:42:00Z</cp:lastPrinted>
  <dcterms:created xsi:type="dcterms:W3CDTF">2026-03-19T13:34:00Z</dcterms:created>
  <dcterms:modified xsi:type="dcterms:W3CDTF">2026-03-19T13:34:00Z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B10-0107/2026</vt:lpwstr>
  </property>
  <property fmtid="{D5CDD505-2E9C-101B-9397-08002B2CF9AE}" pid="4" name="&lt;Type&gt;">
    <vt:lpwstr>RR</vt:lpwstr>
  </property>
</Properties>
</file>