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122D" w14:paraId="4A85A3A6" w14:textId="77777777" w:rsidTr="0010095E">
        <w:trPr>
          <w:trHeight w:hRule="exact" w:val="1418"/>
        </w:trPr>
        <w:tc>
          <w:tcPr>
            <w:tcW w:w="6804" w:type="dxa"/>
            <w:shd w:val="clear" w:color="auto" w:fill="auto"/>
            <w:vAlign w:val="center"/>
          </w:tcPr>
          <w:p w14:paraId="010775C5" w14:textId="77777777" w:rsidR="00751A4A" w:rsidRPr="0029122D" w:rsidRDefault="00511625" w:rsidP="0010095E">
            <w:pPr>
              <w:pStyle w:val="EPName"/>
            </w:pPr>
            <w:r w:rsidRPr="0029122D">
              <w:t>Eiropas Parlaments</w:t>
            </w:r>
          </w:p>
          <w:p w14:paraId="163DAF55" w14:textId="77777777" w:rsidR="00751A4A" w:rsidRPr="0029122D" w:rsidRDefault="005F1B17" w:rsidP="005F1B17">
            <w:pPr>
              <w:pStyle w:val="EPTerm"/>
              <w:rPr>
                <w:rStyle w:val="HideTWBExt"/>
                <w:noProof w:val="0"/>
                <w:vanish w:val="0"/>
                <w:color w:val="auto"/>
              </w:rPr>
            </w:pPr>
            <w:r w:rsidRPr="0029122D">
              <w:t>2024</w:t>
            </w:r>
            <w:r w:rsidR="00817416" w:rsidRPr="0029122D">
              <w:t>-202</w:t>
            </w:r>
            <w:r w:rsidRPr="0029122D">
              <w:t>9</w:t>
            </w:r>
          </w:p>
        </w:tc>
        <w:tc>
          <w:tcPr>
            <w:tcW w:w="2268" w:type="dxa"/>
            <w:shd w:val="clear" w:color="auto" w:fill="auto"/>
          </w:tcPr>
          <w:p w14:paraId="577BFC29" w14:textId="77777777" w:rsidR="00751A4A" w:rsidRPr="0029122D" w:rsidRDefault="00187494" w:rsidP="0010095E">
            <w:pPr>
              <w:pStyle w:val="EPLogo"/>
            </w:pPr>
            <w:r w:rsidRPr="0029122D">
              <w:rPr>
                <w:noProof/>
                <w:lang w:eastAsia="ja-JP"/>
              </w:rPr>
              <w:drawing>
                <wp:inline distT="0" distB="0" distL="0" distR="0" wp14:anchorId="65B1CF62" wp14:editId="716DCF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E3E4EF" w14:textId="77777777" w:rsidR="00D058B8" w:rsidRPr="0029122D" w:rsidRDefault="00D058B8" w:rsidP="004C5D52">
      <w:pPr>
        <w:pStyle w:val="LineTop"/>
      </w:pPr>
    </w:p>
    <w:p w14:paraId="58D25F31" w14:textId="77777777" w:rsidR="00680577" w:rsidRPr="0029122D" w:rsidRDefault="00511625" w:rsidP="00680577">
      <w:pPr>
        <w:pStyle w:val="EPBodyTA1"/>
      </w:pPr>
      <w:r w:rsidRPr="0029122D">
        <w:t>PIEŅEMTIE TEKSTI</w:t>
      </w:r>
    </w:p>
    <w:p w14:paraId="199AC7C0" w14:textId="77777777" w:rsidR="00D058B8" w:rsidRPr="0029122D" w:rsidRDefault="00D058B8" w:rsidP="00D058B8">
      <w:pPr>
        <w:pStyle w:val="LineBottom"/>
      </w:pPr>
    </w:p>
    <w:p w14:paraId="61EDC845" w14:textId="3881A7BD" w:rsidR="00511625" w:rsidRPr="0029122D" w:rsidRDefault="00511625" w:rsidP="00511625">
      <w:pPr>
        <w:pStyle w:val="ATHeading1"/>
      </w:pPr>
      <w:bookmarkStart w:id="0" w:name="TANumber"/>
      <w:r w:rsidRPr="0029122D">
        <w:t>P10_TA(2026)00</w:t>
      </w:r>
      <w:r w:rsidR="0029122D" w:rsidRPr="0029122D">
        <w:t>41</w:t>
      </w:r>
      <w:bookmarkEnd w:id="0"/>
    </w:p>
    <w:p w14:paraId="0F82C683" w14:textId="161E2B24" w:rsidR="00511625" w:rsidRPr="0029122D" w:rsidRDefault="00825CC7" w:rsidP="00511625">
      <w:pPr>
        <w:pStyle w:val="ATHeading2"/>
      </w:pPr>
      <w:bookmarkStart w:id="1" w:name="title"/>
      <w:r w:rsidRPr="0029122D">
        <w:t>Ģ</w:t>
      </w:r>
      <w:r w:rsidR="00511625" w:rsidRPr="0029122D">
        <w:t>enētiski modificētas sojas</w:t>
      </w:r>
      <w:r w:rsidR="001E1575" w:rsidRPr="0029122D">
        <w:t xml:space="preserve"> </w:t>
      </w:r>
      <w:r w:rsidR="00511625" w:rsidRPr="0029122D">
        <w:t>pupas DBN-09004-6</w:t>
      </w:r>
      <w:bookmarkEnd w:id="1"/>
    </w:p>
    <w:p w14:paraId="27064BC2" w14:textId="77777777" w:rsidR="00511625" w:rsidRPr="0029122D" w:rsidRDefault="00511625" w:rsidP="00511625">
      <w:pPr>
        <w:rPr>
          <w:i/>
          <w:vanish/>
        </w:rPr>
      </w:pPr>
      <w:r w:rsidRPr="0029122D">
        <w:rPr>
          <w:i/>
        </w:rPr>
        <w:fldChar w:fldCharType="begin"/>
      </w:r>
      <w:r w:rsidRPr="0029122D">
        <w:rPr>
          <w:i/>
        </w:rPr>
        <w:instrText xml:space="preserve"> TC"(</w:instrText>
      </w:r>
      <w:bookmarkStart w:id="2" w:name="DocNumber"/>
      <w:r w:rsidRPr="0029122D">
        <w:rPr>
          <w:i/>
        </w:rPr>
        <w:instrText>B10-0107/2026</w:instrText>
      </w:r>
      <w:bookmarkEnd w:id="2"/>
      <w:r w:rsidRPr="0029122D">
        <w:rPr>
          <w:i/>
        </w:rPr>
        <w:instrText xml:space="preserve">)"\l3 \n&gt; \* MERGEFORMAT </w:instrText>
      </w:r>
      <w:r w:rsidRPr="0029122D">
        <w:rPr>
          <w:i/>
        </w:rPr>
        <w:fldChar w:fldCharType="end"/>
      </w:r>
    </w:p>
    <w:p w14:paraId="379525D9" w14:textId="77777777" w:rsidR="00511625" w:rsidRPr="0029122D" w:rsidRDefault="00511625" w:rsidP="00511625">
      <w:pPr>
        <w:rPr>
          <w:vanish/>
        </w:rPr>
      </w:pPr>
      <w:bookmarkStart w:id="3" w:name="PE"/>
      <w:r w:rsidRPr="0029122D">
        <w:rPr>
          <w:vanish/>
        </w:rPr>
        <w:t>PE782.192</w:t>
      </w:r>
      <w:bookmarkEnd w:id="3"/>
    </w:p>
    <w:p w14:paraId="6FD9BD89" w14:textId="62A42000" w:rsidR="00511625" w:rsidRPr="0029122D" w:rsidRDefault="00511625" w:rsidP="00511625">
      <w:pPr>
        <w:pStyle w:val="ATHeading3"/>
      </w:pPr>
      <w:bookmarkStart w:id="4" w:name="Sujet"/>
      <w:r w:rsidRPr="0029122D">
        <w:t xml:space="preserve">Eiropas Parlamenta 2026. gada </w:t>
      </w:r>
      <w:r w:rsidR="001E1575" w:rsidRPr="0029122D">
        <w:t>11</w:t>
      </w:r>
      <w:r w:rsidRPr="0029122D">
        <w:t xml:space="preserve">. </w:t>
      </w:r>
      <w:r w:rsidR="001E1575" w:rsidRPr="0029122D">
        <w:t>februāra</w:t>
      </w:r>
      <w:r w:rsidRPr="0029122D">
        <w:t xml:space="preserve"> rezolūcija par projektu Komisijas īstenošanas lēmumam, ar ko atbilstoši Eiropas Parlamenta un Padomes Regulai (EK) Nr. 1829/2003 atļauj laist tirgū produktus, kas satur ģenētiski modificētas sojas pupas DBN-09004-6, sastāv vai ir ražoti no tām</w:t>
      </w:r>
      <w:bookmarkEnd w:id="4"/>
      <w:r w:rsidRPr="0029122D">
        <w:t xml:space="preserve"> </w:t>
      </w:r>
      <w:bookmarkStart w:id="5" w:name="References"/>
      <w:r w:rsidRPr="0029122D">
        <w:t>(D111472/02 – 2026/2523(RSP))</w:t>
      </w:r>
      <w:bookmarkEnd w:id="5"/>
    </w:p>
    <w:p w14:paraId="43B25583" w14:textId="77777777" w:rsidR="007B7212" w:rsidRPr="0029122D" w:rsidRDefault="007B7212" w:rsidP="007B7212">
      <w:pPr>
        <w:pStyle w:val="EPComma"/>
      </w:pPr>
      <w:bookmarkStart w:id="6" w:name="TextBodyBegin"/>
      <w:bookmarkEnd w:id="6"/>
      <w:r w:rsidRPr="0029122D">
        <w:rPr>
          <w:i/>
          <w:iCs/>
        </w:rPr>
        <w:t>Eiropas Parlaments</w:t>
      </w:r>
      <w:r w:rsidRPr="0029122D">
        <w:t>,</w:t>
      </w:r>
    </w:p>
    <w:p w14:paraId="2B875610" w14:textId="77777777" w:rsidR="007B7212" w:rsidRPr="0029122D" w:rsidRDefault="007B7212" w:rsidP="007B7212">
      <w:pPr>
        <w:pStyle w:val="NormalHanging12a"/>
      </w:pPr>
      <w:r w:rsidRPr="0029122D">
        <w:t>–</w:t>
      </w:r>
      <w:r w:rsidRPr="0029122D">
        <w:tab/>
        <w:t>ņemot vērā projektu Komisijas īstenošanas lēmumam, ar kuru atbilstoši Eiropas Parlamenta un Padomes Regulai (EK) Nr. 1829/2003 atļauj laist tirgū produktus, kas satur ģenētiski modificētas sojas pupas DBN-09004-6, sastāv vai ir ražoti no tām (D111472/02),</w:t>
      </w:r>
    </w:p>
    <w:p w14:paraId="01FD64A1" w14:textId="77777777" w:rsidR="007B7212" w:rsidRPr="0029122D" w:rsidRDefault="007B7212" w:rsidP="007B7212">
      <w:pPr>
        <w:pStyle w:val="NormalHanging12a"/>
      </w:pPr>
      <w:r w:rsidRPr="0029122D">
        <w:t>–</w:t>
      </w:r>
      <w:r w:rsidRPr="0029122D">
        <w:tab/>
        <w:t>ņemot vērā Eiropas Parlamenta un Padomes 2003. gada 22. septembra Regulu (EK) Nr. 1829/2003 par ģenētiski modificētu pārtiku un barību</w:t>
      </w:r>
      <w:r w:rsidRPr="0029122D">
        <w:rPr>
          <w:rStyle w:val="FootnoteReference"/>
        </w:rPr>
        <w:footnoteReference w:id="1"/>
      </w:r>
      <w:r w:rsidRPr="0029122D">
        <w:t xml:space="preserve"> un jo īpaši tās 7. panta 3. punktu un 19. panta 3. punktu,</w:t>
      </w:r>
    </w:p>
    <w:p w14:paraId="710A2C88" w14:textId="1224D87B" w:rsidR="007B7212" w:rsidRPr="0029122D" w:rsidRDefault="007B7212" w:rsidP="007B7212">
      <w:pPr>
        <w:pStyle w:val="NormalHanging12a"/>
      </w:pPr>
      <w:r w:rsidRPr="0029122D">
        <w:t>–</w:t>
      </w:r>
      <w:r w:rsidRPr="0029122D">
        <w:tab/>
        <w:t>ņemot vērā Regulas (EK) Nr. 1829/2003 35. pantā minētās Augu, dzīvnieku, pārtikas aprites un dzīvnieku barības pastāvīgās komitejas 2025. gada 12. decembra balsojumu, kura dēļ atzinums netika sniegts</w:t>
      </w:r>
      <w:bookmarkStart w:id="7" w:name="_Hlk219206484"/>
      <w:r w:rsidRPr="0029122D">
        <w:t>,</w:t>
      </w:r>
      <w:bookmarkEnd w:id="7"/>
      <w:r w:rsidR="00FA1B68" w:rsidRPr="0029122D">
        <w:t xml:space="preserve"> </w:t>
      </w:r>
      <w:bookmarkStart w:id="8" w:name="_Hlk221628043"/>
      <w:r w:rsidR="00FA1B68" w:rsidRPr="0029122D">
        <w:t>un pārsūdzības komitejas 2026. gada 27. janvāra balsojumu, atkal nesniedzot atzinumu,</w:t>
      </w:r>
      <w:bookmarkEnd w:id="8"/>
    </w:p>
    <w:p w14:paraId="2E5B5884" w14:textId="77777777" w:rsidR="007B7212" w:rsidRPr="0029122D" w:rsidRDefault="007B7212" w:rsidP="007B7212">
      <w:pPr>
        <w:pStyle w:val="NormalHanging12a"/>
      </w:pPr>
      <w:r w:rsidRPr="0029122D">
        <w:t>–</w:t>
      </w:r>
      <w:r w:rsidRPr="0029122D">
        <w:tab/>
        <w:t>ņemot vērā 11. pantu Eiropas Parlamenta un Padomes 2011. gada 16. februāra Regulā (ES) Nr. 182/2011, ar ko nosaka normas un vispārīgus principus par dalībvalstu kontroles mehānismiem, kuri attiecas uz Komisijas īstenošanas pilnvaru izmantošanu</w:t>
      </w:r>
      <w:r w:rsidRPr="0029122D">
        <w:rPr>
          <w:rStyle w:val="FootnoteReference"/>
        </w:rPr>
        <w:footnoteReference w:id="2"/>
      </w:r>
      <w:r w:rsidRPr="0029122D">
        <w:t>,</w:t>
      </w:r>
    </w:p>
    <w:p w14:paraId="015F9B25" w14:textId="77777777" w:rsidR="007B7212" w:rsidRPr="0029122D" w:rsidRDefault="007B7212" w:rsidP="007B7212">
      <w:pPr>
        <w:pStyle w:val="NormalHanging12a"/>
      </w:pPr>
      <w:r w:rsidRPr="0029122D">
        <w:t>–</w:t>
      </w:r>
      <w:r w:rsidRPr="0029122D">
        <w:tab/>
        <w:t>ņemot vērā Eiropas Pārtikas nekaitīguma iestādes (</w:t>
      </w:r>
      <w:r w:rsidRPr="0029122D">
        <w:rPr>
          <w:i/>
          <w:iCs/>
        </w:rPr>
        <w:t>EFSA</w:t>
      </w:r>
      <w:r w:rsidRPr="0029122D">
        <w:t>) 2025. gada 21. maijā pieņemto atzinumu, kas publicēts 2025. gada 7. jūlijā</w:t>
      </w:r>
      <w:r w:rsidRPr="0029122D">
        <w:rPr>
          <w:vertAlign w:val="superscript"/>
        </w:rPr>
        <w:footnoteReference w:id="3"/>
      </w:r>
      <w:r w:rsidRPr="0029122D">
        <w:t>,</w:t>
      </w:r>
    </w:p>
    <w:p w14:paraId="4BCF9017" w14:textId="77777777" w:rsidR="007B7212" w:rsidRPr="0029122D" w:rsidRDefault="007B7212" w:rsidP="007B7212">
      <w:pPr>
        <w:pStyle w:val="NormalHanging12a"/>
      </w:pPr>
      <w:r w:rsidRPr="0029122D">
        <w:t>–</w:t>
      </w:r>
      <w:r w:rsidRPr="0029122D">
        <w:tab/>
        <w:t xml:space="preserve">ņemot vērā Parlamenta iepriekšējās rezolūcijas, kurās iebilsts pret atļauju izmantot </w:t>
      </w:r>
      <w:r w:rsidRPr="0029122D">
        <w:lastRenderedPageBreak/>
        <w:t>ģenētiski modificētus organismus (ĢMO)</w:t>
      </w:r>
      <w:r w:rsidRPr="0029122D">
        <w:rPr>
          <w:vertAlign w:val="superscript"/>
        </w:rPr>
        <w:footnoteReference w:id="4"/>
      </w:r>
      <w:r w:rsidRPr="0029122D">
        <w:t>,</w:t>
      </w:r>
    </w:p>
    <w:p w14:paraId="74D79E4A" w14:textId="77777777" w:rsidR="007B7212" w:rsidRPr="0029122D" w:rsidRDefault="007B7212" w:rsidP="007B7212">
      <w:pPr>
        <w:pStyle w:val="NormalHanging12a"/>
      </w:pPr>
      <w:r w:rsidRPr="0029122D">
        <w:lastRenderedPageBreak/>
        <w:t>–</w:t>
      </w:r>
      <w:r w:rsidRPr="0029122D">
        <w:tab/>
        <w:t>ņemot vērā Reglamenta 115. panta 2. un 3. punktu,</w:t>
      </w:r>
    </w:p>
    <w:p w14:paraId="0EE083AF" w14:textId="77777777" w:rsidR="007B7212" w:rsidRPr="0029122D" w:rsidRDefault="007B7212" w:rsidP="007B7212">
      <w:pPr>
        <w:pStyle w:val="NormalHanging12a"/>
      </w:pPr>
      <w:r w:rsidRPr="0029122D">
        <w:t>–</w:t>
      </w:r>
      <w:r w:rsidRPr="0029122D">
        <w:tab/>
        <w:t>ņemot vērā Vides, klimata un pārtikas nekaitīguma komitejas rezolūcijas priekšlikumu,</w:t>
      </w:r>
    </w:p>
    <w:p w14:paraId="56287B5B" w14:textId="26977BBD" w:rsidR="007B7212" w:rsidRPr="0029122D" w:rsidRDefault="007B7212" w:rsidP="007B7212">
      <w:pPr>
        <w:pStyle w:val="NormalHanging12a"/>
        <w:ind w:hanging="570"/>
      </w:pPr>
      <w:r w:rsidRPr="0029122D">
        <w:t>A.</w:t>
      </w:r>
      <w:r w:rsidRPr="0029122D">
        <w:tab/>
        <w:t xml:space="preserve">tā kā 2019. gada </w:t>
      </w:r>
      <w:r w:rsidR="007C5020">
        <w:t>20</w:t>
      </w:r>
      <w:r w:rsidRPr="0029122D">
        <w:t>. </w:t>
      </w:r>
      <w:r w:rsidR="007C5020">
        <w:t>decembrī</w:t>
      </w:r>
      <w:r w:rsidRPr="0029122D">
        <w:t xml:space="preserve"> Beļģijā bāzētais uzņēmums </w:t>
      </w:r>
      <w:r w:rsidRPr="0029122D">
        <w:rPr>
          <w:i/>
          <w:iCs/>
        </w:rPr>
        <w:t>Perseus BV</w:t>
      </w:r>
      <w:r w:rsidRPr="0029122D">
        <w:t xml:space="preserve"> Ķīnā bāzētā uzņēmuma </w:t>
      </w:r>
      <w:r w:rsidRPr="0029122D">
        <w:rPr>
          <w:i/>
          <w:iCs/>
        </w:rPr>
        <w:t>Beijing DaBeiNong Biotechnology Co., Ltd.</w:t>
      </w:r>
      <w:r w:rsidRPr="0029122D">
        <w:t xml:space="preserve"> vārdā </w:t>
      </w:r>
      <w:r w:rsidRPr="0029122D">
        <w:rPr>
          <w:snapToGrid w:val="0"/>
        </w:rPr>
        <w:t xml:space="preserve">Beļģijas kompetentajai </w:t>
      </w:r>
      <w:r w:rsidRPr="0029122D">
        <w:rPr>
          <w:snapToGrid w:val="0"/>
        </w:rPr>
        <w:lastRenderedPageBreak/>
        <w:t>iestādei saskaņā ar Regulas (EK) Nr. 1829/2003 5. un 17. pantu iesniedza pieteikumu</w:t>
      </w:r>
      <w:r w:rsidRPr="0029122D">
        <w:t>, kurā lūgts atļaut laist tirgū tādus pārtikas produktus, pārtikas sastāvdaļas un barību, kas satur ģenētiski modificētas sojas pupas DBN-09004-6 (“ĢM sojas pupas”), sastāv vai ir ražoti no tām; tā kā pieteikumā minēta arī tādu produktu laišana tirgū, kas satur ĢM sojas pupas vai sastāv no tām, izmantošanai veidos, kas nav pārtika un dzīvnieku barība, izņemot audzēšanu;</w:t>
      </w:r>
    </w:p>
    <w:p w14:paraId="6A114765" w14:textId="77777777" w:rsidR="007B7212" w:rsidRPr="0029122D" w:rsidRDefault="007B7212" w:rsidP="007B7212">
      <w:pPr>
        <w:pStyle w:val="NormalHanging12a"/>
        <w:ind w:hanging="570"/>
      </w:pPr>
      <w:bookmarkStart w:id="10" w:name="_Hlk218675754"/>
      <w:r w:rsidRPr="0029122D">
        <w:t>B.</w:t>
      </w:r>
      <w:r w:rsidRPr="0029122D">
        <w:tab/>
        <w:t xml:space="preserve">tā kā 2025. gada 7. jūlijā </w:t>
      </w:r>
      <w:r w:rsidRPr="0029122D">
        <w:rPr>
          <w:i/>
          <w:iCs/>
        </w:rPr>
        <w:t>EFSA</w:t>
      </w:r>
      <w:r w:rsidRPr="0029122D">
        <w:t xml:space="preserve"> sniedza labvēlīgu zinātnisku atzinumu saskaņā ar Regulas (EK) Nr. 1829/2003 6. un 18. pantu, kurā secināja, ka pieteikumā aprakstītās ĢM sojas pupas ir tikpat drošas kā to konvencionālais analogs un testētās ģenētiski nemodificētās sojas pupu references šķirnes attiecībā uz iespējamo ietekmi uz cilvēku un dzīvnieku veselību un vidi; tā kā minētajā atzinumā nav aplūkotas vairākas plašākas vidiskās, sociālekonomiskās un kumulatīvās ietekmes, kuras </w:t>
      </w:r>
      <w:r w:rsidRPr="0029122D">
        <w:rPr>
          <w:i/>
          <w:iCs/>
        </w:rPr>
        <w:t>EFSA</w:t>
      </w:r>
      <w:r w:rsidRPr="0029122D">
        <w:t xml:space="preserve"> ieskatā neietilpst tās kompetencē;</w:t>
      </w:r>
    </w:p>
    <w:p w14:paraId="33ECD8C4" w14:textId="77777777" w:rsidR="007B7212" w:rsidRPr="0029122D" w:rsidRDefault="007B7212" w:rsidP="007B7212">
      <w:pPr>
        <w:pStyle w:val="NormalHanging12a"/>
        <w:ind w:hanging="570"/>
      </w:pPr>
      <w:r w:rsidRPr="0029122D">
        <w:t>C.</w:t>
      </w:r>
      <w:r w:rsidRPr="0029122D">
        <w:tab/>
        <w:t>tā kā ĢM sojas pupas ir izstrādātas, lai piešķirtu toleranci pret glufozinātu un glifozātu;</w:t>
      </w:r>
    </w:p>
    <w:bookmarkEnd w:id="10"/>
    <w:p w14:paraId="2044A056" w14:textId="77777777" w:rsidR="007B7212" w:rsidRPr="0029122D" w:rsidRDefault="007B7212" w:rsidP="007B7212">
      <w:pPr>
        <w:pStyle w:val="NormalHanging12a"/>
      </w:pPr>
      <w:r w:rsidRPr="0029122D">
        <w:t>D.</w:t>
      </w:r>
      <w:r w:rsidRPr="0029122D">
        <w:tab/>
        <w:t>tā kā EFSA veiktajos riska novērtējumos netika iekļauti ne ilgtermiņa toksikoloģiskie pētījumi, ne detalizēta kumulatīvās un kombinētās ietekmes analīze, tostarp attiecībā uz potenciālo mijiedarbību ar sojas pupu audzēšanā parasti izmantoto pesticīdu atliekām;</w:t>
      </w:r>
    </w:p>
    <w:p w14:paraId="03C7C183" w14:textId="77777777" w:rsidR="007B7212" w:rsidRPr="0029122D" w:rsidRDefault="007B7212" w:rsidP="007B7212">
      <w:pPr>
        <w:pStyle w:val="NormalHanging12a"/>
        <w:rPr>
          <w:color w:val="000000" w:themeColor="text1"/>
          <w:szCs w:val="24"/>
        </w:rPr>
      </w:pPr>
      <w:r w:rsidRPr="0029122D">
        <w:rPr>
          <w:color w:val="000000" w:themeColor="text1"/>
        </w:rPr>
        <w:t>E.</w:t>
      </w:r>
      <w:r w:rsidRPr="0029122D">
        <w:rPr>
          <w:color w:val="000000" w:themeColor="text1"/>
        </w:rPr>
        <w:tab/>
      </w:r>
      <w:r w:rsidRPr="0029122D">
        <w:t xml:space="preserve">tā kā lielākā daļa ĢM kultūraugu, arī ĢM sojas pupas, ir ģenētiski modificēta, lai būtu izturīga pret vienu vai vairākiem komplementāriem herbicīdiem, kurus var izmantot visā ĢM kultūraugu audzēšanas laikā, attiecīgajam kultūraugam neiznīkstot, kā tas būtu gadījumā, ja izmantotu pret herbicīdiem neizturīgu kultūru; </w:t>
      </w:r>
      <w:r w:rsidRPr="0029122D">
        <w:rPr>
          <w:color w:val="000000" w:themeColor="text1"/>
        </w:rPr>
        <w:t>tā kā vairākos pētījumos konstatēts, ka herbicīdizturīgu ĢM kultūraugu audzēšanā vairāk izmanto komplementārus herbicīdus, un tas lielā mērā notiek tādēļ, ka ir parādījušās herbicīdizturīgas nezāles</w:t>
      </w:r>
      <w:r w:rsidRPr="0029122D">
        <w:rPr>
          <w:rStyle w:val="FootnoteReference"/>
          <w:color w:val="000000" w:themeColor="text1"/>
          <w:szCs w:val="24"/>
        </w:rPr>
        <w:footnoteReference w:id="5"/>
      </w:r>
      <w:r w:rsidRPr="0029122D">
        <w:rPr>
          <w:color w:val="000000" w:themeColor="text1"/>
        </w:rPr>
        <w:t>;</w:t>
      </w:r>
    </w:p>
    <w:p w14:paraId="21576FE5" w14:textId="77777777" w:rsidR="007B7212" w:rsidRPr="0029122D" w:rsidRDefault="007B7212" w:rsidP="007B7212">
      <w:pPr>
        <w:spacing w:after="240"/>
        <w:ind w:left="567" w:hanging="567"/>
        <w:rPr>
          <w:color w:val="000000" w:themeColor="text1"/>
          <w:szCs w:val="24"/>
        </w:rPr>
      </w:pPr>
      <w:r w:rsidRPr="0029122D">
        <w:t>F.</w:t>
      </w:r>
      <w:r w:rsidRPr="0029122D">
        <w:tab/>
        <w:t xml:space="preserve">tā kā </w:t>
      </w:r>
      <w:r w:rsidRPr="0029122D">
        <w:rPr>
          <w:color w:val="000000" w:themeColor="text1"/>
        </w:rPr>
        <w:t>herbicīdizturīgu ĢM kultūraugu izmantošanas dēļ lauksaimnieki ir piesaistīti nezāļu pārvaldības sistēmai, kas lielā mērā vai pilnībā ir atkarīga no herbicīdiem, un tas notiek tāpēc, ka par ĢM sēklām tiek uzlikta piemaksa, kura atmaksājas tikai tad, ja lauksaimnieki, kas iegādājas šādas sēklas, arī izsmidzina komplementārus herbicīdus; tā kā lielāka atkarība no komplementāriem herbicīdiem saimniecībās, kurās audzē ĢM sojas pupas, paātrinās pret minētajiem herbicīdiem rezistentu nezāļu rašanos un izplatību un tādējādi radīs vajadzību vēl vairāk izmantot herbicīdus, proti, veidos apburto loku, ko dēvē par “herbicīdu skrejceliņu”; tā kā līdz ar to negatīvā ietekme, ko rada pārmērīga paļaušanās uz herbicīdiem, pasliktina augsnes veselību, ūdens kvalitāti un biodaudzveidību virs un zem zemes virskārtas, kā arī palielina iedarbību uz cilvēkiem un dzīvniekiem, iespējams arī tādēļ, ka lielāks daudzums herbicīdu atlieku nonāk pārtikā un dzīvnieku barībā</w:t>
      </w:r>
      <w:r w:rsidRPr="0029122D">
        <w:rPr>
          <w:rStyle w:val="FootnoteReference"/>
          <w:color w:val="000000" w:themeColor="text1"/>
          <w:szCs w:val="24"/>
        </w:rPr>
        <w:footnoteReference w:id="6"/>
      </w:r>
      <w:r w:rsidRPr="0029122D">
        <w:rPr>
          <w:color w:val="000000" w:themeColor="text1"/>
        </w:rPr>
        <w:t>;</w:t>
      </w:r>
    </w:p>
    <w:p w14:paraId="326C6B99" w14:textId="77777777" w:rsidR="007B7212" w:rsidRPr="0029122D" w:rsidRDefault="007B7212" w:rsidP="007B7212">
      <w:pPr>
        <w:pStyle w:val="NormalWeb"/>
        <w:widowControl w:val="0"/>
        <w:spacing w:before="0" w:beforeAutospacing="0" w:after="240" w:afterAutospacing="0"/>
        <w:ind w:left="567" w:hanging="567"/>
      </w:pPr>
      <w:r w:rsidRPr="0029122D">
        <w:t>G.</w:t>
      </w:r>
      <w:r w:rsidRPr="0029122D">
        <w:tab/>
        <w:t xml:space="preserve">tā kā glufozināts klasificēts kā reproduktīvajai sistēmai toksiska viela (1B) un tāpēc tam </w:t>
      </w:r>
      <w:r w:rsidRPr="0029122D">
        <w:lastRenderedPageBreak/>
        <w:t>piemērojami Eiropas Parlamenta un Padomes Regulā (EK) Nr. 1107/2009</w:t>
      </w:r>
      <w:r w:rsidRPr="0029122D">
        <w:rPr>
          <w:rStyle w:val="FootnoteReference"/>
        </w:rPr>
        <w:footnoteReference w:id="7"/>
      </w:r>
      <w:r w:rsidRPr="0029122D">
        <w:t xml:space="preserve"> noteiktie izslēgšanas kritēriji; tā kā termiņš atļaujai lietot glufozinātu Savienībā beidzās 2018. gada 31. jūlijā;</w:t>
      </w:r>
    </w:p>
    <w:p w14:paraId="0468AA65" w14:textId="77777777" w:rsidR="007B7212" w:rsidRPr="0029122D" w:rsidRDefault="007B7212" w:rsidP="007B7212">
      <w:pPr>
        <w:pStyle w:val="NormalHanging12a"/>
      </w:pPr>
      <w:r w:rsidRPr="0029122D">
        <w:t>H.</w:t>
      </w:r>
      <w:r w:rsidRPr="0029122D">
        <w:tab/>
        <w:t xml:space="preserve">tā kā joprojām nav atbildēti nopietni jautājumi par glifozāta kancerogenitāti; tā kā </w:t>
      </w:r>
      <w:r w:rsidRPr="0029122D">
        <w:rPr>
          <w:i/>
          <w:iCs/>
        </w:rPr>
        <w:t>EFSA</w:t>
      </w:r>
      <w:r w:rsidRPr="0029122D">
        <w:t xml:space="preserve"> 2015. gada novembrī secināja, ka glifozāts, visticamāk, nav kancerogēns, un Eiropas Ķimikāliju aģentūra 2017. gada martā secināja, ka nav pamata to šādi klasificēt; tā kā pretēji tam 2015. gadā Starptautiskā Vēža izpētes aģentūra, kas ir specializētā Pasaules Veselības organizācijas vēža pētniecības aģentūra, glifozātu klasificēja kā iespējami kancerogēnu cilvēkam; tā kā vairāki neseni zinātniski recenzēti pētījumi apstiprina to, ka glifozāts varētu būt kancerogēns</w:t>
      </w:r>
      <w:r w:rsidRPr="0029122D">
        <w:rPr>
          <w:rStyle w:val="FootnoteReference"/>
        </w:rPr>
        <w:footnoteReference w:id="8"/>
      </w:r>
      <w:r w:rsidRPr="0029122D">
        <w:t>; tā kā žurnāls “</w:t>
      </w:r>
      <w:r w:rsidRPr="0029122D">
        <w:rPr>
          <w:i/>
          <w:iCs/>
        </w:rPr>
        <w:t>Regulatory Toxicology and Pharmacology</w:t>
      </w:r>
      <w:r w:rsidRPr="0029122D">
        <w:t>” ir oficiāli atsaucis 2000. gadā publicēto zinātnisko rakstu “</w:t>
      </w:r>
      <w:r w:rsidRPr="0029122D">
        <w:rPr>
          <w:i/>
          <w:iCs/>
        </w:rPr>
        <w:t>Safety Evaluation and Risk Assessment of the Herbicide Roundup and Its Active Ingredient, Glyphosate, for Humans</w:t>
      </w:r>
      <w:r w:rsidRPr="0029122D">
        <w:t>”, kas daudzos riska novērtējumos tika izmantots, lai aizstāvētu glifozāta drošību, jo “radās bažas par tā autorību, pētījuma rezultātu derīgumu autoru un pētījuma sponsora sniegtā ieguldījuma sagrozīšanas kontekstā un autoru iespējamiem interešu konfliktiem”</w:t>
      </w:r>
      <w:r w:rsidRPr="0029122D">
        <w:rPr>
          <w:rStyle w:val="FootnoteReference"/>
        </w:rPr>
        <w:footnoteReference w:id="9"/>
      </w:r>
      <w:r w:rsidRPr="0029122D">
        <w:t>;</w:t>
      </w:r>
    </w:p>
    <w:p w14:paraId="3E5DA80D" w14:textId="77777777" w:rsidR="007B7212" w:rsidRPr="0029122D" w:rsidRDefault="007B7212" w:rsidP="007B7212">
      <w:pPr>
        <w:pStyle w:val="NormalHanging12a"/>
      </w:pPr>
      <w:r w:rsidRPr="0029122D">
        <w:t>I.</w:t>
      </w:r>
      <w:r w:rsidRPr="0029122D">
        <w:tab/>
        <w:t>tā kā joprojām nav pietiekami nodrošināts neatkarīgs monitorings un novērošana attiecībā uz iespējamo nelabvēlīgo ietekmi uz biodaudzveidību, augsnes veselību, apputeksnētājiem un nemērķa organismiem;</w:t>
      </w:r>
    </w:p>
    <w:p w14:paraId="2A04DFE1" w14:textId="77777777" w:rsidR="007B7212" w:rsidRPr="0029122D" w:rsidRDefault="007B7212" w:rsidP="007B7212">
      <w:pPr>
        <w:spacing w:after="240"/>
        <w:ind w:left="567" w:hanging="567"/>
      </w:pPr>
      <w:r w:rsidRPr="0029122D">
        <w:t>J.</w:t>
      </w:r>
      <w:r w:rsidRPr="0029122D">
        <w:tab/>
        <w:t>tā kā zinātniskās nenoteiktības gadījumos būtu jāpiemēro piesardzības princips, kas ir noteikts Līguma par Eiropas Savienības darbību 191. pantā;</w:t>
      </w:r>
    </w:p>
    <w:p w14:paraId="180D7675" w14:textId="77777777" w:rsidR="007B7212" w:rsidRPr="0029122D" w:rsidRDefault="007B7212" w:rsidP="007B7212">
      <w:pPr>
        <w:spacing w:after="240"/>
        <w:ind w:left="567" w:hanging="567"/>
      </w:pPr>
      <w:r w:rsidRPr="0029122D">
        <w:t>K.</w:t>
      </w:r>
      <w:r w:rsidRPr="0029122D">
        <w:tab/>
        <w:t>tā kā Regulā (EK) Nr. 1829/2003 ir noteikts, ka ĢM pārtika un barība nedrīkst nelabvēlīgi ietekmēt cilvēku veselību, dzīvnieku veselību vai vidi;</w:t>
      </w:r>
    </w:p>
    <w:p w14:paraId="5786376D" w14:textId="77777777" w:rsidR="007B7212" w:rsidRPr="0029122D" w:rsidRDefault="007B7212" w:rsidP="007B7212">
      <w:pPr>
        <w:pStyle w:val="NormalWeb"/>
        <w:widowControl w:val="0"/>
        <w:spacing w:before="0" w:beforeAutospacing="0" w:after="240" w:afterAutospacing="0"/>
        <w:ind w:left="567" w:hanging="567"/>
      </w:pPr>
      <w:r w:rsidRPr="0029122D">
        <w:t>L.</w:t>
      </w:r>
      <w:r w:rsidRPr="0029122D">
        <w:tab/>
        <w:t>tā kā ĢM sojas pupu atļaušana Savienībā būtu pretrunā starptautiskajām saistībām pesticīdu lietošanas samazināšanā</w:t>
      </w:r>
      <w:r w:rsidRPr="0029122D">
        <w:rPr>
          <w:vertAlign w:val="superscript"/>
        </w:rPr>
        <w:footnoteReference w:id="10"/>
      </w:r>
      <w:r w:rsidRPr="0029122D">
        <w:t>, jo valstīs, kurās audzē šos herbicīdizturīgos ĢM kultūraugus, palielinātos cilvēku, dzīvnieku un vides eksponētība glifozātam un glufozinātam, kā arī varētu rasties nopietnas ar to saistītas sekas veselībai;</w:t>
      </w:r>
    </w:p>
    <w:p w14:paraId="53093108" w14:textId="77777777" w:rsidR="007B7212" w:rsidRPr="0029122D" w:rsidRDefault="007B7212" w:rsidP="007B7212">
      <w:pPr>
        <w:spacing w:after="240"/>
        <w:ind w:left="567" w:hanging="567"/>
      </w:pPr>
      <w:r w:rsidRPr="0029122D">
        <w:t>M.</w:t>
      </w:r>
      <w:r w:rsidRPr="0029122D">
        <w:tab/>
        <w:t>tā kā ar Komisijas īstenošanas lēmuma projektu tiktu atļauts Savienībā importēt produktus, kas neatbilst Savienības lauksaimnieku ievērotajiem standartiem, un tādējādi viņiem tiktu radīti neizdevīgi konkurences apstākļi;</w:t>
      </w:r>
    </w:p>
    <w:p w14:paraId="22AAD0FB" w14:textId="77777777" w:rsidR="007B7212" w:rsidRPr="0029122D" w:rsidRDefault="007B7212" w:rsidP="007B7212">
      <w:pPr>
        <w:spacing w:after="240"/>
        <w:ind w:left="567" w:hanging="567"/>
      </w:pPr>
      <w:r w:rsidRPr="0029122D">
        <w:lastRenderedPageBreak/>
        <w:t>N.</w:t>
      </w:r>
      <w:r w:rsidRPr="0029122D">
        <w:tab/>
        <w:t>tā kā stratēģiskā dialoga par ES lauksaimniecības nākotni secinājumos</w:t>
      </w:r>
      <w:r w:rsidRPr="0029122D">
        <w:rPr>
          <w:rStyle w:val="FootnoteReference"/>
        </w:rPr>
        <w:footnoteReference w:id="11"/>
      </w:r>
      <w:r w:rsidRPr="0029122D">
        <w:t xml:space="preserve"> Komisija tiek aicināta pārskatīt savu pieeju attiecībā uz tirgus pieejamību lauksaimniecības pārtikas importam un eksportam, ņemot vērā grūtības, ko rada Savienības un tās tirdzniecības partneru atšķirīgie standarti; tā kā taisnīgākas globālās tirdzniecības attiecības, kas saskanētu ar veselīgas vides mērķiem, bija viena no galvenajām lauksaimnieku prasībām 2023., 2024. un 2025. gada demonstrāciju laikā;</w:t>
      </w:r>
    </w:p>
    <w:p w14:paraId="0E1FF531" w14:textId="77777777" w:rsidR="007B7212" w:rsidRPr="0029122D" w:rsidRDefault="007B7212" w:rsidP="007B7212">
      <w:pPr>
        <w:spacing w:after="240"/>
        <w:ind w:left="567" w:hanging="567"/>
      </w:pPr>
      <w:r w:rsidRPr="0029122D">
        <w:t>O.</w:t>
      </w:r>
      <w:r w:rsidRPr="0029122D">
        <w:tab/>
        <w:t>tā kā Parlaments ir vairākkārt uzsvēris — lai novērstu pastāvīgo demokrātijas deficītu, Komisijai nevajadzētu atļaut ĢMO gadījumos, kad dalībvalstis Augu, dzīvnieku, pārtikas aprites un dzīvnieku barības pastāvīgajā komitejā vai pārsūdzības komitejā nav panākušas kvalificētu balsu vairākumu;</w:t>
      </w:r>
    </w:p>
    <w:p w14:paraId="7B0E21A1" w14:textId="77777777" w:rsidR="007B7212" w:rsidRPr="0029122D" w:rsidRDefault="007B7212" w:rsidP="007B7212">
      <w:pPr>
        <w:pStyle w:val="NormalWeb"/>
        <w:widowControl w:val="0"/>
        <w:shd w:val="clear" w:color="auto" w:fill="FFFFFF"/>
        <w:spacing w:before="0" w:beforeAutospacing="0" w:after="240" w:afterAutospacing="0"/>
        <w:ind w:left="567" w:hanging="567"/>
        <w:rPr>
          <w:color w:val="000000" w:themeColor="text1"/>
        </w:rPr>
      </w:pPr>
      <w:r w:rsidRPr="0029122D">
        <w:rPr>
          <w:color w:val="000000" w:themeColor="text1"/>
        </w:rPr>
        <w:t>P.</w:t>
      </w:r>
      <w:r w:rsidRPr="0029122D">
        <w:rPr>
          <w:color w:val="000000" w:themeColor="text1"/>
        </w:rPr>
        <w:tab/>
        <w:t>tā kā Komisija turpina piešķirt atļaujas ĢMO, neraugoties uz pašas atzītajām nepilnībām demokrātiskā lēmumu pieņemšanas procesā, dalībvalstu atbalsta trūkumu un Parlamenta iebildumiem;</w:t>
      </w:r>
    </w:p>
    <w:p w14:paraId="682D0C9B" w14:textId="7CFCB370" w:rsidR="007B7212" w:rsidRPr="0029122D" w:rsidRDefault="007C5020" w:rsidP="007B7212">
      <w:pPr>
        <w:spacing w:after="240"/>
        <w:ind w:left="567" w:hanging="567"/>
      </w:pPr>
      <w:r>
        <w:t>Q</w:t>
      </w:r>
      <w:r w:rsidR="007B7212" w:rsidRPr="0029122D">
        <w:t>.</w:t>
      </w:r>
      <w:r w:rsidR="007B7212" w:rsidRPr="0029122D">
        <w:tab/>
        <w:t>tā kā pieeja “Viena veselība” paredz, ka, novērtējot ĢMO ilgtermiņa ilgtspēju un drošumu, ir jāņem vērā cilvēku, dzīvnieku, augu un vides veselības savstarpējā atkarība,</w:t>
      </w:r>
    </w:p>
    <w:p w14:paraId="23497E89" w14:textId="235EB8F4" w:rsidR="007B7212" w:rsidRPr="0029122D" w:rsidRDefault="007B7212" w:rsidP="007B7212">
      <w:pPr>
        <w:spacing w:after="240"/>
        <w:ind w:left="567" w:hanging="567"/>
      </w:pPr>
      <w:r w:rsidRPr="0029122D">
        <w:t>R.</w:t>
      </w:r>
      <w:r w:rsidRPr="0029122D">
        <w:tab/>
        <w:t xml:space="preserve">tā kā šī rezolūcija būs </w:t>
      </w:r>
      <w:r w:rsidR="006417CB" w:rsidRPr="0029122D">
        <w:t xml:space="preserve">gandrīz </w:t>
      </w:r>
      <w:r w:rsidRPr="0029122D">
        <w:t xml:space="preserve">simtā Eiropas Parlamenta pieņemtā rezolūcija, kurā iebilsts pret ĢMO kultūraugu importa atļaušanu; </w:t>
      </w:r>
    </w:p>
    <w:p w14:paraId="55881AA5" w14:textId="77777777" w:rsidR="007B7212" w:rsidRPr="0029122D" w:rsidRDefault="007B7212" w:rsidP="007B7212">
      <w:pPr>
        <w:pStyle w:val="NormalHanging12a"/>
      </w:pPr>
      <w:r w:rsidRPr="0029122D">
        <w:t>1.</w:t>
      </w:r>
      <w:r w:rsidRPr="0029122D">
        <w:tab/>
        <w:t>uzskata, ka Komisijas īstenošanas lēmuma projekts pārsniedz Regulā (EK) Nr. 1829/2003 paredzētās īstenošanas pilnvaras;</w:t>
      </w:r>
    </w:p>
    <w:p w14:paraId="617313B7" w14:textId="77777777" w:rsidR="007B7212" w:rsidRPr="0029122D" w:rsidRDefault="007B7212" w:rsidP="007B7212">
      <w:pPr>
        <w:pStyle w:val="NormalHanging12a"/>
      </w:pPr>
      <w:bookmarkStart w:id="11" w:name="_Hlk218675825"/>
      <w:r w:rsidRPr="0029122D">
        <w:t>2.</w:t>
      </w:r>
      <w:r w:rsidRPr="0029122D">
        <w:tab/>
        <w:t>uzskata, ka Komisijas īstenošanas lēmuma projekts neatbilst Savienības tiesību aktiem, jo nav savienojams ar Regulas (EK) Nr. 1829/2003 mērķi, proti, saskaņā ar Eiropas Parlamenta un Padomes Regulā (EK) Nr. 178/2002</w:t>
      </w:r>
      <w:r w:rsidRPr="0029122D">
        <w:rPr>
          <w:vertAlign w:val="superscript"/>
        </w:rPr>
        <w:footnoteReference w:id="12"/>
      </w:r>
      <w:r w:rsidRPr="0029122D">
        <w:t xml:space="preserve"> izklāstītiem vispārējiem principiem nodrošināt pamatu tam, ka saistībā ar ĢM pārtiku un barību augstā līmenī ir garantēta cilvēka dzīvības un veselības, dzīvnieku veselības un labturības, vides un patērētāju interešu aizsardzība, vienlaikus nodrošinot efektīvu iekšējā tirgus darbību; </w:t>
      </w:r>
    </w:p>
    <w:bookmarkEnd w:id="11"/>
    <w:p w14:paraId="16C84347" w14:textId="77777777" w:rsidR="007B7212" w:rsidRPr="0029122D" w:rsidRDefault="007B7212" w:rsidP="007B7212">
      <w:pPr>
        <w:pStyle w:val="NormalHanging12a"/>
      </w:pPr>
      <w:r w:rsidRPr="0029122D">
        <w:t>3.</w:t>
      </w:r>
      <w:r w:rsidRPr="0029122D">
        <w:tab/>
        <w:t>prasa Komisijai atsaukt īstenošanas lēmuma projektu;</w:t>
      </w:r>
    </w:p>
    <w:p w14:paraId="1BC9AE92" w14:textId="77777777" w:rsidR="007B7212" w:rsidRPr="0029122D" w:rsidRDefault="007B7212" w:rsidP="007B7212">
      <w:pPr>
        <w:spacing w:after="240"/>
        <w:ind w:left="567" w:hanging="567"/>
      </w:pPr>
      <w:r w:rsidRPr="0029122D">
        <w:t>4.</w:t>
      </w:r>
      <w:r w:rsidRPr="0029122D">
        <w:tab/>
        <w:t>aicina Komisiju neatļaut ĢM sojas pupas, jo nav pietiekamu pierādījumu par ilgtermiņa ietekmi uz biodaudzveidību, pārtikas nekaitīgumu, lauksaimnieku iztikas līdzekļiem un dzīvnieku veselību saskaņā ar pieeju “Viena veselība”;</w:t>
      </w:r>
    </w:p>
    <w:p w14:paraId="233ADE39" w14:textId="77777777" w:rsidR="007B7212" w:rsidRPr="0029122D" w:rsidRDefault="007B7212" w:rsidP="007B7212">
      <w:pPr>
        <w:spacing w:after="240"/>
        <w:ind w:left="567" w:hanging="567"/>
      </w:pPr>
      <w:bookmarkStart w:id="12" w:name="_Hlk210900300"/>
      <w:r w:rsidRPr="0029122D">
        <w:t>5.</w:t>
      </w:r>
      <w:r w:rsidRPr="0029122D">
        <w:tab/>
        <w:t>aicina Komisiju nekavējoties iesniegt tiesību akta priekšlikumu, lai reformētu lēmumu pieņemšanas procedūru attiecībā uz ĢMO, reaģējot uz Parlamenta konsekventajiem iebildumiem un kvalificēta vairākuma atbalsta trūkumu starp dalībvalstīm</w:t>
      </w:r>
      <w:bookmarkEnd w:id="12"/>
      <w:r w:rsidRPr="0029122D">
        <w:t>;</w:t>
      </w:r>
    </w:p>
    <w:p w14:paraId="246BF99D" w14:textId="77777777" w:rsidR="007B7212" w:rsidRPr="0029122D" w:rsidRDefault="007B7212" w:rsidP="007B7212">
      <w:pPr>
        <w:spacing w:after="240"/>
        <w:ind w:left="567" w:hanging="567"/>
      </w:pPr>
      <w:bookmarkStart w:id="13" w:name="_Hlk210900241"/>
      <w:r w:rsidRPr="0029122D">
        <w:t>6.</w:t>
      </w:r>
      <w:r w:rsidRPr="0029122D">
        <w:tab/>
        <w:t xml:space="preserve">šajā saistībā uzsver, ka atļauja izmantošanai pārtikā, dzīvnieku barībā vai produktos importēt ĢM augus, kas ir herbicīdizturīgi pret Savienībā aizliegtiem herbicīdiem, piemēram, glufozinātu, ir pretrunā Savienības starptautiskajām saistībām, kuras cita </w:t>
      </w:r>
      <w:r w:rsidRPr="0029122D">
        <w:lastRenderedPageBreak/>
        <w:t>starpā noteiktas ANO Biodaudzveidības konvencijā un ANO ilgtspējīgas attīstības mērķos, tostarp nesen pieņemtajā Kuņminas-Monreālas satvarā, un ka tā rada nevienlīdzīgus konkurences apstākļus Savienības lauksaimniekiem;</w:t>
      </w:r>
      <w:bookmarkEnd w:id="13"/>
    </w:p>
    <w:p w14:paraId="5D53CBC2" w14:textId="4BCAAAA8" w:rsidR="001676BB" w:rsidRPr="0029122D" w:rsidRDefault="007B7212" w:rsidP="001676BB">
      <w:pPr>
        <w:pStyle w:val="NormalHanging12a"/>
      </w:pPr>
      <w:r w:rsidRPr="0029122D">
        <w:t>7.</w:t>
      </w:r>
      <w:r w:rsidRPr="0029122D">
        <w:tab/>
        <w:t>uzdod priekšsēdētājai šo rezolūciju nosūtīt Padomei un Komisijai, kā arī dalībvalstu valdībām un parlamentiem.</w:t>
      </w:r>
    </w:p>
    <w:p w14:paraId="4C4CD8E4" w14:textId="0DB3C6A8" w:rsidR="00E365E1" w:rsidRPr="0029122D" w:rsidRDefault="00E365E1" w:rsidP="00511625"/>
    <w:sectPr w:rsidR="00E365E1" w:rsidRPr="0029122D" w:rsidSect="001676B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47D6C" w14:textId="77777777" w:rsidR="00511625" w:rsidRPr="001676BB" w:rsidRDefault="00511625">
      <w:r w:rsidRPr="001676BB">
        <w:separator/>
      </w:r>
    </w:p>
  </w:endnote>
  <w:endnote w:type="continuationSeparator" w:id="0">
    <w:p w14:paraId="6B80AEE6" w14:textId="77777777" w:rsidR="00511625" w:rsidRPr="001676BB" w:rsidRDefault="00511625">
      <w:r w:rsidRPr="001676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05041" w14:textId="77777777" w:rsidR="00064002" w:rsidRPr="001676B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AE60F" w14:textId="77777777" w:rsidR="00064002" w:rsidRPr="001676B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088A2" w14:textId="77777777" w:rsidR="00064002" w:rsidRPr="001676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5C13A" w14:textId="77777777" w:rsidR="00511625" w:rsidRPr="001676BB" w:rsidRDefault="00511625">
      <w:r w:rsidRPr="001676BB">
        <w:separator/>
      </w:r>
    </w:p>
  </w:footnote>
  <w:footnote w:type="continuationSeparator" w:id="0">
    <w:p w14:paraId="2E563176" w14:textId="77777777" w:rsidR="00511625" w:rsidRPr="001676BB" w:rsidRDefault="00511625">
      <w:r w:rsidRPr="001676BB">
        <w:continuationSeparator/>
      </w:r>
    </w:p>
  </w:footnote>
  <w:footnote w:id="1">
    <w:p w14:paraId="4C8C0282" w14:textId="440C7076" w:rsidR="007B7212" w:rsidRPr="001676BB" w:rsidRDefault="007B7212" w:rsidP="001676BB">
      <w:pPr>
        <w:pStyle w:val="FootnoteText"/>
        <w:ind w:left="567" w:hanging="567"/>
        <w:rPr>
          <w:sz w:val="24"/>
          <w:lang w:val="lv-LV"/>
        </w:rPr>
      </w:pPr>
      <w:r w:rsidRPr="001676BB">
        <w:rPr>
          <w:rStyle w:val="FootnoteReference"/>
          <w:sz w:val="24"/>
          <w:lang w:val="lv-LV"/>
        </w:rPr>
        <w:footnoteRef/>
      </w:r>
      <w:r w:rsidR="001676BB" w:rsidRPr="001676BB">
        <w:rPr>
          <w:sz w:val="24"/>
          <w:lang w:val="lv-LV"/>
        </w:rPr>
        <w:t xml:space="preserve"> </w:t>
      </w:r>
      <w:r w:rsidR="001676BB" w:rsidRPr="001676BB">
        <w:rPr>
          <w:sz w:val="24"/>
          <w:lang w:val="lv-LV"/>
        </w:rPr>
        <w:tab/>
      </w:r>
      <w:r w:rsidRPr="001676BB">
        <w:rPr>
          <w:sz w:val="24"/>
          <w:lang w:val="lv-LV"/>
        </w:rPr>
        <w:t>OV L 268, 18.10.2003., 1. lpp., ELI: </w:t>
      </w:r>
      <w:hyperlink r:id="rId1" w:history="1">
        <w:r w:rsidRPr="001676BB">
          <w:rPr>
            <w:rStyle w:val="Hyperlink"/>
            <w:sz w:val="24"/>
            <w:lang w:val="lv-LV"/>
          </w:rPr>
          <w:t>http://data.europa.eu/eli/reg/2003/1829/oj</w:t>
        </w:r>
      </w:hyperlink>
      <w:r w:rsidRPr="001676BB">
        <w:rPr>
          <w:sz w:val="24"/>
          <w:u w:val="single"/>
          <w:lang w:val="lv-LV"/>
        </w:rPr>
        <w:t>.</w:t>
      </w:r>
    </w:p>
  </w:footnote>
  <w:footnote w:id="2">
    <w:p w14:paraId="32491DC1" w14:textId="1B4B63B2" w:rsidR="007B7212" w:rsidRPr="001676BB" w:rsidRDefault="007B7212" w:rsidP="001676BB">
      <w:pPr>
        <w:pStyle w:val="FootnoteText"/>
        <w:ind w:left="567" w:hanging="567"/>
        <w:rPr>
          <w:sz w:val="24"/>
          <w:lang w:val="lv-LV"/>
        </w:rPr>
      </w:pPr>
      <w:r w:rsidRPr="001676BB">
        <w:rPr>
          <w:rStyle w:val="FootnoteReference"/>
          <w:sz w:val="24"/>
          <w:lang w:val="lv-LV"/>
        </w:rPr>
        <w:footnoteRef/>
      </w:r>
      <w:r w:rsidR="001676BB" w:rsidRPr="001676BB">
        <w:rPr>
          <w:sz w:val="24"/>
          <w:lang w:val="lv-LV"/>
        </w:rPr>
        <w:t xml:space="preserve"> </w:t>
      </w:r>
      <w:r w:rsidR="001676BB" w:rsidRPr="001676BB">
        <w:rPr>
          <w:sz w:val="24"/>
          <w:lang w:val="lv-LV"/>
        </w:rPr>
        <w:tab/>
      </w:r>
      <w:r w:rsidRPr="001676BB">
        <w:rPr>
          <w:sz w:val="24"/>
          <w:lang w:val="lv-LV"/>
        </w:rPr>
        <w:t>OV L 55, 28.2.2011., 13. lpp., ELI: </w:t>
      </w:r>
      <w:hyperlink r:id="rId2" w:history="1">
        <w:r w:rsidRPr="001676BB">
          <w:rPr>
            <w:rStyle w:val="Hyperlink"/>
            <w:sz w:val="24"/>
            <w:lang w:val="lv-LV"/>
          </w:rPr>
          <w:t>http://data.europa.eu/eli/reg/2011/182/oj</w:t>
        </w:r>
      </w:hyperlink>
      <w:r w:rsidRPr="001676BB">
        <w:rPr>
          <w:rStyle w:val="Hyperlink"/>
          <w:sz w:val="24"/>
          <w:lang w:val="lv-LV"/>
        </w:rPr>
        <w:t>.</w:t>
      </w:r>
    </w:p>
  </w:footnote>
  <w:footnote w:id="3">
    <w:p w14:paraId="3A073780" w14:textId="25A5DD9C" w:rsidR="007B7212" w:rsidRPr="001676BB" w:rsidRDefault="007B7212" w:rsidP="001676BB">
      <w:pPr>
        <w:pStyle w:val="FootnoteText"/>
        <w:ind w:left="567" w:hanging="567"/>
        <w:rPr>
          <w:sz w:val="24"/>
          <w:lang w:val="lv-LV"/>
        </w:rPr>
      </w:pPr>
      <w:r w:rsidRPr="001676BB">
        <w:rPr>
          <w:rStyle w:val="FootnoteReference"/>
          <w:sz w:val="24"/>
          <w:lang w:val="lv-LV"/>
        </w:rPr>
        <w:footnoteRef/>
      </w:r>
      <w:r w:rsidR="001676BB" w:rsidRPr="001676BB">
        <w:rPr>
          <w:sz w:val="24"/>
          <w:lang w:val="lv-LV"/>
        </w:rPr>
        <w:t xml:space="preserve"> </w:t>
      </w:r>
      <w:r w:rsidR="001676BB" w:rsidRPr="001676BB">
        <w:rPr>
          <w:sz w:val="24"/>
          <w:lang w:val="lv-LV"/>
        </w:rPr>
        <w:tab/>
      </w:r>
      <w:r w:rsidRPr="001676BB">
        <w:rPr>
          <w:sz w:val="24"/>
          <w:lang w:val="lv-LV"/>
        </w:rPr>
        <w:t>EFSA Ekspertu grupas ģenētiski modificētu organismu jautājumos zinātniskais atzinums par dokumentu “</w:t>
      </w:r>
      <w:r w:rsidRPr="001676BB">
        <w:rPr>
          <w:i/>
          <w:iCs/>
          <w:sz w:val="24"/>
          <w:lang w:val="lv-LV"/>
        </w:rPr>
        <w:t>Assessment of genetically modified soybean DBN9004 (application EFSA-GMO-BE-2019-165)</w:t>
      </w:r>
      <w:r w:rsidRPr="001676BB">
        <w:rPr>
          <w:sz w:val="24"/>
          <w:lang w:val="lv-LV"/>
        </w:rPr>
        <w:t xml:space="preserve">”, </w:t>
      </w:r>
      <w:r w:rsidRPr="001676BB">
        <w:rPr>
          <w:i/>
          <w:sz w:val="24"/>
          <w:lang w:val="lv-LV"/>
        </w:rPr>
        <w:t>EFSA Journal</w:t>
      </w:r>
      <w:r w:rsidRPr="001676BB">
        <w:rPr>
          <w:sz w:val="24"/>
          <w:lang w:val="lv-LV"/>
        </w:rPr>
        <w:t xml:space="preserve"> 2025, 23(7):e9503, </w:t>
      </w:r>
      <w:hyperlink r:id="rId3" w:history="1">
        <w:r w:rsidRPr="001676BB">
          <w:rPr>
            <w:rStyle w:val="Hyperlink"/>
            <w:sz w:val="24"/>
            <w:lang w:val="lv-LV"/>
          </w:rPr>
          <w:t>https://doi.org/10.2903/j.efsa.2025.9503</w:t>
        </w:r>
      </w:hyperlink>
      <w:r w:rsidRPr="001676BB">
        <w:rPr>
          <w:sz w:val="24"/>
          <w:lang w:val="lv-LV"/>
        </w:rPr>
        <w:t xml:space="preserve">. </w:t>
      </w:r>
    </w:p>
  </w:footnote>
  <w:footnote w:id="4">
    <w:p w14:paraId="41E900CB" w14:textId="1DB60003" w:rsidR="007B7212" w:rsidRPr="001676BB" w:rsidRDefault="007B7212" w:rsidP="001676BB">
      <w:pPr>
        <w:pStyle w:val="FootnoteText"/>
        <w:ind w:left="567" w:hanging="567"/>
        <w:rPr>
          <w:sz w:val="24"/>
          <w:vertAlign w:val="superscript"/>
          <w:lang w:val="lv-LV"/>
        </w:rPr>
      </w:pPr>
      <w:r w:rsidRPr="001676BB">
        <w:rPr>
          <w:rStyle w:val="FootnoteReference"/>
          <w:sz w:val="24"/>
          <w:lang w:val="lv-LV"/>
        </w:rPr>
        <w:footnoteRef/>
      </w:r>
      <w:r w:rsidR="001676BB" w:rsidRPr="001676BB">
        <w:rPr>
          <w:sz w:val="24"/>
          <w:lang w:val="lv-LV"/>
        </w:rPr>
        <w:t xml:space="preserve"> </w:t>
      </w:r>
      <w:r w:rsidR="001676BB" w:rsidRPr="001676BB">
        <w:rPr>
          <w:sz w:val="24"/>
          <w:lang w:val="lv-LV"/>
        </w:rPr>
        <w:tab/>
      </w:r>
      <w:r w:rsidRPr="001676BB">
        <w:rPr>
          <w:sz w:val="24"/>
          <w:lang w:val="lv-LV"/>
        </w:rPr>
        <w:t>Parlaments astotajā sasaukumā pieņēma 36 rezolūcijas un devītajā sasaukumā — 38 rezolūcijas, ar ko iebilda pret atļauju izmantot ĢMO. Turklāt desmitajā sasaukumā Parlaments ir pieņēmis šādas rezolūcijas:</w:t>
      </w:r>
    </w:p>
    <w:p w14:paraId="22D036AD" w14:textId="18B7A935" w:rsidR="007B7212" w:rsidRPr="001676BB" w:rsidRDefault="001676BB" w:rsidP="001676BB">
      <w:pPr>
        <w:pStyle w:val="FootnoteText"/>
        <w:ind w:left="567" w:hanging="567"/>
        <w:rPr>
          <w:sz w:val="24"/>
          <w:vertAlign w:val="superscript"/>
          <w:lang w:val="lv-LV"/>
        </w:rPr>
      </w:pPr>
      <w:r w:rsidRPr="001676BB">
        <w:rPr>
          <w:sz w:val="24"/>
          <w:lang w:val="lv-LV"/>
        </w:rPr>
        <w:t xml:space="preserve"> </w:t>
      </w:r>
      <w:r w:rsidRPr="001676BB">
        <w:rPr>
          <w:sz w:val="24"/>
          <w:lang w:val="lv-LV"/>
        </w:rPr>
        <w:tab/>
      </w:r>
      <w:r w:rsidR="007B7212" w:rsidRPr="001676BB">
        <w:rPr>
          <w:sz w:val="24"/>
          <w:lang w:val="lv-LV"/>
        </w:rPr>
        <w:t>–</w:t>
      </w:r>
      <w:r w:rsidR="007B7212" w:rsidRPr="001676BB">
        <w:rPr>
          <w:sz w:val="24"/>
          <w:lang w:val="lv-LV"/>
        </w:rPr>
        <w:tab/>
        <w:t>Eiropas Parlamenta 2024. gada 26. novembra rezolūcija par Komisijas Īstenošanas lēmumu (ES) 2024/2628, ar kuru atbilstoši Eiropas Parlamenta un Padomes Regulai (EK) Nr. 1829/2003 atjauno atļauju laist tirgū produktus, kas satur ģenētiski modificētu kukurūzu MON 89034 × 1507 × NK603, sastāv vai ir ražoti no tās (OV C, C/2025/1797, 4.4.2025., ELI: </w:t>
      </w:r>
      <w:hyperlink r:id="rId4" w:history="1">
        <w:r w:rsidR="007B7212" w:rsidRPr="001676BB">
          <w:rPr>
            <w:rStyle w:val="Hyperlink"/>
            <w:sz w:val="24"/>
            <w:lang w:val="lv-LV"/>
          </w:rPr>
          <w:t>http://data.europa.eu/eli/C/2025/1797/oj</w:t>
        </w:r>
      </w:hyperlink>
      <w:r w:rsidR="007B7212" w:rsidRPr="001676BB">
        <w:rPr>
          <w:sz w:val="24"/>
          <w:lang w:val="lv-LV"/>
        </w:rPr>
        <w:t>),</w:t>
      </w:r>
    </w:p>
    <w:p w14:paraId="28CE56E7" w14:textId="19F0517C" w:rsidR="007B7212" w:rsidRPr="001676BB" w:rsidRDefault="001676BB" w:rsidP="001676BB">
      <w:pPr>
        <w:pStyle w:val="FootnoteText"/>
        <w:keepNext/>
        <w:ind w:left="567" w:hanging="567"/>
        <w:rPr>
          <w:sz w:val="24"/>
          <w:vertAlign w:val="superscript"/>
          <w:lang w:val="lv-LV"/>
        </w:rPr>
      </w:pPr>
      <w:r w:rsidRPr="001676BB">
        <w:rPr>
          <w:sz w:val="24"/>
          <w:lang w:val="lv-LV"/>
        </w:rPr>
        <w:t xml:space="preserve"> </w:t>
      </w:r>
      <w:r w:rsidRPr="001676BB">
        <w:rPr>
          <w:sz w:val="24"/>
          <w:lang w:val="lv-LV"/>
        </w:rPr>
        <w:tab/>
      </w:r>
      <w:r w:rsidR="007B7212" w:rsidRPr="001676BB">
        <w:rPr>
          <w:sz w:val="24"/>
          <w:lang w:val="lv-LV"/>
        </w:rPr>
        <w:t>–</w:t>
      </w:r>
      <w:r w:rsidR="007B7212" w:rsidRPr="001676BB">
        <w:rPr>
          <w:sz w:val="24"/>
          <w:lang w:val="lv-LV"/>
        </w:rPr>
        <w:tab/>
        <w:t>Eiropas Parlamenta 2024. gada 26. novembra rezolūcija par Komisijas Īstenošanas lēmumu (ES) 2024/2627, ar ko, ievērojot Eiropas Parlamenta un Padomes Regulu (EK) Nr. 1829/2003, atļauj laist tirgū produktus, kas satur ģenētiski modificētu kokvilnu COT102, no tās sastāv vai ir no tās ražoti (OV C, C/2025/1798, 4.4.2025., ELI: </w:t>
      </w:r>
      <w:hyperlink r:id="rId5" w:history="1">
        <w:r w:rsidR="007B7212" w:rsidRPr="001676BB">
          <w:rPr>
            <w:rStyle w:val="Hyperlink"/>
            <w:sz w:val="24"/>
            <w:lang w:val="lv-LV"/>
          </w:rPr>
          <w:t>http://data.europa.eu/eli/C/2025/1798/oj</w:t>
        </w:r>
      </w:hyperlink>
      <w:r w:rsidR="007B7212" w:rsidRPr="001676BB">
        <w:rPr>
          <w:sz w:val="24"/>
          <w:lang w:val="lv-LV"/>
        </w:rPr>
        <w:t>),</w:t>
      </w:r>
    </w:p>
    <w:p w14:paraId="0EE89D69" w14:textId="56FA75B0" w:rsidR="007B7212" w:rsidRPr="001676BB" w:rsidRDefault="001676BB" w:rsidP="001676BB">
      <w:pPr>
        <w:pStyle w:val="FootnoteText"/>
        <w:ind w:left="567" w:hanging="567"/>
        <w:rPr>
          <w:sz w:val="24"/>
          <w:vertAlign w:val="superscript"/>
          <w:lang w:val="lv-LV"/>
        </w:rPr>
      </w:pPr>
      <w:r w:rsidRPr="001676BB">
        <w:rPr>
          <w:sz w:val="24"/>
          <w:lang w:val="lv-LV"/>
        </w:rPr>
        <w:t xml:space="preserve"> </w:t>
      </w:r>
      <w:r w:rsidRPr="001676BB">
        <w:rPr>
          <w:sz w:val="24"/>
          <w:lang w:val="lv-LV"/>
        </w:rPr>
        <w:tab/>
      </w:r>
      <w:r w:rsidR="007B7212" w:rsidRPr="001676BB">
        <w:rPr>
          <w:sz w:val="24"/>
          <w:lang w:val="lv-LV"/>
        </w:rPr>
        <w:t>–</w:t>
      </w:r>
      <w:r w:rsidR="007B7212" w:rsidRPr="001676BB">
        <w:rPr>
          <w:sz w:val="24"/>
          <w:lang w:val="lv-LV"/>
        </w:rPr>
        <w:tab/>
        <w:t>Eiropas Parlamenta 2024. gada 26. novembra rezolūcija par Komisijas Īstenošanas lēmumu (ES) 2024/2629, ar kuru atbilstoši Eiropas Parlamenta un Padomes Regulai (EK) Nr. 1829/2003 atjauno atļauju laist tirgū produktus, kas satur ģenētiski modificētu kukurūzu MON 89034 × 1507 × MON 88017 x 59122 un astoņas tās apakškombinācijas, sastāv vai ir ražoti no tām (OV C, C/2025/1799, 4.4.2025., ELI: </w:t>
      </w:r>
      <w:hyperlink r:id="rId6" w:history="1">
        <w:r w:rsidR="007B7212" w:rsidRPr="001676BB">
          <w:rPr>
            <w:rStyle w:val="Hyperlink"/>
            <w:sz w:val="24"/>
            <w:lang w:val="lv-LV"/>
          </w:rPr>
          <w:t>http://data.europa.eu/eli/C/2025/1799/oj</w:t>
        </w:r>
      </w:hyperlink>
      <w:r w:rsidR="007B7212" w:rsidRPr="001676BB">
        <w:rPr>
          <w:sz w:val="24"/>
          <w:lang w:val="lv-LV"/>
        </w:rPr>
        <w:t>),</w:t>
      </w:r>
    </w:p>
    <w:p w14:paraId="0CEB6F2F" w14:textId="4D25C514" w:rsidR="007B7212" w:rsidRPr="001676BB" w:rsidRDefault="001676BB" w:rsidP="001676BB">
      <w:pPr>
        <w:pStyle w:val="FootnoteText"/>
        <w:ind w:left="567" w:hanging="567"/>
        <w:rPr>
          <w:sz w:val="24"/>
          <w:vertAlign w:val="superscript"/>
          <w:lang w:val="lv-LV"/>
        </w:rPr>
      </w:pPr>
      <w:r w:rsidRPr="001676BB">
        <w:rPr>
          <w:sz w:val="24"/>
          <w:lang w:val="lv-LV"/>
        </w:rPr>
        <w:t xml:space="preserve"> </w:t>
      </w:r>
      <w:r w:rsidRPr="001676BB">
        <w:rPr>
          <w:sz w:val="24"/>
          <w:lang w:val="lv-LV"/>
        </w:rPr>
        <w:tab/>
      </w:r>
      <w:r w:rsidR="007B7212" w:rsidRPr="001676BB">
        <w:rPr>
          <w:sz w:val="24"/>
          <w:lang w:val="lv-LV"/>
        </w:rPr>
        <w:t>–</w:t>
      </w:r>
      <w:r w:rsidR="007B7212" w:rsidRPr="001676BB">
        <w:rPr>
          <w:sz w:val="24"/>
          <w:lang w:val="lv-LV"/>
        </w:rPr>
        <w:tab/>
        <w:t>Eiropas Parlamenta 2024. gada 26. novembra rezolūcija par Komisijas Īstenošanas lēmumu (ES) 2024/1828, ar ko, ievērojot Eiropas Parlamenta un Padomes Regulu (EK) Nr. 1829/2003, atjauno atļauju laist tirgū barību, kura satur ģenētiski modificētu kukurūzu MON 810 vai sastāv no tās, kā arī no šādas kukurūzas ražotus pārtikas un barības produktus, un atceļ Komisijas Īstenošanas lēmumu (ES) 2017/1207 (OV C, C/2025/1800, 4.4.2025., ELI: </w:t>
      </w:r>
      <w:hyperlink r:id="rId7" w:history="1">
        <w:r w:rsidR="007B7212" w:rsidRPr="001676BB">
          <w:rPr>
            <w:rStyle w:val="Hyperlink"/>
            <w:sz w:val="24"/>
            <w:lang w:val="lv-LV"/>
          </w:rPr>
          <w:t>http://data.europa.eu/eli/C/2025/1800/oj</w:t>
        </w:r>
      </w:hyperlink>
      <w:r w:rsidR="007B7212" w:rsidRPr="001676BB">
        <w:rPr>
          <w:sz w:val="24"/>
          <w:lang w:val="lv-LV"/>
        </w:rPr>
        <w:t>),</w:t>
      </w:r>
    </w:p>
    <w:p w14:paraId="3F150DBB" w14:textId="3C54C622" w:rsidR="007B7212" w:rsidRPr="001676BB" w:rsidRDefault="001676BB" w:rsidP="001676BB">
      <w:pPr>
        <w:pStyle w:val="FootnoteText"/>
        <w:ind w:left="567" w:hanging="567"/>
        <w:rPr>
          <w:sz w:val="24"/>
          <w:vertAlign w:val="superscript"/>
          <w:lang w:val="lv-LV"/>
        </w:rPr>
      </w:pPr>
      <w:r w:rsidRPr="001676BB">
        <w:rPr>
          <w:sz w:val="24"/>
          <w:lang w:val="lv-LV"/>
        </w:rPr>
        <w:t xml:space="preserve"> </w:t>
      </w:r>
      <w:r w:rsidRPr="001676BB">
        <w:rPr>
          <w:sz w:val="24"/>
          <w:lang w:val="lv-LV"/>
        </w:rPr>
        <w:tab/>
      </w:r>
      <w:r w:rsidR="007B7212" w:rsidRPr="001676BB">
        <w:rPr>
          <w:sz w:val="24"/>
          <w:lang w:val="lv-LV"/>
        </w:rPr>
        <w:t>–</w:t>
      </w:r>
      <w:r w:rsidR="007B7212" w:rsidRPr="001676BB">
        <w:rPr>
          <w:sz w:val="24"/>
          <w:lang w:val="lv-LV"/>
        </w:rPr>
        <w:tab/>
        <w:t>Eiropas Parlamenta 2024. gada 26. novembra rezolūcija par Komisijas Īstenošanas lēmumu (ES) 2024/1822, ar ko, ievērojot Eiropas Parlamenta un Padomes Regulu (EK) Nr. 1829/2003, atļauj laist tirgū produktus, kas satur ģenētiski modificētu kukurūzu DP915635, sastāv vai ir ražoti no tās (OV C, C/2025/1801, 4.4.2025., ELI: </w:t>
      </w:r>
      <w:hyperlink r:id="rId8" w:history="1">
        <w:r w:rsidR="007B7212" w:rsidRPr="001676BB">
          <w:rPr>
            <w:rStyle w:val="Hyperlink"/>
            <w:sz w:val="24"/>
            <w:lang w:val="lv-LV"/>
          </w:rPr>
          <w:t>http://data.europa.eu/eli/C/2025/1801/oj</w:t>
        </w:r>
      </w:hyperlink>
      <w:r w:rsidR="007B7212" w:rsidRPr="001676BB">
        <w:rPr>
          <w:sz w:val="24"/>
          <w:lang w:val="lv-LV"/>
        </w:rPr>
        <w:t>),</w:t>
      </w:r>
    </w:p>
    <w:p w14:paraId="25BC867E" w14:textId="48E0CDDF" w:rsidR="007B7212" w:rsidRPr="001676BB" w:rsidRDefault="001676BB" w:rsidP="001676BB">
      <w:pPr>
        <w:pStyle w:val="FootnoteText"/>
        <w:ind w:left="567" w:hanging="567"/>
        <w:rPr>
          <w:sz w:val="24"/>
          <w:vertAlign w:val="superscript"/>
          <w:lang w:val="lv-LV"/>
        </w:rPr>
      </w:pPr>
      <w:r w:rsidRPr="001676BB">
        <w:rPr>
          <w:sz w:val="24"/>
          <w:lang w:val="lv-LV"/>
        </w:rPr>
        <w:t xml:space="preserve"> </w:t>
      </w:r>
      <w:r w:rsidRPr="001676BB">
        <w:rPr>
          <w:sz w:val="24"/>
          <w:lang w:val="lv-LV"/>
        </w:rPr>
        <w:tab/>
      </w:r>
      <w:r w:rsidR="007B7212" w:rsidRPr="001676BB">
        <w:rPr>
          <w:sz w:val="24"/>
          <w:lang w:val="lv-LV"/>
        </w:rPr>
        <w:t>–</w:t>
      </w:r>
      <w:r w:rsidR="007B7212" w:rsidRPr="001676BB">
        <w:rPr>
          <w:sz w:val="24"/>
          <w:lang w:val="lv-LV"/>
        </w:rPr>
        <w:tab/>
        <w:t>Eiropas Parlamenta 2024. gada 26. novembra rezolūcija par Komisijas Īstenošanas lēmumu (ES) 2024/1826, ar ko, ievērojot Eiropas Parlamenta un Padomes Regulu (EK) Nr. 1829/2003, atļauj laist tirgū produktus, kas satur ģenētiski modificētu kukurūzu DP23211, sastāv vai ir ražoti no tās (OV C, C/2025/1802, 4.4.2025., ELI: </w:t>
      </w:r>
      <w:hyperlink r:id="rId9" w:history="1">
        <w:r w:rsidR="007B7212" w:rsidRPr="001676BB">
          <w:rPr>
            <w:rStyle w:val="Hyperlink"/>
            <w:sz w:val="24"/>
            <w:lang w:val="lv-LV"/>
          </w:rPr>
          <w:t>http://data.europa.eu/eli/C/2025/1802/oj</w:t>
        </w:r>
      </w:hyperlink>
      <w:r w:rsidR="007B7212" w:rsidRPr="001676BB">
        <w:rPr>
          <w:sz w:val="24"/>
          <w:lang w:val="lv-LV"/>
        </w:rPr>
        <w:t>),</w:t>
      </w:r>
    </w:p>
    <w:p w14:paraId="4C805528" w14:textId="79DD3DA9" w:rsidR="007B7212" w:rsidRPr="001676BB" w:rsidRDefault="001676BB" w:rsidP="001676BB">
      <w:pPr>
        <w:pStyle w:val="FootnoteText"/>
        <w:ind w:left="567" w:hanging="567"/>
        <w:rPr>
          <w:sz w:val="24"/>
          <w:vertAlign w:val="superscript"/>
          <w:lang w:val="lv-LV"/>
        </w:rPr>
      </w:pPr>
      <w:r w:rsidRPr="001676BB">
        <w:rPr>
          <w:sz w:val="24"/>
          <w:lang w:val="lv-LV"/>
        </w:rPr>
        <w:t xml:space="preserve"> </w:t>
      </w:r>
      <w:r w:rsidRPr="001676BB">
        <w:rPr>
          <w:sz w:val="24"/>
          <w:lang w:val="lv-LV"/>
        </w:rPr>
        <w:tab/>
      </w:r>
      <w:r w:rsidR="007B7212" w:rsidRPr="001676BB">
        <w:rPr>
          <w:sz w:val="24"/>
          <w:lang w:val="lv-LV"/>
        </w:rPr>
        <w:t>–</w:t>
      </w:r>
      <w:r w:rsidR="007B7212" w:rsidRPr="001676BB">
        <w:rPr>
          <w:sz w:val="24"/>
          <w:lang w:val="lv-LV"/>
        </w:rPr>
        <w:tab/>
        <w:t>Eiropas Parlamenta 2024. gada 26. novembra rezolūcija par Komisijas Īstenošanas lēmumu (ES) 2024/2618, ar ko, ievērojot Eiropas Parlamenta un Padomes Regulu (EK) Nr. 1829/2003, atļauj laist tirgū produktus, kas satur ģenētiski modificētu kukurūzu DP202216, sastāv vai ir ražoti no tās (OV C, C/2025/1803, 4.4.2025., ELI: </w:t>
      </w:r>
      <w:hyperlink r:id="rId10" w:history="1">
        <w:r w:rsidR="007B7212" w:rsidRPr="001676BB">
          <w:rPr>
            <w:rStyle w:val="Hyperlink"/>
            <w:sz w:val="24"/>
            <w:lang w:val="lv-LV"/>
          </w:rPr>
          <w:t>http://data.europa.eu/eli/C/2025/1803/oj</w:t>
        </w:r>
      </w:hyperlink>
      <w:r w:rsidR="007B7212" w:rsidRPr="001676BB">
        <w:rPr>
          <w:sz w:val="24"/>
          <w:lang w:val="lv-LV"/>
        </w:rPr>
        <w:t>),</w:t>
      </w:r>
    </w:p>
    <w:p w14:paraId="724FC103" w14:textId="2EBB5B5E" w:rsidR="007B7212" w:rsidRPr="001676BB" w:rsidRDefault="001676BB" w:rsidP="001676BB">
      <w:pPr>
        <w:pStyle w:val="FootnoteText"/>
        <w:ind w:left="567" w:hanging="567"/>
        <w:rPr>
          <w:sz w:val="24"/>
          <w:vertAlign w:val="superscript"/>
          <w:lang w:val="lv-LV"/>
        </w:rPr>
      </w:pPr>
      <w:r w:rsidRPr="001676BB">
        <w:rPr>
          <w:sz w:val="24"/>
          <w:lang w:val="lv-LV"/>
        </w:rPr>
        <w:t xml:space="preserve"> </w:t>
      </w:r>
      <w:r w:rsidRPr="001676BB">
        <w:rPr>
          <w:sz w:val="24"/>
          <w:lang w:val="lv-LV"/>
        </w:rPr>
        <w:tab/>
      </w:r>
      <w:r w:rsidR="007B7212" w:rsidRPr="001676BB">
        <w:rPr>
          <w:sz w:val="24"/>
          <w:lang w:val="lv-LV"/>
        </w:rPr>
        <w:t>–</w:t>
      </w:r>
      <w:r w:rsidR="007B7212" w:rsidRPr="001676BB">
        <w:rPr>
          <w:sz w:val="24"/>
          <w:lang w:val="lv-LV"/>
        </w:rPr>
        <w:tab/>
        <w:t>Eiropas Parlamenta 2024. gada 26. novembra rezolūcija par projektu Komisijas īstenošanas lēmumam, ar ko, ievērojot Eiropas Parlamenta un Padomes Regulu (EK) Nr. 1829/2003, atļauj laist tirgū produktus, kas satur ģenētiski modificētu kukurūzu MON 94804, sastāv vai ir ražoti no tās (OV C, C/2025/1804, 4.4.2025., ELI: </w:t>
      </w:r>
      <w:hyperlink r:id="rId11" w:history="1">
        <w:r w:rsidR="007B7212" w:rsidRPr="001676BB">
          <w:rPr>
            <w:rStyle w:val="Hyperlink"/>
            <w:sz w:val="24"/>
            <w:lang w:val="lv-LV"/>
          </w:rPr>
          <w:t>http://data.europa.eu/eli/C/2025/1804/oj</w:t>
        </w:r>
      </w:hyperlink>
      <w:r w:rsidR="007B7212" w:rsidRPr="001676BB">
        <w:rPr>
          <w:sz w:val="24"/>
          <w:lang w:val="lv-LV"/>
        </w:rPr>
        <w:t>),</w:t>
      </w:r>
    </w:p>
    <w:p w14:paraId="78AC75FD" w14:textId="58D0C356" w:rsidR="007B7212" w:rsidRPr="001676BB" w:rsidRDefault="001676BB" w:rsidP="001676BB">
      <w:pPr>
        <w:pStyle w:val="FootnoteText"/>
        <w:ind w:left="567" w:hanging="567"/>
        <w:rPr>
          <w:sz w:val="24"/>
          <w:vertAlign w:val="superscript"/>
          <w:lang w:val="lv-LV"/>
        </w:rPr>
      </w:pPr>
      <w:r w:rsidRPr="001676BB">
        <w:rPr>
          <w:sz w:val="24"/>
          <w:lang w:val="lv-LV"/>
        </w:rPr>
        <w:t xml:space="preserve"> </w:t>
      </w:r>
      <w:r w:rsidRPr="001676BB">
        <w:rPr>
          <w:sz w:val="24"/>
          <w:lang w:val="lv-LV"/>
        </w:rPr>
        <w:tab/>
      </w:r>
      <w:r w:rsidR="007B7212" w:rsidRPr="001676BB">
        <w:rPr>
          <w:sz w:val="24"/>
          <w:lang w:val="lv-LV"/>
        </w:rPr>
        <w:t>–</w:t>
      </w:r>
      <w:r w:rsidR="007B7212" w:rsidRPr="001676BB">
        <w:rPr>
          <w:sz w:val="24"/>
          <w:lang w:val="lv-LV"/>
        </w:rPr>
        <w:tab/>
        <w:t>Eiropas Parlamenta 2025. gada 12. februāra rezolūcija par projektu Komisijas īstenošanas lēmumam, ar ko, ievērojot Eiropas Parlamenta un Padomes Regulu (EK) Nr. 1829/2003, atļauj laist tirgū produktus, kas satur ģenētiski modificētu kukurūzu DP910521, no tās sastāv vai ir no tās ražoti (OV C, C/2025/2246, 29.4.2025., ELI: </w:t>
      </w:r>
      <w:hyperlink r:id="rId12" w:tooltip="Nodrošina piekļuvi dokumentam, izmantojot ELI URI." w:history="1">
        <w:r w:rsidR="007B7212" w:rsidRPr="001676BB">
          <w:rPr>
            <w:rStyle w:val="Hyperlink"/>
            <w:sz w:val="24"/>
            <w:lang w:val="lv-LV"/>
          </w:rPr>
          <w:t>http://data.europa.eu/eli/C/2025/2246/oj</w:t>
        </w:r>
      </w:hyperlink>
      <w:r w:rsidR="007B7212" w:rsidRPr="001676BB">
        <w:rPr>
          <w:sz w:val="24"/>
          <w:lang w:val="lv-LV"/>
        </w:rPr>
        <w:t>),</w:t>
      </w:r>
    </w:p>
    <w:p w14:paraId="0B376C51" w14:textId="1E7D199F" w:rsidR="007B7212" w:rsidRPr="001676BB" w:rsidRDefault="001676BB" w:rsidP="001676BB">
      <w:pPr>
        <w:pStyle w:val="FootnoteText"/>
        <w:ind w:left="567" w:hanging="567"/>
        <w:rPr>
          <w:sz w:val="24"/>
          <w:vertAlign w:val="superscript"/>
          <w:lang w:val="lv-LV"/>
        </w:rPr>
      </w:pPr>
      <w:r w:rsidRPr="001676BB">
        <w:rPr>
          <w:sz w:val="24"/>
          <w:lang w:val="lv-LV"/>
        </w:rPr>
        <w:t xml:space="preserve"> </w:t>
      </w:r>
      <w:r w:rsidRPr="001676BB">
        <w:rPr>
          <w:sz w:val="24"/>
          <w:lang w:val="lv-LV"/>
        </w:rPr>
        <w:tab/>
      </w:r>
      <w:r w:rsidR="007B7212" w:rsidRPr="001676BB">
        <w:rPr>
          <w:sz w:val="24"/>
          <w:lang w:val="lv-LV"/>
        </w:rPr>
        <w:t>–</w:t>
      </w:r>
      <w:r w:rsidR="007B7212" w:rsidRPr="001676BB">
        <w:rPr>
          <w:sz w:val="24"/>
          <w:lang w:val="lv-LV"/>
        </w:rPr>
        <w:tab/>
        <w:t>Eiropas Parlamenta 2025. gada 12. februāra rezolūcija par projektu Komisijas īstenošanas lēmumam, ar ko atbilstoši Eiropas Parlamenta un Padomes Regulai (EK) Nr. 1829/2003 atļauj laist tirgū produktus, kas satur ģenētiski modificētu kukurūzu MON 95275, no tās sastāv vai ir no tās ražoti (OV C, C/2025/2247, 29.4.2025., ELI: </w:t>
      </w:r>
      <w:hyperlink r:id="rId13" w:history="1">
        <w:r w:rsidR="007B7212" w:rsidRPr="001676BB">
          <w:rPr>
            <w:rStyle w:val="Hyperlink"/>
            <w:sz w:val="24"/>
            <w:lang w:val="lv-LV"/>
          </w:rPr>
          <w:t>http://data.europa.eu/eli/C/2025/2247/oj</w:t>
        </w:r>
      </w:hyperlink>
      <w:r w:rsidR="007B7212" w:rsidRPr="001676BB">
        <w:rPr>
          <w:sz w:val="24"/>
          <w:lang w:val="lv-LV"/>
        </w:rPr>
        <w:t>),</w:t>
      </w:r>
    </w:p>
    <w:p w14:paraId="68430736" w14:textId="4D645BF3" w:rsidR="007B7212" w:rsidRPr="001676BB" w:rsidRDefault="001676BB" w:rsidP="001676BB">
      <w:pPr>
        <w:pStyle w:val="FootnoteText"/>
        <w:ind w:left="567" w:hanging="567"/>
        <w:rPr>
          <w:sz w:val="24"/>
          <w:vertAlign w:val="superscript"/>
          <w:lang w:val="lv-LV"/>
        </w:rPr>
      </w:pPr>
      <w:r w:rsidRPr="001676BB">
        <w:rPr>
          <w:sz w:val="24"/>
          <w:lang w:val="lv-LV"/>
        </w:rPr>
        <w:t xml:space="preserve"> </w:t>
      </w:r>
      <w:r w:rsidRPr="001676BB">
        <w:rPr>
          <w:sz w:val="24"/>
          <w:lang w:val="lv-LV"/>
        </w:rPr>
        <w:tab/>
      </w:r>
      <w:r w:rsidR="007B7212" w:rsidRPr="001676BB">
        <w:rPr>
          <w:sz w:val="24"/>
          <w:lang w:val="lv-LV"/>
        </w:rPr>
        <w:t>–</w:t>
      </w:r>
      <w:r w:rsidR="007B7212" w:rsidRPr="001676BB">
        <w:rPr>
          <w:sz w:val="24"/>
          <w:lang w:val="lv-LV"/>
        </w:rPr>
        <w:tab/>
        <w:t>Eiropas Parlamenta 2025. gada 8. maija rezolūcija par projektu Komisijas īstenošanas lēmumam, ar ko atbilstoši Eiropas Parlamenta un Padomes Regulai (EK) Nr. 1829/2003 atļauj laist tirgū produktus, kas satur ģenētiski modificētas sojas pupas MON 87705 × MON 87708 × MON 89788, sastāv vai ir ražoti no tām (</w:t>
      </w:r>
      <w:bookmarkStart w:id="9" w:name="_Hlk221628105"/>
      <w:r w:rsidR="00FA1B68" w:rsidRPr="00FA1B68">
        <w:rPr>
          <w:sz w:val="24"/>
          <w:lang w:val="lv-LV"/>
        </w:rPr>
        <w:t>Pieņemtie teksti,</w:t>
      </w:r>
      <w:bookmarkEnd w:id="9"/>
      <w:r w:rsidR="00FA1B68">
        <w:rPr>
          <w:sz w:val="24"/>
          <w:lang w:val="lv-LV"/>
        </w:rPr>
        <w:t xml:space="preserve"> </w:t>
      </w:r>
      <w:r w:rsidR="007B7212" w:rsidRPr="001676BB">
        <w:rPr>
          <w:sz w:val="24"/>
          <w:lang w:val="lv-LV"/>
        </w:rPr>
        <w:t>P10_TA(2025)0106),</w:t>
      </w:r>
    </w:p>
    <w:p w14:paraId="6E788DC3" w14:textId="66877072" w:rsidR="007B7212" w:rsidRPr="001676BB" w:rsidRDefault="001676BB" w:rsidP="001676BB">
      <w:pPr>
        <w:pStyle w:val="FootnoteText"/>
        <w:ind w:left="567" w:hanging="567"/>
        <w:rPr>
          <w:sz w:val="24"/>
          <w:vertAlign w:val="superscript"/>
          <w:lang w:val="lv-LV"/>
        </w:rPr>
      </w:pPr>
      <w:r w:rsidRPr="001676BB">
        <w:rPr>
          <w:sz w:val="24"/>
          <w:lang w:val="lv-LV"/>
        </w:rPr>
        <w:t xml:space="preserve"> </w:t>
      </w:r>
      <w:r w:rsidRPr="001676BB">
        <w:rPr>
          <w:sz w:val="24"/>
          <w:lang w:val="lv-LV"/>
        </w:rPr>
        <w:tab/>
      </w:r>
      <w:r w:rsidR="007B7212" w:rsidRPr="001676BB">
        <w:rPr>
          <w:sz w:val="24"/>
          <w:lang w:val="lv-LV"/>
        </w:rPr>
        <w:t>–</w:t>
      </w:r>
      <w:r w:rsidR="007B7212" w:rsidRPr="001676BB">
        <w:rPr>
          <w:sz w:val="24"/>
          <w:lang w:val="lv-LV"/>
        </w:rPr>
        <w:tab/>
        <w:t>Eiropas Parlamenta 2025. gada 8. oktobra rezolūcija par Komisijas 2025. gada 22. septembra īstenošanas Lēmumu (ES) 2025/1898, ar ko atbilstoši Eiropas Parlamenta un Padomes Regulai (EK) Nr. 1829/2003 atļauj laist tirgū produktus, kas satur ģenētiski modificētu kukurūzu DP51291, sastāv vai ir ražoti no tās (</w:t>
      </w:r>
      <w:r w:rsidR="00FA1B68" w:rsidRPr="00FA1B68">
        <w:rPr>
          <w:sz w:val="24"/>
          <w:lang w:val="lv-LV"/>
        </w:rPr>
        <w:t>Pieņemtie teksti,</w:t>
      </w:r>
      <w:r w:rsidR="00FA1B68">
        <w:rPr>
          <w:sz w:val="24"/>
          <w:lang w:val="lv-LV"/>
        </w:rPr>
        <w:t xml:space="preserve"> </w:t>
      </w:r>
      <w:r w:rsidR="007B7212" w:rsidRPr="001676BB">
        <w:rPr>
          <w:sz w:val="24"/>
          <w:lang w:val="lv-LV"/>
        </w:rPr>
        <w:t>P10_TA(2025)0222),</w:t>
      </w:r>
    </w:p>
    <w:p w14:paraId="21E3684E" w14:textId="1A9E40EB" w:rsidR="007B7212" w:rsidRPr="001676BB" w:rsidRDefault="001676BB" w:rsidP="001676BB">
      <w:pPr>
        <w:pStyle w:val="FootnoteText"/>
        <w:ind w:left="567" w:hanging="567"/>
        <w:rPr>
          <w:sz w:val="24"/>
          <w:vertAlign w:val="superscript"/>
          <w:lang w:val="lv-LV"/>
        </w:rPr>
      </w:pPr>
      <w:r w:rsidRPr="001676BB">
        <w:rPr>
          <w:sz w:val="24"/>
          <w:lang w:val="lv-LV"/>
        </w:rPr>
        <w:t xml:space="preserve"> </w:t>
      </w:r>
      <w:r w:rsidRPr="001676BB">
        <w:rPr>
          <w:sz w:val="24"/>
          <w:lang w:val="lv-LV"/>
        </w:rPr>
        <w:tab/>
      </w:r>
      <w:r w:rsidR="007B7212" w:rsidRPr="001676BB">
        <w:rPr>
          <w:sz w:val="24"/>
          <w:lang w:val="lv-LV"/>
        </w:rPr>
        <w:t>–</w:t>
      </w:r>
      <w:r w:rsidR="007B7212" w:rsidRPr="001676BB">
        <w:rPr>
          <w:sz w:val="24"/>
          <w:lang w:val="lv-LV"/>
        </w:rPr>
        <w:tab/>
        <w:t>Eiropas Parlamenta 2025. gada 25. novembra rezolūcija par projektu Komisijas īstenošanas lēmumam, ar ko atbilstoši Eiropas Parlamenta un Padomes Regulai (EK) Nr. 1829/2003 atļauj laist tirgū produktus, kas satur ģenētiski modificētu kukurūzu DAS1131, sastāv vai ir ražoti no tās (</w:t>
      </w:r>
      <w:r w:rsidR="00FA1B68" w:rsidRPr="00FA1B68">
        <w:rPr>
          <w:sz w:val="24"/>
          <w:lang w:val="lv-LV"/>
        </w:rPr>
        <w:t>Pieņemtie teksti,</w:t>
      </w:r>
      <w:r w:rsidR="00FA1B68">
        <w:rPr>
          <w:sz w:val="24"/>
          <w:lang w:val="lv-LV"/>
        </w:rPr>
        <w:t xml:space="preserve"> </w:t>
      </w:r>
      <w:r w:rsidR="007B7212" w:rsidRPr="001676BB">
        <w:rPr>
          <w:sz w:val="24"/>
          <w:lang w:val="lv-LV"/>
        </w:rPr>
        <w:t>P10_TA(2025)0288),</w:t>
      </w:r>
    </w:p>
    <w:p w14:paraId="2C25328F" w14:textId="037A174A" w:rsidR="007B7212" w:rsidRPr="001676BB" w:rsidRDefault="001676BB" w:rsidP="001676BB">
      <w:pPr>
        <w:pStyle w:val="FootnoteText"/>
        <w:ind w:left="567" w:hanging="567"/>
        <w:rPr>
          <w:sz w:val="24"/>
          <w:vertAlign w:val="superscript"/>
          <w:lang w:val="lv-LV"/>
        </w:rPr>
      </w:pPr>
      <w:r w:rsidRPr="001676BB">
        <w:rPr>
          <w:sz w:val="24"/>
          <w:lang w:val="lv-LV"/>
        </w:rPr>
        <w:t xml:space="preserve"> </w:t>
      </w:r>
      <w:r w:rsidRPr="001676BB">
        <w:rPr>
          <w:sz w:val="24"/>
          <w:lang w:val="lv-LV"/>
        </w:rPr>
        <w:tab/>
      </w:r>
      <w:r w:rsidR="007B7212" w:rsidRPr="001676BB">
        <w:rPr>
          <w:sz w:val="24"/>
          <w:lang w:val="lv-LV"/>
        </w:rPr>
        <w:t>–</w:t>
      </w:r>
      <w:r w:rsidR="007B7212" w:rsidRPr="001676BB">
        <w:rPr>
          <w:sz w:val="24"/>
          <w:lang w:val="lv-LV"/>
        </w:rPr>
        <w:tab/>
        <w:t>Eiropas Parlamenta 2025. gada 25. novembra rezolūcija par projektu Komisijas īstenošanas lēmumam, ar kuru atbilstoši Eiropas Parlamenta un Padomes Regulai (EK) Nr. 1829/2003 atjauno atļauju laist tirgū produktus, kas satur ģenētiski modificētu kokvilnu MON 88913 (MON-88913-8), sastāv vai ir ražoti no tās (</w:t>
      </w:r>
      <w:r w:rsidR="00FA1B68" w:rsidRPr="00FA1B68">
        <w:rPr>
          <w:sz w:val="24"/>
          <w:lang w:val="lv-LV"/>
        </w:rPr>
        <w:t>Pieņemtie teksti,</w:t>
      </w:r>
      <w:r w:rsidR="00FA1B68">
        <w:rPr>
          <w:sz w:val="24"/>
          <w:lang w:val="lv-LV"/>
        </w:rPr>
        <w:t xml:space="preserve"> </w:t>
      </w:r>
      <w:r w:rsidR="007B7212" w:rsidRPr="001676BB">
        <w:rPr>
          <w:sz w:val="24"/>
          <w:lang w:val="lv-LV"/>
        </w:rPr>
        <w:t>P10_TA(2025)0289),</w:t>
      </w:r>
    </w:p>
    <w:p w14:paraId="2A115099" w14:textId="40211746" w:rsidR="007B7212" w:rsidRPr="001676BB" w:rsidRDefault="001676BB" w:rsidP="001676BB">
      <w:pPr>
        <w:pStyle w:val="FootnoteText"/>
        <w:ind w:left="567" w:hanging="567"/>
        <w:rPr>
          <w:sz w:val="24"/>
          <w:vertAlign w:val="superscript"/>
          <w:lang w:val="lv-LV"/>
        </w:rPr>
      </w:pPr>
      <w:r w:rsidRPr="001676BB">
        <w:rPr>
          <w:sz w:val="24"/>
          <w:lang w:val="lv-LV"/>
        </w:rPr>
        <w:t xml:space="preserve"> </w:t>
      </w:r>
      <w:r w:rsidRPr="001676BB">
        <w:rPr>
          <w:sz w:val="24"/>
          <w:lang w:val="lv-LV"/>
        </w:rPr>
        <w:tab/>
      </w:r>
      <w:r w:rsidR="007B7212" w:rsidRPr="001676BB">
        <w:rPr>
          <w:sz w:val="24"/>
          <w:lang w:val="lv-LV"/>
        </w:rPr>
        <w:t>–</w:t>
      </w:r>
      <w:r w:rsidR="007B7212" w:rsidRPr="001676BB">
        <w:rPr>
          <w:sz w:val="24"/>
          <w:lang w:val="lv-LV"/>
        </w:rPr>
        <w:tab/>
        <w:t>Eiropas Parlamenta 2025. gada 25. novembra rezolūcija par projektu Komisijas īstenošanas lēmumam, ar kuru atbilstoši Eiropas Parlamenta un Padomes Regulai (EK) Nr. 1829/2003 atjauno atļauju laist tirgū produktus, kas satur ģenētiski modificētu eļļas rapsi MON 88302, sastāv vai ir ražoti no tā (</w:t>
      </w:r>
      <w:r w:rsidR="00FA1B68" w:rsidRPr="00FA1B68">
        <w:rPr>
          <w:sz w:val="24"/>
          <w:lang w:val="lv-LV"/>
        </w:rPr>
        <w:t>Pieņemtie teksti,</w:t>
      </w:r>
      <w:r w:rsidR="00FA1B68">
        <w:rPr>
          <w:sz w:val="24"/>
          <w:lang w:val="lv-LV"/>
        </w:rPr>
        <w:t xml:space="preserve"> </w:t>
      </w:r>
      <w:r w:rsidR="007B7212" w:rsidRPr="001676BB">
        <w:rPr>
          <w:sz w:val="24"/>
          <w:lang w:val="lv-LV"/>
        </w:rPr>
        <w:t>P10_TA(2025)0290),</w:t>
      </w:r>
    </w:p>
    <w:p w14:paraId="754DBD58" w14:textId="0CDAE590" w:rsidR="007B7212" w:rsidRPr="001676BB" w:rsidRDefault="001676BB" w:rsidP="001676BB">
      <w:pPr>
        <w:pStyle w:val="FootnoteText"/>
        <w:ind w:left="567" w:hanging="567"/>
        <w:rPr>
          <w:sz w:val="24"/>
          <w:vertAlign w:val="superscript"/>
          <w:lang w:val="lv-LV"/>
        </w:rPr>
      </w:pPr>
      <w:r w:rsidRPr="001676BB">
        <w:rPr>
          <w:sz w:val="24"/>
          <w:lang w:val="lv-LV"/>
        </w:rPr>
        <w:t xml:space="preserve"> </w:t>
      </w:r>
      <w:r w:rsidRPr="001676BB">
        <w:rPr>
          <w:sz w:val="24"/>
          <w:lang w:val="lv-LV"/>
        </w:rPr>
        <w:tab/>
      </w:r>
      <w:r w:rsidR="007B7212" w:rsidRPr="001676BB">
        <w:rPr>
          <w:sz w:val="24"/>
          <w:lang w:val="lv-LV"/>
        </w:rPr>
        <w:t>–</w:t>
      </w:r>
      <w:r w:rsidR="007B7212" w:rsidRPr="001676BB">
        <w:rPr>
          <w:sz w:val="24"/>
          <w:lang w:val="lv-LV"/>
        </w:rPr>
        <w:tab/>
        <w:t>Eiropas Parlamenta 2025. gada 25. novembra rezolūcija par Komisijas īstenošanas lēmumu, ar kuru atbilstoši Eiropas Parlamenta un Padomes Regulai (EK) Nr. 1829/2003 atjauno atļauju laist tirgū produktus, kas satur ģenētiski modificētas sojas pupas MON 87708, sastāv vai ir ražoti no tām (</w:t>
      </w:r>
      <w:r w:rsidR="00FA1B68" w:rsidRPr="00FA1B68">
        <w:rPr>
          <w:sz w:val="24"/>
          <w:lang w:val="lv-LV"/>
        </w:rPr>
        <w:t>Pieņemtie teksti,</w:t>
      </w:r>
      <w:r w:rsidR="00FA1B68">
        <w:rPr>
          <w:sz w:val="24"/>
          <w:lang w:val="lv-LV"/>
        </w:rPr>
        <w:t xml:space="preserve"> </w:t>
      </w:r>
      <w:r w:rsidR="007B7212" w:rsidRPr="001676BB">
        <w:rPr>
          <w:sz w:val="24"/>
          <w:lang w:val="lv-LV"/>
        </w:rPr>
        <w:t>P10_TA(2025)0291),</w:t>
      </w:r>
    </w:p>
    <w:p w14:paraId="4265C8E9" w14:textId="04DB319D" w:rsidR="007B7212" w:rsidRPr="001676BB" w:rsidRDefault="001676BB" w:rsidP="001676BB">
      <w:pPr>
        <w:pStyle w:val="FootnoteText"/>
        <w:ind w:left="567" w:hanging="567"/>
        <w:rPr>
          <w:sz w:val="24"/>
          <w:vertAlign w:val="superscript"/>
          <w:lang w:val="lv-LV"/>
        </w:rPr>
      </w:pPr>
      <w:r w:rsidRPr="001676BB">
        <w:rPr>
          <w:sz w:val="24"/>
          <w:lang w:val="lv-LV"/>
        </w:rPr>
        <w:t xml:space="preserve"> </w:t>
      </w:r>
      <w:r w:rsidRPr="001676BB">
        <w:rPr>
          <w:sz w:val="24"/>
          <w:lang w:val="lv-LV"/>
        </w:rPr>
        <w:tab/>
      </w:r>
      <w:r w:rsidR="007B7212" w:rsidRPr="001676BB">
        <w:rPr>
          <w:sz w:val="24"/>
          <w:lang w:val="lv-LV"/>
        </w:rPr>
        <w:t>–</w:t>
      </w:r>
      <w:r w:rsidR="007B7212" w:rsidRPr="001676BB">
        <w:rPr>
          <w:sz w:val="24"/>
          <w:lang w:val="lv-LV"/>
        </w:rPr>
        <w:tab/>
        <w:t>Eiropas Parlamenta 2025. gada 25. novembra rezolūcija par projektu Komisijas īstenošanas lēmumam, ar kuru atbilstoši Eiropas Parlamenta un Padomes Regulai (EK) Nr. 1829/2003 atjauno atļauju laist tirgū produktus, kas satur ģenētiski modificētu kukurūzu MON 87427, sastāv vai ir ražoti no tās (</w:t>
      </w:r>
      <w:r w:rsidR="00FA1B68" w:rsidRPr="00FA1B68">
        <w:rPr>
          <w:sz w:val="24"/>
          <w:lang w:val="lv-LV"/>
        </w:rPr>
        <w:t>Pieņemtie teksti,</w:t>
      </w:r>
      <w:r w:rsidR="00FA1B68">
        <w:rPr>
          <w:sz w:val="24"/>
          <w:lang w:val="lv-LV"/>
        </w:rPr>
        <w:t xml:space="preserve"> </w:t>
      </w:r>
      <w:r w:rsidR="007B7212" w:rsidRPr="001676BB">
        <w:rPr>
          <w:sz w:val="24"/>
          <w:lang w:val="lv-LV"/>
        </w:rPr>
        <w:t>P10_TA(2025)0292),</w:t>
      </w:r>
    </w:p>
    <w:p w14:paraId="55D97ADE" w14:textId="0A185FFC" w:rsidR="007B7212" w:rsidRPr="001676BB" w:rsidRDefault="001676BB" w:rsidP="001676BB">
      <w:pPr>
        <w:pStyle w:val="FootnoteText"/>
        <w:ind w:left="567" w:hanging="567"/>
        <w:rPr>
          <w:sz w:val="24"/>
          <w:vertAlign w:val="superscript"/>
          <w:lang w:val="lv-LV"/>
        </w:rPr>
      </w:pPr>
      <w:r w:rsidRPr="001676BB">
        <w:rPr>
          <w:sz w:val="24"/>
          <w:lang w:val="lv-LV"/>
        </w:rPr>
        <w:t xml:space="preserve"> </w:t>
      </w:r>
      <w:r w:rsidRPr="001676BB">
        <w:rPr>
          <w:sz w:val="24"/>
          <w:lang w:val="lv-LV"/>
        </w:rPr>
        <w:tab/>
      </w:r>
      <w:r w:rsidR="007B7212" w:rsidRPr="001676BB">
        <w:rPr>
          <w:sz w:val="24"/>
          <w:lang w:val="lv-LV"/>
        </w:rPr>
        <w:t>–</w:t>
      </w:r>
      <w:r w:rsidR="007B7212" w:rsidRPr="001676BB">
        <w:rPr>
          <w:sz w:val="24"/>
          <w:lang w:val="lv-LV"/>
        </w:rPr>
        <w:tab/>
        <w:t>Eiropas Parlamenta 2025. gada 16. decembra rezolūcija par projektu Komisijas īstenošanas lēmumam, ar kuru atbilstoši Eiropas Parlamenta un Padomes Regulai (EK) Nr. 1829/2003 atjauno atļauju laist tirgū produktus, kas satur ģenētiski modificētu kukurūzu NK603, sastāv vai ir ražoti no tās (</w:t>
      </w:r>
      <w:r w:rsidR="00FA1B68" w:rsidRPr="00FA1B68">
        <w:rPr>
          <w:sz w:val="24"/>
          <w:lang w:val="lv-LV"/>
        </w:rPr>
        <w:t>Pieņemtie teksti,</w:t>
      </w:r>
      <w:r w:rsidR="00FA1B68">
        <w:rPr>
          <w:sz w:val="24"/>
          <w:lang w:val="lv-LV"/>
        </w:rPr>
        <w:t xml:space="preserve"> </w:t>
      </w:r>
      <w:r w:rsidR="007B7212" w:rsidRPr="001676BB">
        <w:rPr>
          <w:sz w:val="24"/>
          <w:lang w:val="lv-LV"/>
        </w:rPr>
        <w:t>P10_TA(2025)0327),</w:t>
      </w:r>
    </w:p>
    <w:p w14:paraId="134B89E4" w14:textId="2122E2A5" w:rsidR="007B7212" w:rsidRPr="001676BB" w:rsidRDefault="001676BB" w:rsidP="001676BB">
      <w:pPr>
        <w:pStyle w:val="FootnoteText"/>
        <w:ind w:left="567" w:hanging="567"/>
        <w:rPr>
          <w:sz w:val="24"/>
          <w:lang w:val="lv-LV"/>
        </w:rPr>
      </w:pPr>
      <w:r w:rsidRPr="001676BB">
        <w:rPr>
          <w:sz w:val="24"/>
          <w:lang w:val="lv-LV"/>
        </w:rPr>
        <w:t xml:space="preserve"> </w:t>
      </w:r>
      <w:r w:rsidRPr="001676BB">
        <w:rPr>
          <w:sz w:val="24"/>
          <w:lang w:val="lv-LV"/>
        </w:rPr>
        <w:tab/>
      </w:r>
      <w:r w:rsidR="007B7212" w:rsidRPr="001676BB">
        <w:rPr>
          <w:sz w:val="24"/>
          <w:lang w:val="lv-LV"/>
        </w:rPr>
        <w:t>–</w:t>
      </w:r>
      <w:r w:rsidR="007B7212" w:rsidRPr="001676BB">
        <w:rPr>
          <w:sz w:val="24"/>
          <w:lang w:val="lv-LV"/>
        </w:rPr>
        <w:tab/>
        <w:t>Eiropas Parlamenta 2025. gada 16. decembra rezolūcija par projektu Komisijas īstenošanas lēmumam, ar kuru atbilstoši Eiropas Parlamenta un Padomes Regulai (EK) Nr. 1829/2003 atļauj laist tirgū no ģenētiski modificētām cukurbietēm KWS20-1 ražotus pārtikas produktus, pārtikas sastāvdaļas un dzīvnieku barību (</w:t>
      </w:r>
      <w:r w:rsidR="00FA1B68" w:rsidRPr="00FA1B68">
        <w:rPr>
          <w:sz w:val="24"/>
          <w:lang w:val="lv-LV"/>
        </w:rPr>
        <w:t>Pieņemtie teksti,</w:t>
      </w:r>
      <w:r w:rsidR="00FA1B68">
        <w:rPr>
          <w:sz w:val="24"/>
          <w:lang w:val="lv-LV"/>
        </w:rPr>
        <w:t xml:space="preserve"> </w:t>
      </w:r>
      <w:r w:rsidR="007B7212" w:rsidRPr="001676BB">
        <w:rPr>
          <w:sz w:val="24"/>
          <w:lang w:val="lv-LV"/>
        </w:rPr>
        <w:t>P10_TA(2025)0328).</w:t>
      </w:r>
    </w:p>
  </w:footnote>
  <w:footnote w:id="5">
    <w:p w14:paraId="53F5B13D" w14:textId="2C1696D4" w:rsidR="007B7212" w:rsidRPr="001676BB" w:rsidRDefault="007B7212" w:rsidP="001676BB">
      <w:pPr>
        <w:pStyle w:val="FootnoteText"/>
        <w:ind w:left="567" w:hanging="567"/>
        <w:rPr>
          <w:sz w:val="24"/>
          <w:lang w:val="lv-LV"/>
        </w:rPr>
      </w:pPr>
      <w:r w:rsidRPr="001676BB">
        <w:rPr>
          <w:rStyle w:val="FootnoteReference"/>
          <w:sz w:val="24"/>
          <w:lang w:val="lv-LV"/>
        </w:rPr>
        <w:footnoteRef/>
      </w:r>
      <w:r w:rsidR="001676BB" w:rsidRPr="001676BB">
        <w:rPr>
          <w:sz w:val="24"/>
          <w:shd w:val="clear" w:color="auto" w:fill="FFFFFF"/>
          <w:lang w:val="lv-LV"/>
        </w:rPr>
        <w:t xml:space="preserve"> </w:t>
      </w:r>
      <w:r w:rsidR="001676BB" w:rsidRPr="001676BB">
        <w:rPr>
          <w:sz w:val="24"/>
          <w:shd w:val="clear" w:color="auto" w:fill="FFFFFF"/>
          <w:lang w:val="lv-LV"/>
        </w:rPr>
        <w:tab/>
      </w:r>
      <w:r w:rsidRPr="001676BB">
        <w:rPr>
          <w:sz w:val="24"/>
          <w:shd w:val="clear" w:color="auto" w:fill="FFFFFF"/>
          <w:lang w:val="lv-LV"/>
        </w:rPr>
        <w:t xml:space="preserve">Sk., piemēram, </w:t>
      </w:r>
      <w:r w:rsidRPr="001676BB">
        <w:rPr>
          <w:i/>
          <w:iCs/>
          <w:sz w:val="24"/>
          <w:shd w:val="clear" w:color="auto" w:fill="FFFFFF"/>
          <w:lang w:val="lv-LV"/>
        </w:rPr>
        <w:t>Bonny, S.</w:t>
      </w:r>
      <w:r w:rsidRPr="001676BB">
        <w:rPr>
          <w:sz w:val="24"/>
          <w:shd w:val="clear" w:color="auto" w:fill="FFFFFF"/>
          <w:lang w:val="lv-LV"/>
        </w:rPr>
        <w:t>, “</w:t>
      </w:r>
      <w:r w:rsidRPr="001676BB">
        <w:rPr>
          <w:i/>
          <w:iCs/>
          <w:sz w:val="24"/>
          <w:shd w:val="clear" w:color="auto" w:fill="FFFFFF"/>
          <w:lang w:val="lv-LV"/>
        </w:rPr>
        <w:t>Genetically Modified Herbicide-Tolerant Crops, Weeds, and Herbicides:</w:t>
      </w:r>
      <w:r w:rsidRPr="001676BB">
        <w:rPr>
          <w:sz w:val="24"/>
          <w:shd w:val="clear" w:color="auto" w:fill="FFFFFF"/>
          <w:lang w:val="lv-LV"/>
        </w:rPr>
        <w:t xml:space="preserve"> </w:t>
      </w:r>
      <w:r w:rsidRPr="001676BB">
        <w:rPr>
          <w:i/>
          <w:iCs/>
          <w:sz w:val="24"/>
          <w:shd w:val="clear" w:color="auto" w:fill="FFFFFF"/>
          <w:lang w:val="lv-LV"/>
        </w:rPr>
        <w:t>Overview and Impact</w:t>
      </w:r>
      <w:r w:rsidRPr="001676BB">
        <w:rPr>
          <w:sz w:val="24"/>
          <w:shd w:val="clear" w:color="auto" w:fill="FFFFFF"/>
          <w:lang w:val="lv-LV"/>
        </w:rPr>
        <w:t xml:space="preserve">”, </w:t>
      </w:r>
      <w:r w:rsidRPr="001676BB">
        <w:rPr>
          <w:i/>
          <w:sz w:val="24"/>
          <w:shd w:val="clear" w:color="auto" w:fill="FFFFFF"/>
          <w:lang w:val="lv-LV"/>
        </w:rPr>
        <w:t>Environmental Management</w:t>
      </w:r>
      <w:r w:rsidRPr="001676BB">
        <w:rPr>
          <w:sz w:val="24"/>
          <w:shd w:val="clear" w:color="auto" w:fill="FFFFFF"/>
          <w:lang w:val="lv-LV"/>
        </w:rPr>
        <w:t xml:space="preserve">, 2016. gada janvāris, 57(1), 31.–48. lpp., </w:t>
      </w:r>
      <w:hyperlink r:id="rId14" w:history="1">
        <w:r w:rsidRPr="001676BB">
          <w:rPr>
            <w:rStyle w:val="Hyperlink"/>
            <w:sz w:val="24"/>
            <w:shd w:val="clear" w:color="auto" w:fill="FFFFFF"/>
            <w:lang w:val="lv-LV"/>
          </w:rPr>
          <w:t>https://doi.org/10.1007/s00267-015-0589-7</w:t>
        </w:r>
      </w:hyperlink>
      <w:r w:rsidRPr="001676BB">
        <w:rPr>
          <w:sz w:val="24"/>
          <w:shd w:val="clear" w:color="auto" w:fill="FFFFFF"/>
          <w:lang w:val="lv-LV"/>
        </w:rPr>
        <w:t xml:space="preserve"> un </w:t>
      </w:r>
      <w:r w:rsidRPr="001676BB">
        <w:rPr>
          <w:i/>
          <w:iCs/>
          <w:sz w:val="24"/>
          <w:shd w:val="clear" w:color="auto" w:fill="FFFFFF"/>
          <w:lang w:val="lv-LV"/>
        </w:rPr>
        <w:t>Benbrook, C.M.</w:t>
      </w:r>
      <w:r w:rsidRPr="001676BB">
        <w:rPr>
          <w:sz w:val="24"/>
          <w:shd w:val="clear" w:color="auto" w:fill="FFFFFF"/>
          <w:lang w:val="lv-LV"/>
        </w:rPr>
        <w:t>, “</w:t>
      </w:r>
      <w:r w:rsidRPr="001676BB">
        <w:rPr>
          <w:i/>
          <w:iCs/>
          <w:sz w:val="24"/>
          <w:shd w:val="clear" w:color="auto" w:fill="FFFFFF"/>
          <w:lang w:val="lv-LV"/>
        </w:rPr>
        <w:t>Impacts of genetically engineered crops on pesticide use in the U.S. – the first sixteen years</w:t>
      </w:r>
      <w:r w:rsidRPr="001676BB">
        <w:rPr>
          <w:sz w:val="24"/>
          <w:shd w:val="clear" w:color="auto" w:fill="FFFFFF"/>
          <w:lang w:val="lv-LV"/>
        </w:rPr>
        <w:t xml:space="preserve">”, </w:t>
      </w:r>
      <w:r w:rsidRPr="001676BB">
        <w:rPr>
          <w:i/>
          <w:sz w:val="24"/>
          <w:shd w:val="clear" w:color="auto" w:fill="FFFFFF"/>
          <w:lang w:val="lv-LV"/>
        </w:rPr>
        <w:t>Environmental Sciences Europe</w:t>
      </w:r>
      <w:r w:rsidRPr="001676BB">
        <w:rPr>
          <w:sz w:val="24"/>
          <w:shd w:val="clear" w:color="auto" w:fill="FFFFFF"/>
          <w:lang w:val="lv-LV"/>
        </w:rPr>
        <w:t xml:space="preserve">; 2012. gada 28. septembris, 24(1), </w:t>
      </w:r>
      <w:hyperlink r:id="rId15" w:history="1">
        <w:r w:rsidRPr="001676BB">
          <w:rPr>
            <w:rStyle w:val="Hyperlink"/>
            <w:sz w:val="24"/>
            <w:lang w:val="lv-LV"/>
          </w:rPr>
          <w:t>https://doi.org/10.1186/2190-4715-24-24</w:t>
        </w:r>
      </w:hyperlink>
      <w:r w:rsidRPr="001676BB">
        <w:rPr>
          <w:sz w:val="24"/>
          <w:lang w:val="lv-LV"/>
        </w:rPr>
        <w:t>.</w:t>
      </w:r>
      <w:r w:rsidRPr="001676BB">
        <w:rPr>
          <w:sz w:val="24"/>
          <w:shd w:val="clear" w:color="auto" w:fill="FFFFFF"/>
          <w:lang w:val="lv-LV"/>
        </w:rPr>
        <w:t xml:space="preserve"> </w:t>
      </w:r>
    </w:p>
  </w:footnote>
  <w:footnote w:id="6">
    <w:p w14:paraId="139D60F5" w14:textId="0F8E3C78" w:rsidR="007B7212" w:rsidRPr="001676BB" w:rsidRDefault="007B7212" w:rsidP="001676BB">
      <w:pPr>
        <w:pStyle w:val="FootnoteText"/>
        <w:ind w:left="567" w:hanging="567"/>
        <w:rPr>
          <w:sz w:val="24"/>
          <w:shd w:val="clear" w:color="auto" w:fill="FFFFFF"/>
          <w:lang w:val="lv-LV"/>
        </w:rPr>
      </w:pPr>
      <w:r w:rsidRPr="001676BB">
        <w:rPr>
          <w:rStyle w:val="FootnoteReference"/>
          <w:sz w:val="24"/>
          <w:lang w:val="lv-LV"/>
        </w:rPr>
        <w:footnoteRef/>
      </w:r>
      <w:r w:rsidR="001676BB" w:rsidRPr="001676BB">
        <w:rPr>
          <w:sz w:val="24"/>
          <w:lang w:val="lv-LV"/>
        </w:rPr>
        <w:t xml:space="preserve"> </w:t>
      </w:r>
      <w:r w:rsidR="001676BB" w:rsidRPr="001676BB">
        <w:rPr>
          <w:sz w:val="24"/>
          <w:lang w:val="lv-LV"/>
        </w:rPr>
        <w:tab/>
      </w:r>
      <w:r w:rsidRPr="001676BB">
        <w:rPr>
          <w:sz w:val="24"/>
          <w:lang w:val="lv-LV"/>
        </w:rPr>
        <w:t xml:space="preserve">Sk., piemēram: </w:t>
      </w:r>
      <w:hyperlink r:id="rId16" w:history="1">
        <w:r w:rsidRPr="001676BB">
          <w:rPr>
            <w:rStyle w:val="Hyperlink"/>
            <w:sz w:val="24"/>
            <w:lang w:val="lv-LV"/>
          </w:rPr>
          <w:t>https://doi.org/10.1002/ps.8105</w:t>
        </w:r>
      </w:hyperlink>
      <w:r w:rsidRPr="001676BB">
        <w:rPr>
          <w:sz w:val="24"/>
          <w:shd w:val="clear" w:color="auto" w:fill="FFFFFF"/>
          <w:lang w:val="lv-LV"/>
        </w:rPr>
        <w:t xml:space="preserve"> un </w:t>
      </w:r>
      <w:hyperlink r:id="rId17" w:history="1">
        <w:r w:rsidRPr="001676BB">
          <w:rPr>
            <w:rStyle w:val="Hyperlink"/>
            <w:sz w:val="24"/>
            <w:lang w:val="lv-LV"/>
          </w:rPr>
          <w:t>https://doi.org/10.1016/j.geoforum.2009.03.009</w:t>
        </w:r>
      </w:hyperlink>
      <w:r w:rsidRPr="001676BB">
        <w:rPr>
          <w:sz w:val="24"/>
          <w:lang w:val="lv-LV"/>
        </w:rPr>
        <w:t>.</w:t>
      </w:r>
    </w:p>
  </w:footnote>
  <w:footnote w:id="7">
    <w:p w14:paraId="179D4AC8" w14:textId="2160951E" w:rsidR="007B7212" w:rsidRPr="001676BB" w:rsidRDefault="007B7212" w:rsidP="001676BB">
      <w:pPr>
        <w:pStyle w:val="FootnoteText"/>
        <w:ind w:left="567" w:hanging="567"/>
        <w:rPr>
          <w:sz w:val="24"/>
          <w:lang w:val="lv-LV"/>
        </w:rPr>
      </w:pPr>
      <w:r w:rsidRPr="001676BB">
        <w:rPr>
          <w:rStyle w:val="FootnoteReference"/>
          <w:sz w:val="24"/>
          <w:lang w:val="lv-LV"/>
        </w:rPr>
        <w:footnoteRef/>
      </w:r>
      <w:r w:rsidR="001676BB" w:rsidRPr="001676BB">
        <w:rPr>
          <w:sz w:val="24"/>
          <w:lang w:val="lv-LV"/>
        </w:rPr>
        <w:t xml:space="preserve"> </w:t>
      </w:r>
      <w:r w:rsidR="001676BB" w:rsidRPr="001676BB">
        <w:rPr>
          <w:sz w:val="24"/>
          <w:lang w:val="lv-LV"/>
        </w:rPr>
        <w:tab/>
      </w:r>
      <w:r w:rsidRPr="001676BB">
        <w:rPr>
          <w:sz w:val="24"/>
          <w:lang w:val="lv-LV"/>
        </w:rPr>
        <w:t>Eiropas Parlamenta un Padomes Regula (EK) Nr. 1107/2009 (2009. gada 21. oktobris ) par augu aizsardzības līdzekļu laišanu tirgū, ar ko atceļ Padomes Direktīvas 79/117/EEK un 91/414/EEK (OV L 309, 24.11.2009., 1. lpp., ELI: </w:t>
      </w:r>
      <w:hyperlink r:id="rId18" w:history="1">
        <w:r w:rsidRPr="001676BB">
          <w:rPr>
            <w:rStyle w:val="Hyperlink"/>
            <w:sz w:val="24"/>
            <w:lang w:val="lv-LV"/>
          </w:rPr>
          <w:t>http://data.europa.eu/eli/reg/2009/1107/oj</w:t>
        </w:r>
      </w:hyperlink>
      <w:r w:rsidRPr="001676BB">
        <w:rPr>
          <w:sz w:val="24"/>
          <w:lang w:val="lv-LV"/>
        </w:rPr>
        <w:t>).</w:t>
      </w:r>
    </w:p>
  </w:footnote>
  <w:footnote w:id="8">
    <w:p w14:paraId="084AA1D8" w14:textId="713E1FBF" w:rsidR="007B7212" w:rsidRPr="001676BB" w:rsidRDefault="007B7212" w:rsidP="001676BB">
      <w:pPr>
        <w:pStyle w:val="FootnoteText"/>
        <w:ind w:left="567" w:hanging="567"/>
        <w:rPr>
          <w:sz w:val="24"/>
          <w:lang w:val="lv-LV"/>
        </w:rPr>
      </w:pPr>
      <w:r w:rsidRPr="001676BB">
        <w:rPr>
          <w:rStyle w:val="FootnoteReference"/>
          <w:sz w:val="24"/>
          <w:lang w:val="lv-LV"/>
        </w:rPr>
        <w:footnoteRef/>
      </w:r>
      <w:r w:rsidR="001676BB" w:rsidRPr="001676BB">
        <w:rPr>
          <w:sz w:val="24"/>
          <w:lang w:val="lv-LV"/>
        </w:rPr>
        <w:t xml:space="preserve"> </w:t>
      </w:r>
      <w:r w:rsidR="001676BB" w:rsidRPr="001676BB">
        <w:rPr>
          <w:sz w:val="24"/>
          <w:lang w:val="lv-LV"/>
        </w:rPr>
        <w:tab/>
      </w:r>
      <w:r w:rsidRPr="001676BB">
        <w:rPr>
          <w:sz w:val="24"/>
          <w:lang w:val="lv-LV"/>
        </w:rPr>
        <w:t xml:space="preserve">Sk., piemēram: </w:t>
      </w:r>
      <w:hyperlink r:id="rId19" w:history="1">
        <w:r w:rsidRPr="001676BB">
          <w:rPr>
            <w:rStyle w:val="Hyperlink"/>
            <w:sz w:val="24"/>
            <w:lang w:val="lv-LV"/>
          </w:rPr>
          <w:t>https://doi.org/10.1016/j.mrrev.2019.02.001</w:t>
        </w:r>
      </w:hyperlink>
      <w:r w:rsidRPr="001676BB">
        <w:rPr>
          <w:sz w:val="24"/>
          <w:lang w:val="lv-LV"/>
        </w:rPr>
        <w:t xml:space="preserve">, </w:t>
      </w:r>
      <w:hyperlink r:id="rId20" w:history="1">
        <w:r w:rsidRPr="001676BB">
          <w:rPr>
            <w:rStyle w:val="Hyperlink"/>
            <w:sz w:val="24"/>
            <w:lang w:val="lv-LV"/>
          </w:rPr>
          <w:t>https://doi.org/10.1093/ije/dyz017</w:t>
        </w:r>
      </w:hyperlink>
      <w:r w:rsidRPr="001676BB">
        <w:rPr>
          <w:sz w:val="24"/>
          <w:lang w:val="lv-LV"/>
        </w:rPr>
        <w:t xml:space="preserve">, </w:t>
      </w:r>
      <w:hyperlink r:id="rId21" w:history="1">
        <w:r w:rsidRPr="001676BB">
          <w:rPr>
            <w:rStyle w:val="Hyperlink"/>
            <w:sz w:val="24"/>
            <w:lang w:val="lv-LV"/>
          </w:rPr>
          <w:t>https://doi.org/10.1371/journal.pone.0219610</w:t>
        </w:r>
      </w:hyperlink>
      <w:r w:rsidRPr="001676BB">
        <w:rPr>
          <w:color w:val="0563C1" w:themeColor="hyperlink"/>
          <w:sz w:val="24"/>
          <w:u w:val="single"/>
          <w:lang w:val="lv-LV"/>
        </w:rPr>
        <w:t xml:space="preserve"> </w:t>
      </w:r>
      <w:r w:rsidRPr="001676BB">
        <w:rPr>
          <w:sz w:val="24"/>
          <w:lang w:val="lv-LV"/>
        </w:rPr>
        <w:t xml:space="preserve">un </w:t>
      </w:r>
      <w:hyperlink r:id="rId22" w:history="1">
        <w:r w:rsidRPr="001676BB">
          <w:rPr>
            <w:rStyle w:val="Hyperlink"/>
            <w:sz w:val="24"/>
            <w:lang w:val="lv-LV"/>
          </w:rPr>
          <w:t>https://doi.org/10.1186/s13045-019-0767-9</w:t>
        </w:r>
      </w:hyperlink>
      <w:r w:rsidRPr="001676BB">
        <w:rPr>
          <w:sz w:val="24"/>
          <w:lang w:val="lv-LV"/>
        </w:rPr>
        <w:t>.</w:t>
      </w:r>
    </w:p>
  </w:footnote>
  <w:footnote w:id="9">
    <w:p w14:paraId="322F7E03" w14:textId="0E93EBE2" w:rsidR="007B7212" w:rsidRPr="001676BB" w:rsidRDefault="007B7212" w:rsidP="001676BB">
      <w:pPr>
        <w:pStyle w:val="FootnoteText"/>
        <w:ind w:left="567" w:hanging="567"/>
        <w:rPr>
          <w:sz w:val="24"/>
          <w:lang w:val="lv-LV"/>
        </w:rPr>
      </w:pPr>
      <w:r w:rsidRPr="001676BB">
        <w:rPr>
          <w:rStyle w:val="FootnoteReference"/>
          <w:sz w:val="24"/>
          <w:lang w:val="lv-LV"/>
        </w:rPr>
        <w:footnoteRef/>
      </w:r>
      <w:r w:rsidR="001676BB" w:rsidRPr="001676BB">
        <w:rPr>
          <w:sz w:val="24"/>
          <w:lang w:val="lv-LV"/>
        </w:rPr>
        <w:t xml:space="preserve"> </w:t>
      </w:r>
      <w:r w:rsidR="001676BB" w:rsidRPr="001676BB">
        <w:rPr>
          <w:sz w:val="24"/>
          <w:lang w:val="lv-LV"/>
        </w:rPr>
        <w:tab/>
      </w:r>
      <w:hyperlink r:id="rId23" w:history="1">
        <w:r w:rsidRPr="001676BB">
          <w:rPr>
            <w:rStyle w:val="Hyperlink"/>
            <w:sz w:val="24"/>
            <w:lang w:val="lv-LV"/>
          </w:rPr>
          <w:t>https://doi.org/10.1006/rtph.1999.1371</w:t>
        </w:r>
      </w:hyperlink>
      <w:r w:rsidRPr="001676BB">
        <w:rPr>
          <w:sz w:val="24"/>
          <w:lang w:val="lv-LV"/>
        </w:rPr>
        <w:t xml:space="preserve">. </w:t>
      </w:r>
    </w:p>
  </w:footnote>
  <w:footnote w:id="10">
    <w:p w14:paraId="630208D0" w14:textId="0996ABB7" w:rsidR="007B7212" w:rsidRPr="001676BB" w:rsidRDefault="007B7212" w:rsidP="001676BB">
      <w:pPr>
        <w:pStyle w:val="FootnoteText"/>
        <w:ind w:left="567" w:hanging="567"/>
        <w:rPr>
          <w:sz w:val="24"/>
          <w:lang w:val="lv-LV"/>
        </w:rPr>
      </w:pPr>
      <w:r w:rsidRPr="001676BB">
        <w:rPr>
          <w:rStyle w:val="FootnoteReference"/>
          <w:sz w:val="24"/>
          <w:lang w:val="lv-LV"/>
        </w:rPr>
        <w:footnoteRef/>
      </w:r>
      <w:r w:rsidR="001676BB" w:rsidRPr="001676BB">
        <w:rPr>
          <w:color w:val="000000" w:themeColor="text1"/>
          <w:sz w:val="24"/>
          <w:lang w:val="lv-LV"/>
        </w:rPr>
        <w:t xml:space="preserve"> </w:t>
      </w:r>
      <w:r w:rsidR="001676BB" w:rsidRPr="001676BB">
        <w:rPr>
          <w:color w:val="000000" w:themeColor="text1"/>
          <w:sz w:val="24"/>
          <w:lang w:val="lv-LV"/>
        </w:rPr>
        <w:tab/>
      </w:r>
      <w:r w:rsidRPr="001676BB">
        <w:rPr>
          <w:color w:val="000000" w:themeColor="text1"/>
          <w:sz w:val="24"/>
          <w:lang w:val="lv-LV"/>
        </w:rPr>
        <w:t>2022. gada decembrī Apvienoto Nāciju Organizācijas Konvencijas par bioloģisko daudzveidību Pušu konferences 15. sesijā tika panākta vienošanās par globālo biodaudzveidības satvaru, kas ietver globālu mērķi līdz 2030. gadam vismaz par 50</w:t>
      </w:r>
      <w:r w:rsidRPr="001676BB">
        <w:rPr>
          <w:sz w:val="24"/>
          <w:lang w:val="lv-LV"/>
        </w:rPr>
        <w:t> </w:t>
      </w:r>
      <w:r w:rsidRPr="001676BB">
        <w:rPr>
          <w:color w:val="000000" w:themeColor="text1"/>
          <w:sz w:val="24"/>
          <w:lang w:val="lv-LV"/>
        </w:rPr>
        <w:t xml:space="preserve">% samazināt pesticīdu radīto apdraudējumu (sk.: </w:t>
      </w:r>
      <w:hyperlink r:id="rId24" w:history="1">
        <w:r w:rsidRPr="001676BB">
          <w:rPr>
            <w:rStyle w:val="Hyperlink"/>
            <w:sz w:val="24"/>
            <w:lang w:val="lv-LV"/>
          </w:rPr>
          <w:t>https://ec.europa.eu/commission/presscorner/detail/lv/ip_22_7834</w:t>
        </w:r>
      </w:hyperlink>
      <w:r w:rsidRPr="001676BB">
        <w:rPr>
          <w:sz w:val="24"/>
          <w:lang w:val="lv-LV"/>
        </w:rPr>
        <w:t>).</w:t>
      </w:r>
    </w:p>
  </w:footnote>
  <w:footnote w:id="11">
    <w:p w14:paraId="6018F797" w14:textId="10080065" w:rsidR="007B7212" w:rsidRPr="001676BB" w:rsidRDefault="007B7212" w:rsidP="001676BB">
      <w:pPr>
        <w:pStyle w:val="FootnoteText"/>
        <w:ind w:left="567" w:hanging="567"/>
        <w:rPr>
          <w:sz w:val="24"/>
          <w:lang w:val="lv-LV"/>
        </w:rPr>
      </w:pPr>
      <w:r w:rsidRPr="001676BB">
        <w:rPr>
          <w:rStyle w:val="FootnoteReference"/>
          <w:sz w:val="24"/>
          <w:lang w:val="lv-LV"/>
        </w:rPr>
        <w:footnoteRef/>
      </w:r>
      <w:r w:rsidR="001676BB" w:rsidRPr="001676BB">
        <w:rPr>
          <w:sz w:val="24"/>
          <w:lang w:val="lv-LV"/>
        </w:rPr>
        <w:t xml:space="preserve"> </w:t>
      </w:r>
      <w:r w:rsidR="001676BB" w:rsidRPr="001676BB">
        <w:rPr>
          <w:sz w:val="24"/>
          <w:lang w:val="lv-LV"/>
        </w:rPr>
        <w:tab/>
      </w:r>
      <w:hyperlink r:id="rId25" w:history="1">
        <w:r w:rsidRPr="001676BB">
          <w:rPr>
            <w:rStyle w:val="Hyperlink"/>
            <w:sz w:val="24"/>
            <w:lang w:val="lv-LV"/>
          </w:rPr>
          <w:t>https://commission.europa.eu/topics/agriculture-and-rural-development/strategic-dialogue-future-eu-agriculture_lv</w:t>
        </w:r>
      </w:hyperlink>
      <w:r w:rsidRPr="001676BB">
        <w:rPr>
          <w:rStyle w:val="Hyperlink"/>
          <w:sz w:val="24"/>
          <w:lang w:val="lv-LV"/>
        </w:rPr>
        <w:t>.</w:t>
      </w:r>
      <w:r w:rsidRPr="001676BB">
        <w:rPr>
          <w:sz w:val="24"/>
          <w:lang w:val="lv-LV"/>
        </w:rPr>
        <w:t xml:space="preserve"> </w:t>
      </w:r>
    </w:p>
  </w:footnote>
  <w:footnote w:id="12">
    <w:p w14:paraId="38DF4881" w14:textId="3BDB82CD" w:rsidR="007B7212" w:rsidRPr="001676BB" w:rsidRDefault="007B7212" w:rsidP="001676BB">
      <w:pPr>
        <w:pStyle w:val="FootnoteText"/>
        <w:ind w:left="567" w:hanging="567"/>
        <w:rPr>
          <w:sz w:val="24"/>
          <w:lang w:val="lv-LV"/>
        </w:rPr>
      </w:pPr>
      <w:r w:rsidRPr="001676BB">
        <w:rPr>
          <w:rStyle w:val="FootnoteReference"/>
          <w:sz w:val="24"/>
          <w:lang w:val="lv-LV"/>
        </w:rPr>
        <w:footnoteRef/>
      </w:r>
      <w:r w:rsidR="001676BB" w:rsidRPr="001676BB">
        <w:rPr>
          <w:sz w:val="24"/>
          <w:lang w:val="lv-LV"/>
        </w:rPr>
        <w:t xml:space="preserve"> </w:t>
      </w:r>
      <w:r w:rsidR="001676BB" w:rsidRPr="001676BB">
        <w:rPr>
          <w:sz w:val="24"/>
          <w:lang w:val="lv-LV"/>
        </w:rPr>
        <w:tab/>
      </w:r>
      <w:r w:rsidRPr="001676BB">
        <w:rPr>
          <w:sz w:val="24"/>
          <w:lang w:val="lv-LV"/>
        </w:rPr>
        <w:t>Eiropas Parlamenta un Padomes Regula (EK) Nr. 178/2002 (2002. gada 28. janvāris), ar ko paredz pārtikas aprites tiesību aktu vispārīgus principus un prasības, izveido Eiropas Pārtikas nekaitīguma iestādi un paredz procedūras saistībā ar pārtikas nekaitīgumu (OV L 31, 1.2.2002., 1. lpp.,</w:t>
      </w:r>
      <w:r w:rsidRPr="001676BB">
        <w:rPr>
          <w:color w:val="000000" w:themeColor="text1"/>
          <w:sz w:val="24"/>
          <w:lang w:val="lv-LV"/>
        </w:rPr>
        <w:t xml:space="preserve"> ELI: </w:t>
      </w:r>
      <w:hyperlink r:id="rId26" w:tgtFrame="Gives access to this document through its ELI URI." w:history="1">
        <w:r w:rsidRPr="001676BB">
          <w:rPr>
            <w:rStyle w:val="Hyperlink"/>
            <w:color w:val="0070C0"/>
            <w:sz w:val="24"/>
            <w:lang w:val="lv-LV"/>
          </w:rPr>
          <w:t>http://data.europa.eu/eli/reg/2002/178/oj</w:t>
        </w:r>
      </w:hyperlink>
      <w:r w:rsidRPr="001676BB">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202AD" w14:textId="77777777" w:rsidR="00064002" w:rsidRPr="001676B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7993" w14:textId="77777777" w:rsidR="00064002" w:rsidRPr="001676B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C9582" w14:textId="77777777" w:rsidR="00064002" w:rsidRPr="001676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0598551">
    <w:abstractNumId w:val="9"/>
  </w:num>
  <w:num w:numId="2" w16cid:durableId="1581403105">
    <w:abstractNumId w:val="9"/>
  </w:num>
  <w:num w:numId="3" w16cid:durableId="443890623">
    <w:abstractNumId w:val="7"/>
  </w:num>
  <w:num w:numId="4" w16cid:durableId="303127124">
    <w:abstractNumId w:val="7"/>
  </w:num>
  <w:num w:numId="5" w16cid:durableId="1212687400">
    <w:abstractNumId w:val="6"/>
  </w:num>
  <w:num w:numId="6" w16cid:durableId="1517883119">
    <w:abstractNumId w:val="6"/>
  </w:num>
  <w:num w:numId="7" w16cid:durableId="2083671853">
    <w:abstractNumId w:val="5"/>
  </w:num>
  <w:num w:numId="8" w16cid:durableId="2012174196">
    <w:abstractNumId w:val="5"/>
  </w:num>
  <w:num w:numId="9" w16cid:durableId="1018653618">
    <w:abstractNumId w:val="4"/>
  </w:num>
  <w:num w:numId="10" w16cid:durableId="397098968">
    <w:abstractNumId w:val="4"/>
  </w:num>
  <w:num w:numId="11" w16cid:durableId="1443184195">
    <w:abstractNumId w:val="8"/>
  </w:num>
  <w:num w:numId="12" w16cid:durableId="85418888">
    <w:abstractNumId w:val="8"/>
  </w:num>
  <w:num w:numId="13" w16cid:durableId="1565599084">
    <w:abstractNumId w:val="3"/>
  </w:num>
  <w:num w:numId="14" w16cid:durableId="1691253918">
    <w:abstractNumId w:val="3"/>
  </w:num>
  <w:num w:numId="15" w16cid:durableId="606694341">
    <w:abstractNumId w:val="2"/>
  </w:num>
  <w:num w:numId="16" w16cid:durableId="1214662155">
    <w:abstractNumId w:val="2"/>
  </w:num>
  <w:num w:numId="17" w16cid:durableId="1222209372">
    <w:abstractNumId w:val="1"/>
  </w:num>
  <w:num w:numId="18" w16cid:durableId="1260599450">
    <w:abstractNumId w:val="1"/>
  </w:num>
  <w:num w:numId="19" w16cid:durableId="1136099215">
    <w:abstractNumId w:val="0"/>
  </w:num>
  <w:num w:numId="20" w16cid:durableId="1576623907">
    <w:abstractNumId w:val="0"/>
  </w:num>
  <w:num w:numId="21" w16cid:durableId="1703549177">
    <w:abstractNumId w:val="9"/>
  </w:num>
  <w:num w:numId="22" w16cid:durableId="1925873355">
    <w:abstractNumId w:val="7"/>
  </w:num>
  <w:num w:numId="23" w16cid:durableId="2003776419">
    <w:abstractNumId w:val="6"/>
  </w:num>
  <w:num w:numId="24" w16cid:durableId="2106682128">
    <w:abstractNumId w:val="5"/>
  </w:num>
  <w:num w:numId="25" w16cid:durableId="1791511915">
    <w:abstractNumId w:val="4"/>
  </w:num>
  <w:num w:numId="26" w16cid:durableId="1366952577">
    <w:abstractNumId w:val="8"/>
  </w:num>
  <w:num w:numId="27" w16cid:durableId="421806193">
    <w:abstractNumId w:val="3"/>
  </w:num>
  <w:num w:numId="28" w16cid:durableId="1698776081">
    <w:abstractNumId w:val="2"/>
  </w:num>
  <w:num w:numId="29" w16cid:durableId="249891636">
    <w:abstractNumId w:val="1"/>
  </w:num>
  <w:num w:numId="30" w16cid:durableId="1779326352">
    <w:abstractNumId w:val="0"/>
  </w:num>
  <w:num w:numId="31" w16cid:durableId="608395190">
    <w:abstractNumId w:val="9"/>
  </w:num>
  <w:num w:numId="32" w16cid:durableId="38213475">
    <w:abstractNumId w:val="7"/>
  </w:num>
  <w:num w:numId="33" w16cid:durableId="816724828">
    <w:abstractNumId w:val="6"/>
  </w:num>
  <w:num w:numId="34" w16cid:durableId="1724254763">
    <w:abstractNumId w:val="5"/>
  </w:num>
  <w:num w:numId="35" w16cid:durableId="641889114">
    <w:abstractNumId w:val="4"/>
  </w:num>
  <w:num w:numId="36" w16cid:durableId="993067023">
    <w:abstractNumId w:val="8"/>
  </w:num>
  <w:num w:numId="37" w16cid:durableId="1990865208">
    <w:abstractNumId w:val="3"/>
  </w:num>
  <w:num w:numId="38" w16cid:durableId="993723658">
    <w:abstractNumId w:val="2"/>
  </w:num>
  <w:num w:numId="39" w16cid:durableId="1714428993">
    <w:abstractNumId w:val="1"/>
  </w:num>
  <w:num w:numId="40" w16cid:durableId="1230841756">
    <w:abstractNumId w:val="0"/>
  </w:num>
  <w:num w:numId="41" w16cid:durableId="1041175302">
    <w:abstractNumId w:val="10"/>
  </w:num>
  <w:num w:numId="42" w16cid:durableId="1792089264">
    <w:abstractNumId w:val="10"/>
  </w:num>
  <w:num w:numId="43" w16cid:durableId="461003126">
    <w:abstractNumId w:val="10"/>
  </w:num>
  <w:num w:numId="44" w16cid:durableId="16554510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7/2026"/>
    <w:docVar w:name="dvlangue" w:val="LV"/>
    <w:docVar w:name="dvnumam" w:val="0"/>
    <w:docVar w:name="dvpe" w:val="782.192"/>
    <w:docVar w:name="dvtitre" w:val="Eiropas Parlamenta 2026. gada XX. XXX  rezolūcija par projektu Komisijas īstenošanas lēmumam, ar ko atbilstoši Eiropas Parlamenta un Padomes Regulai (EK) Nr. 1829/2003 atļauj laist tirgū produktus, kas satur ģenētiski modificētas sojas pupas DBN-09004-6, sastāv vai ir ražoti no tām(D111472/02 – 2026/2523(RSP))"/>
  </w:docVars>
  <w:rsids>
    <w:rsidRoot w:val="00511625"/>
    <w:rsid w:val="00002272"/>
    <w:rsid w:val="00064002"/>
    <w:rsid w:val="000677B9"/>
    <w:rsid w:val="000831BA"/>
    <w:rsid w:val="000A42CC"/>
    <w:rsid w:val="000E7DD9"/>
    <w:rsid w:val="0010095E"/>
    <w:rsid w:val="00125B37"/>
    <w:rsid w:val="001676BB"/>
    <w:rsid w:val="00187494"/>
    <w:rsid w:val="001C41E9"/>
    <w:rsid w:val="001E1575"/>
    <w:rsid w:val="001F32AE"/>
    <w:rsid w:val="002767FF"/>
    <w:rsid w:val="0029122D"/>
    <w:rsid w:val="002B18FE"/>
    <w:rsid w:val="002B5493"/>
    <w:rsid w:val="00343214"/>
    <w:rsid w:val="00361C00"/>
    <w:rsid w:val="00392343"/>
    <w:rsid w:val="00395FA1"/>
    <w:rsid w:val="003E15D4"/>
    <w:rsid w:val="00411CCE"/>
    <w:rsid w:val="0041666E"/>
    <w:rsid w:val="00421060"/>
    <w:rsid w:val="00471C19"/>
    <w:rsid w:val="004867E3"/>
    <w:rsid w:val="00494A28"/>
    <w:rsid w:val="004C0004"/>
    <w:rsid w:val="004C5D52"/>
    <w:rsid w:val="0050519A"/>
    <w:rsid w:val="005072A1"/>
    <w:rsid w:val="00511625"/>
    <w:rsid w:val="00514517"/>
    <w:rsid w:val="00545827"/>
    <w:rsid w:val="00560270"/>
    <w:rsid w:val="005C2568"/>
    <w:rsid w:val="005F1B17"/>
    <w:rsid w:val="006037C0"/>
    <w:rsid w:val="006417CB"/>
    <w:rsid w:val="006631B6"/>
    <w:rsid w:val="00680577"/>
    <w:rsid w:val="006F74FA"/>
    <w:rsid w:val="00731ADD"/>
    <w:rsid w:val="00734777"/>
    <w:rsid w:val="00747932"/>
    <w:rsid w:val="00751A4A"/>
    <w:rsid w:val="00756632"/>
    <w:rsid w:val="00762C74"/>
    <w:rsid w:val="00786EC0"/>
    <w:rsid w:val="007B7212"/>
    <w:rsid w:val="007C5020"/>
    <w:rsid w:val="007D1690"/>
    <w:rsid w:val="007E22AD"/>
    <w:rsid w:val="00817416"/>
    <w:rsid w:val="00825CC7"/>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7239"/>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2828"/>
    <w:rsid w:val="00E365E1"/>
    <w:rsid w:val="00E820A4"/>
    <w:rsid w:val="00EB006A"/>
    <w:rsid w:val="00EB4772"/>
    <w:rsid w:val="00ED169E"/>
    <w:rsid w:val="00ED4235"/>
    <w:rsid w:val="00F04346"/>
    <w:rsid w:val="00F075DC"/>
    <w:rsid w:val="00F149E9"/>
    <w:rsid w:val="00F5134D"/>
    <w:rsid w:val="00F74202"/>
    <w:rsid w:val="00F87713"/>
    <w:rsid w:val="00FA1B6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AA9D13"/>
  <w15:chartTrackingRefBased/>
  <w15:docId w15:val="{114F3776-B9A8-4ECB-B61C-31FA68371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7B7212"/>
    <w:pPr>
      <w:spacing w:before="480" w:after="240"/>
    </w:pPr>
  </w:style>
  <w:style w:type="paragraph" w:customStyle="1" w:styleId="NormalHanging12a">
    <w:name w:val="NormalHanging12a"/>
    <w:basedOn w:val="Normal"/>
    <w:uiPriority w:val="99"/>
    <w:qFormat/>
    <w:rsid w:val="007B7212"/>
    <w:pPr>
      <w:spacing w:after="240"/>
      <w:ind w:left="567" w:hanging="567"/>
    </w:pPr>
  </w:style>
  <w:style w:type="paragraph" w:customStyle="1" w:styleId="NormalBold">
    <w:name w:val="NormalBold"/>
    <w:basedOn w:val="Normal"/>
    <w:rsid w:val="007B7212"/>
    <w:rPr>
      <w:b/>
    </w:rPr>
  </w:style>
  <w:style w:type="character" w:styleId="Hyperlink">
    <w:name w:val="Hyperlink"/>
    <w:basedOn w:val="DefaultParagraphFont"/>
    <w:uiPriority w:val="99"/>
    <w:rsid w:val="007B7212"/>
    <w:rPr>
      <w:color w:val="0563C1" w:themeColor="hyperlink"/>
      <w:u w:val="single"/>
    </w:rPr>
  </w:style>
  <w:style w:type="paragraph" w:styleId="NormalWeb">
    <w:name w:val="Normal (Web)"/>
    <w:basedOn w:val="Normal"/>
    <w:uiPriority w:val="99"/>
    <w:unhideWhenUsed/>
    <w:rsid w:val="007B7212"/>
    <w:pPr>
      <w:widowControl/>
      <w:spacing w:before="100" w:beforeAutospacing="1" w:after="100" w:afterAutospacing="1"/>
    </w:pPr>
    <w:rPr>
      <w:szCs w:val="24"/>
    </w:rPr>
  </w:style>
  <w:style w:type="paragraph" w:styleId="Revision">
    <w:name w:val="Revision"/>
    <w:hidden/>
    <w:uiPriority w:val="99"/>
    <w:semiHidden/>
    <w:rsid w:val="00FA1B68"/>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3" TargetMode="External"/><Relationship Id="rId21" Type="http://schemas.openxmlformats.org/officeDocument/2006/relationships/hyperlink" Target="https://doi.org/10.1371/journal.pone.021961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s://commission.europa.eu/topics/agriculture-and-rural-development/strategic-dialogue-future-eu-agriculture_lv"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093/ije/dyz017"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en/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doi.org/10.1006/rtph.1999.1371"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mrrev.2019.02.001"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s://doi.org/10.1186/s13045-019-07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1367</Words>
  <Characters>8938</Characters>
  <Application>Microsoft Office Word</Application>
  <DocSecurity>0</DocSecurity>
  <Lines>178</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2026-03-17T10:39:00Z</dcterms:created>
  <dcterms:modified xsi:type="dcterms:W3CDTF">2026-03-17T10:39:00Z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B10-0107/2026</vt:lpwstr>
  </property>
  <property fmtid="{D5CDD505-2E9C-101B-9397-08002B2CF9AE}" pid="4" name="&lt;Type&gt;">
    <vt:lpwstr>RR</vt:lpwstr>
  </property>
</Properties>
</file>