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E7CF8" w14:paraId="15A64C6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05F3BFA" w14:textId="77777777" w:rsidR="00751A4A" w:rsidRPr="008E7CF8" w:rsidRDefault="00A71C46" w:rsidP="0010095E">
            <w:pPr>
              <w:pStyle w:val="EPName"/>
            </w:pPr>
            <w:r w:rsidRPr="008E7CF8">
              <w:t>Parlament Europejski</w:t>
            </w:r>
          </w:p>
          <w:p w14:paraId="008CB998" w14:textId="77777777" w:rsidR="00751A4A" w:rsidRPr="008E7CF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E7CF8">
              <w:t>2024</w:t>
            </w:r>
            <w:r w:rsidR="00817416" w:rsidRPr="008E7CF8">
              <w:t>-202</w:t>
            </w:r>
            <w:r w:rsidRPr="008E7CF8">
              <w:t>9</w:t>
            </w:r>
          </w:p>
        </w:tc>
        <w:tc>
          <w:tcPr>
            <w:tcW w:w="2268" w:type="dxa"/>
            <w:shd w:val="clear" w:color="auto" w:fill="auto"/>
          </w:tcPr>
          <w:p w14:paraId="31B8B28B" w14:textId="77777777" w:rsidR="00751A4A" w:rsidRPr="008E7CF8" w:rsidRDefault="00187494" w:rsidP="0010095E">
            <w:pPr>
              <w:pStyle w:val="EPLogo"/>
            </w:pPr>
            <w:r w:rsidRPr="008E7CF8">
              <w:rPr>
                <w:noProof/>
                <w:lang w:eastAsia="ja-JP"/>
              </w:rPr>
              <w:drawing>
                <wp:inline distT="0" distB="0" distL="0" distR="0" wp14:anchorId="1A2651D1" wp14:editId="4B1D755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CEACFB" w14:textId="77777777" w:rsidR="00D058B8" w:rsidRPr="008E7CF8" w:rsidRDefault="00D058B8" w:rsidP="004C5D52">
      <w:pPr>
        <w:pStyle w:val="LineTop"/>
      </w:pPr>
    </w:p>
    <w:p w14:paraId="3ECEDDEE" w14:textId="77777777" w:rsidR="00680577" w:rsidRPr="008E7CF8" w:rsidRDefault="00A71C46" w:rsidP="00680577">
      <w:pPr>
        <w:pStyle w:val="EPBodyTA1"/>
      </w:pPr>
      <w:r w:rsidRPr="008E7CF8">
        <w:t>TEKSTY PRZYJĘTE</w:t>
      </w:r>
    </w:p>
    <w:p w14:paraId="2124D342" w14:textId="77777777" w:rsidR="00D058B8" w:rsidRPr="008E7CF8" w:rsidRDefault="00D058B8" w:rsidP="00D058B8">
      <w:pPr>
        <w:pStyle w:val="LineBottom"/>
      </w:pPr>
    </w:p>
    <w:p w14:paraId="1CC95A67" w14:textId="02DCFF21" w:rsidR="00A71C46" w:rsidRPr="008E7CF8" w:rsidRDefault="00A71C46" w:rsidP="00A71C46">
      <w:pPr>
        <w:pStyle w:val="ATHeading1"/>
      </w:pPr>
      <w:bookmarkStart w:id="0" w:name="TANumber"/>
      <w:r w:rsidRPr="008E7CF8">
        <w:t>P10_TA(2026)00</w:t>
      </w:r>
      <w:bookmarkEnd w:id="0"/>
      <w:r w:rsidR="008E65E0">
        <w:t>41</w:t>
      </w:r>
    </w:p>
    <w:p w14:paraId="739DE992" w14:textId="32009D8F" w:rsidR="00A71C46" w:rsidRPr="008E7CF8" w:rsidRDefault="00A71C46" w:rsidP="00A71C46">
      <w:pPr>
        <w:pStyle w:val="ATHeading2"/>
      </w:pPr>
      <w:bookmarkStart w:id="1" w:name="title"/>
      <w:r w:rsidRPr="008E7CF8">
        <w:t>Genetycznie zmodyfikowana soja DBN-09004-6</w:t>
      </w:r>
      <w:bookmarkEnd w:id="1"/>
    </w:p>
    <w:p w14:paraId="0C16832C" w14:textId="77777777" w:rsidR="00A71C46" w:rsidRPr="008E7CF8" w:rsidRDefault="00A71C46" w:rsidP="00A71C46">
      <w:pPr>
        <w:rPr>
          <w:i/>
          <w:vanish/>
        </w:rPr>
      </w:pPr>
      <w:r w:rsidRPr="008E7CF8">
        <w:rPr>
          <w:i/>
        </w:rPr>
        <w:fldChar w:fldCharType="begin"/>
      </w:r>
      <w:r w:rsidRPr="008E7CF8">
        <w:rPr>
          <w:i/>
        </w:rPr>
        <w:instrText xml:space="preserve"> TC"(</w:instrText>
      </w:r>
      <w:bookmarkStart w:id="2" w:name="DocNumber"/>
      <w:r w:rsidRPr="008E7CF8">
        <w:rPr>
          <w:i/>
        </w:rPr>
        <w:instrText>B10-0107/2026</w:instrText>
      </w:r>
      <w:bookmarkEnd w:id="2"/>
      <w:r w:rsidRPr="008E7CF8">
        <w:rPr>
          <w:i/>
        </w:rPr>
        <w:instrText xml:space="preserve">)"\l3 \n&gt; \* MERGEFORMAT </w:instrText>
      </w:r>
      <w:r w:rsidRPr="008E7CF8">
        <w:rPr>
          <w:i/>
        </w:rPr>
        <w:fldChar w:fldCharType="end"/>
      </w:r>
    </w:p>
    <w:p w14:paraId="56B2EFA5" w14:textId="77777777" w:rsidR="00A71C46" w:rsidRPr="008E7CF8" w:rsidRDefault="00A71C46" w:rsidP="00A71C46">
      <w:pPr>
        <w:rPr>
          <w:vanish/>
        </w:rPr>
      </w:pPr>
      <w:bookmarkStart w:id="3" w:name="PE"/>
      <w:r w:rsidRPr="008E7CF8">
        <w:rPr>
          <w:vanish/>
        </w:rPr>
        <w:t>PE782.192</w:t>
      </w:r>
      <w:bookmarkEnd w:id="3"/>
    </w:p>
    <w:p w14:paraId="29A083C8" w14:textId="0A4D1709" w:rsidR="00A71C46" w:rsidRPr="008E7CF8" w:rsidRDefault="00A71C46" w:rsidP="00A71C46">
      <w:pPr>
        <w:pStyle w:val="ATHeading3"/>
      </w:pPr>
      <w:bookmarkStart w:id="4" w:name="Sujet"/>
      <w:r w:rsidRPr="008E7CF8">
        <w:t xml:space="preserve">Rezolucja Parlamentu Europejskiego z dnia </w:t>
      </w:r>
      <w:r w:rsidR="008E65E0">
        <w:t>11 lutego</w:t>
      </w:r>
      <w:r w:rsidRPr="008E7CF8">
        <w:t xml:space="preserve"> 2026 r. w sprawie projektu decyzji wykonawczej Komisji zezwalającej na wprowadzenie do obrotu, na mocy rozporządzenia Parlamentu Europejskiego i Rady (WE) nr 1829/2003, produktów zawierających genetycznie zmodyfikowaną soję DBN-09004-6, składających się z niej lub z niej wyprodukowanych </w:t>
      </w:r>
      <w:bookmarkStart w:id="5" w:name="References"/>
      <w:bookmarkEnd w:id="4"/>
      <w:r w:rsidRPr="008E7CF8">
        <w:t>(D111472/02 – 2026/2523(RSP))</w:t>
      </w:r>
      <w:bookmarkEnd w:id="5"/>
    </w:p>
    <w:p w14:paraId="4658E08F" w14:textId="77777777" w:rsidR="00FF36B2" w:rsidRPr="008E7CF8" w:rsidRDefault="00FF36B2" w:rsidP="00FF36B2">
      <w:pPr>
        <w:pStyle w:val="EPComma"/>
      </w:pPr>
      <w:bookmarkStart w:id="6" w:name="TextBodyBegin"/>
      <w:bookmarkEnd w:id="6"/>
      <w:r w:rsidRPr="008E7CF8">
        <w:rPr>
          <w:i/>
        </w:rPr>
        <w:t>Parlament Europejski</w:t>
      </w:r>
      <w:r w:rsidRPr="008E7CF8">
        <w:t>,</w:t>
      </w:r>
    </w:p>
    <w:p w14:paraId="5AAB962E" w14:textId="77777777" w:rsidR="00FF36B2" w:rsidRPr="008E7CF8" w:rsidRDefault="00FF36B2" w:rsidP="00FF36B2">
      <w:pPr>
        <w:pStyle w:val="NormalHanging12a"/>
      </w:pPr>
      <w:r w:rsidRPr="008E7CF8">
        <w:t>–</w:t>
      </w:r>
      <w:r w:rsidRPr="008E7CF8">
        <w:tab/>
        <w:t>uwzględniając projekt decyzji wykonawczej Komisji zezwalającej na wprowadzenie do obrotu produktów zawierających genetycznie zmodyfikowaną soję DBN-09004-6, składających się z niej lub z niej wyprodukowanych, na mocy rozporządzenia (WE) nr 1829/2003 Parlamentu Europejskiego i Rady (D111472/02),</w:t>
      </w:r>
    </w:p>
    <w:p w14:paraId="03AD4073" w14:textId="77777777" w:rsidR="00FF36B2" w:rsidRPr="008E7CF8" w:rsidRDefault="00FF36B2" w:rsidP="00FF36B2">
      <w:pPr>
        <w:pStyle w:val="NormalHanging12a"/>
      </w:pPr>
      <w:r w:rsidRPr="008E7CF8">
        <w:t>–</w:t>
      </w:r>
      <w:r w:rsidRPr="008E7CF8">
        <w:tab/>
        <w:t>uwzględniając rozporządzenie Parlamentu Europejskiego i Rady (WE) nr 1829/2003 z dnia 22 września 2003 r. w sprawie genetycznie zmodyfikowanej żywności i paszy</w:t>
      </w:r>
      <w:r w:rsidRPr="008E7CF8">
        <w:rPr>
          <w:rStyle w:val="FootnoteReference"/>
        </w:rPr>
        <w:footnoteReference w:id="1"/>
      </w:r>
      <w:r w:rsidRPr="008E7CF8">
        <w:t>, w szczególności jego art. 7 ust. 3 i art. 19 ust. 3,</w:t>
      </w:r>
    </w:p>
    <w:p w14:paraId="288E382C" w14:textId="28C9DDBB" w:rsidR="00FF36B2" w:rsidRPr="008E7CF8" w:rsidRDefault="00FF36B2" w:rsidP="00FF36B2">
      <w:pPr>
        <w:pStyle w:val="NormalHanging12a"/>
      </w:pPr>
      <w:r w:rsidRPr="008E7CF8">
        <w:t>–</w:t>
      </w:r>
      <w:r w:rsidRPr="008E7CF8">
        <w:tab/>
        <w:t>uwzględniając to, że Stały Komitet ds. Roślin, Zwierząt, Żywności i Pasz, o którym mowa w art. 35 rozporządzenia (WE) nr 1829/2003, nie wydał opinii w wyniku głosowania 12 grudnia 2025 r.</w:t>
      </w:r>
      <w:bookmarkStart w:id="7" w:name="_Hlk219206484"/>
      <w:r w:rsidRPr="008E7CF8">
        <w:t>,</w:t>
      </w:r>
      <w:bookmarkEnd w:id="7"/>
      <w:r w:rsidR="008E65E0" w:rsidRPr="00A70CDE">
        <w:t xml:space="preserve"> oraz że Komitet Odwoławczy również nie wydał</w:t>
      </w:r>
      <w:r w:rsidR="008E65E0" w:rsidRPr="00533241">
        <w:t xml:space="preserve"> opinii w wyniku głosowania </w:t>
      </w:r>
      <w:r w:rsidR="008E65E0">
        <w:t>27</w:t>
      </w:r>
      <w:r w:rsidR="008E65E0" w:rsidRPr="00533241">
        <w:t xml:space="preserve"> </w:t>
      </w:r>
      <w:r w:rsidR="008E65E0">
        <w:t>stycznia</w:t>
      </w:r>
      <w:r w:rsidR="008E65E0" w:rsidRPr="00533241">
        <w:t xml:space="preserve"> 202</w:t>
      </w:r>
      <w:r w:rsidR="008E65E0">
        <w:t>6</w:t>
      </w:r>
      <w:r w:rsidR="008E65E0" w:rsidRPr="00533241">
        <w:t xml:space="preserve"> r.,</w:t>
      </w:r>
    </w:p>
    <w:p w14:paraId="730DB2E4" w14:textId="77777777" w:rsidR="00FF36B2" w:rsidRPr="008E7CF8" w:rsidRDefault="00FF36B2" w:rsidP="00FF36B2">
      <w:pPr>
        <w:pStyle w:val="NormalHanging12a"/>
      </w:pPr>
      <w:r w:rsidRPr="008E7CF8">
        <w:t>–</w:t>
      </w:r>
      <w:r w:rsidRPr="008E7CF8">
        <w:tab/>
        <w:t>uwzględniając art. 11 rozporządzenia Parlamentu Europejskiego i Rady (UE) nr 182/2011 z dnia 16 lutego 2011 r. ustanawiającego przepisy i zasady ogólne dotyczące trybu kontroli przez państwa członkowskie wykonywania uprawnień wykonawczych przez Komisję</w:t>
      </w:r>
      <w:r w:rsidRPr="008E7CF8">
        <w:rPr>
          <w:rStyle w:val="FootnoteReference"/>
        </w:rPr>
        <w:footnoteReference w:id="2"/>
      </w:r>
      <w:r w:rsidRPr="008E7CF8">
        <w:t>,</w:t>
      </w:r>
    </w:p>
    <w:p w14:paraId="6F94DCE5" w14:textId="77777777" w:rsidR="00FF36B2" w:rsidRPr="008E7CF8" w:rsidRDefault="00FF36B2" w:rsidP="00FF36B2">
      <w:pPr>
        <w:pStyle w:val="NormalHanging12a"/>
      </w:pPr>
      <w:r w:rsidRPr="008E7CF8">
        <w:t>–</w:t>
      </w:r>
      <w:r w:rsidRPr="008E7CF8">
        <w:tab/>
        <w:t>uwzględniając opinię Europejskiego Urzędu ds. Bezpieczeństwa Żywności (EFSA) z 21 maja 2025 r., opublikowaną 7 lipca 2025 r.</w:t>
      </w:r>
      <w:r w:rsidRPr="008E7CF8">
        <w:rPr>
          <w:vertAlign w:val="superscript"/>
        </w:rPr>
        <w:footnoteReference w:id="3"/>
      </w:r>
      <w:r w:rsidRPr="008E7CF8">
        <w:t>,</w:t>
      </w:r>
    </w:p>
    <w:p w14:paraId="3CEB3800" w14:textId="77777777" w:rsidR="00FF36B2" w:rsidRPr="008E7CF8" w:rsidRDefault="00FF36B2" w:rsidP="00FF36B2">
      <w:pPr>
        <w:pStyle w:val="NormalHanging12a"/>
      </w:pPr>
      <w:r w:rsidRPr="008E7CF8">
        <w:t>–</w:t>
      </w:r>
      <w:r w:rsidRPr="008E7CF8">
        <w:tab/>
        <w:t xml:space="preserve">uwzględniając swoje wcześniejsze rezolucje zawierające sprzeciw wobec zatwierdzania </w:t>
      </w:r>
      <w:r w:rsidRPr="008E7CF8">
        <w:lastRenderedPageBreak/>
        <w:t>organizmów zmodyfikowanych genetycznie (GMO)</w:t>
      </w:r>
      <w:r w:rsidRPr="008E7CF8">
        <w:rPr>
          <w:vertAlign w:val="superscript"/>
        </w:rPr>
        <w:footnoteReference w:id="4"/>
      </w:r>
      <w:r w:rsidRPr="008E7CF8">
        <w:t>,</w:t>
      </w:r>
    </w:p>
    <w:p w14:paraId="26D026C0" w14:textId="77777777" w:rsidR="00FF36B2" w:rsidRPr="008E7CF8" w:rsidRDefault="00FF36B2" w:rsidP="00FF36B2">
      <w:pPr>
        <w:pStyle w:val="NormalHanging12a"/>
      </w:pPr>
      <w:r w:rsidRPr="008E7CF8">
        <w:lastRenderedPageBreak/>
        <w:t>–</w:t>
      </w:r>
      <w:r w:rsidRPr="008E7CF8">
        <w:tab/>
        <w:t>uwzględniając art. 115 ust. 2 i 3 Regulaminu,</w:t>
      </w:r>
    </w:p>
    <w:p w14:paraId="1A6B69EC" w14:textId="77777777" w:rsidR="00FF36B2" w:rsidRPr="008E7CF8" w:rsidRDefault="00FF36B2" w:rsidP="00FF36B2">
      <w:pPr>
        <w:pStyle w:val="NormalHanging12a"/>
      </w:pPr>
      <w:r w:rsidRPr="008E7CF8">
        <w:t>–</w:t>
      </w:r>
      <w:r w:rsidRPr="008E7CF8">
        <w:tab/>
        <w:t>uwzględniając projekt rezolucji Komisji Ochrony Środowiska Naturalnego, Klimatu i Bezpieczeństwa Żywności,</w:t>
      </w:r>
    </w:p>
    <w:p w14:paraId="25CB31DE" w14:textId="77777777" w:rsidR="00FF36B2" w:rsidRPr="008E7CF8" w:rsidRDefault="00FF36B2" w:rsidP="00FF36B2">
      <w:pPr>
        <w:pStyle w:val="NormalHanging12a"/>
        <w:ind w:hanging="570"/>
      </w:pPr>
      <w:r w:rsidRPr="008E7CF8">
        <w:t>A.</w:t>
      </w:r>
      <w:r w:rsidRPr="008E7CF8">
        <w:tab/>
        <w:t xml:space="preserve">mając na uwadze, że 20 grudnia 2019 r. przedsiębiorstwo </w:t>
      </w:r>
      <w:proofErr w:type="spellStart"/>
      <w:r w:rsidRPr="008E7CF8">
        <w:t>Perseus</w:t>
      </w:r>
      <w:proofErr w:type="spellEnd"/>
      <w:r w:rsidRPr="008E7CF8">
        <w:t xml:space="preserve"> BV z siedzibą w Belgii zwróciło się, w imieniu przedsiębiorstwa Beijing </w:t>
      </w:r>
      <w:proofErr w:type="spellStart"/>
      <w:r w:rsidRPr="008E7CF8">
        <w:t>DaBeiNong</w:t>
      </w:r>
      <w:proofErr w:type="spellEnd"/>
      <w:r w:rsidRPr="008E7CF8">
        <w:t xml:space="preserve"> </w:t>
      </w:r>
      <w:proofErr w:type="spellStart"/>
      <w:r w:rsidRPr="008E7CF8">
        <w:t>Biotechnology</w:t>
      </w:r>
      <w:proofErr w:type="spellEnd"/>
      <w:r w:rsidRPr="008E7CF8">
        <w:t xml:space="preserve"> Co., Ltd. z siedzibą w Chinach, </w:t>
      </w:r>
      <w:r w:rsidRPr="008E7CF8">
        <w:rPr>
          <w:snapToGrid w:val="0"/>
        </w:rPr>
        <w:t>do krajowego właściwego organu Belgii z wnioskiem dotyczącym</w:t>
      </w:r>
      <w:r w:rsidRPr="008E7CF8">
        <w:t xml:space="preserve"> wprowadzenia do obrotu żywności, składników żywności i paszy zawierających genetycznie zmodyfikowaną soję DBN-09004-6 („soja zmodyfikowana genetycznie”), składających się z niej lub z niej wyprodukowanych, zgodnie z art. 5 i 17 rozporządzenia (WE) nr 1829/2003; mając na uwadze, że wniosek dotyczył również wprowadzenia do obrotu produktów zawierających soję zmodyfikowaną genetycznie lub składających się z niej, do zastosowań innych niż żywność i pasza, z wyjątkiem uprawy;</w:t>
      </w:r>
    </w:p>
    <w:p w14:paraId="7F44CEC9" w14:textId="77777777" w:rsidR="00FF36B2" w:rsidRPr="008E7CF8" w:rsidRDefault="00FF36B2" w:rsidP="00FF36B2">
      <w:pPr>
        <w:pStyle w:val="NormalHanging12a"/>
        <w:ind w:hanging="570"/>
      </w:pPr>
      <w:bookmarkStart w:id="8" w:name="_Hlk218675754"/>
      <w:r w:rsidRPr="008E7CF8">
        <w:t>B.</w:t>
      </w:r>
      <w:r w:rsidRPr="008E7CF8">
        <w:tab/>
        <w:t>mając na uwadze, że 7 lipca 2025 r. EFSA wydała pozytywną opinię naukową zgodnie z art. 6 i 18 rozporządzenia (WE) nr 1829/2003 i uznała w tej opinii, że zmodyfikowana genetycznie soja opisana we wniosku jest równie bezpieczna pod względem potencjalnego wpływu na zdrowie ludzi i zwierząt i na środowisko co jej konwencjonalny odpowiednik i przebadane niezmodyfikowane genetycznie odmiany referencyjne soi; mając na uwadze, że w opinii tej nie odniesiono się do szerzej pojętych skutków środowiskowych, społeczno-gospodarczych i skumulowanych, które zdaniem EFSA nie wchodzą w zakres jej kompetencji;</w:t>
      </w:r>
    </w:p>
    <w:p w14:paraId="0DBDFD9E" w14:textId="77777777" w:rsidR="00FF36B2" w:rsidRPr="008E7CF8" w:rsidRDefault="00FF36B2" w:rsidP="00FF36B2">
      <w:pPr>
        <w:pStyle w:val="NormalHanging12a"/>
        <w:ind w:hanging="570"/>
      </w:pPr>
      <w:r w:rsidRPr="008E7CF8">
        <w:t>C.</w:t>
      </w:r>
      <w:r w:rsidRPr="008E7CF8">
        <w:tab/>
        <w:t xml:space="preserve">mając na uwadze, że genetycznie zmodyfikowaną soję opracowano, aby nadać jej tolerancję na </w:t>
      </w:r>
      <w:proofErr w:type="spellStart"/>
      <w:r w:rsidRPr="008E7CF8">
        <w:t>glufosynat</w:t>
      </w:r>
      <w:proofErr w:type="spellEnd"/>
      <w:r w:rsidRPr="008E7CF8">
        <w:t xml:space="preserve"> i </w:t>
      </w:r>
      <w:proofErr w:type="spellStart"/>
      <w:r w:rsidRPr="008E7CF8">
        <w:t>glifosat</w:t>
      </w:r>
      <w:proofErr w:type="spellEnd"/>
      <w:r w:rsidRPr="008E7CF8">
        <w:t>;</w:t>
      </w:r>
    </w:p>
    <w:bookmarkEnd w:id="8"/>
    <w:p w14:paraId="4CB74EF8" w14:textId="77777777" w:rsidR="00FF36B2" w:rsidRPr="008E7CF8" w:rsidRDefault="00FF36B2" w:rsidP="00FF36B2">
      <w:pPr>
        <w:pStyle w:val="NormalHanging12a"/>
      </w:pPr>
      <w:r w:rsidRPr="008E7CF8">
        <w:t>D.</w:t>
      </w:r>
      <w:r w:rsidRPr="008E7CF8">
        <w:tab/>
        <w:t>mając na uwadze, że oceny ryzyka przeprowadzone przez EFSA nie obejmowały długoterminowych badań toksykologicznych ani szczegółowej analizy skutków skumulowanych i skojarzonych, w tym potencjalnych interakcji z pozostałościami pestycydów powszechnie stosowanych w uprawie soi;</w:t>
      </w:r>
    </w:p>
    <w:p w14:paraId="2F5D5F41" w14:textId="77777777" w:rsidR="00FF36B2" w:rsidRPr="008E7CF8" w:rsidRDefault="00FF36B2" w:rsidP="00FF36B2">
      <w:pPr>
        <w:pStyle w:val="NormalHanging12a"/>
        <w:rPr>
          <w:color w:val="000000" w:themeColor="text1"/>
          <w:szCs w:val="24"/>
        </w:rPr>
      </w:pPr>
      <w:r w:rsidRPr="008E7CF8">
        <w:rPr>
          <w:color w:val="000000" w:themeColor="text1"/>
        </w:rPr>
        <w:t>E.</w:t>
      </w:r>
      <w:r w:rsidRPr="008E7CF8">
        <w:rPr>
          <w:color w:val="000000" w:themeColor="text1"/>
        </w:rPr>
        <w:tab/>
      </w:r>
      <w:r w:rsidRPr="008E7CF8">
        <w:t xml:space="preserve">mając na uwadze, że zdecydowaną większość roślin uprawnych zmodyfikowanych genetycznie, w tym genetycznie zmodyfikowaną soję, zmodyfikowano genetycznie, aby </w:t>
      </w:r>
      <w:r w:rsidRPr="008E7CF8">
        <w:lastRenderedPageBreak/>
        <w:t xml:space="preserve">uzyskać tolerancję na co najmniej jeden herbicyd uzupełniający spośród herbicydów, które mogą być stosowane w całym cyklu uprawy roślin zmodyfikowanych genetycznie, nie powodując zamierania upraw, jak miałoby to miejsce w przypadku upraw nietolerujących herbicydów; </w:t>
      </w:r>
      <w:r w:rsidRPr="008E7CF8">
        <w:rPr>
          <w:color w:val="000000" w:themeColor="text1"/>
        </w:rPr>
        <w:t>mając na uwadze, że według licznych badań uprawa genetycznie zmodyfikowanych roślin tolerujących herbicydy prowadzi do większego zużycia herbicydów uzupełniających, co w dużej mierze spowodowane jest pojawieniem się chwastów odpornych na herbicydy</w:t>
      </w:r>
      <w:r w:rsidRPr="008E7CF8">
        <w:rPr>
          <w:rStyle w:val="FootnoteReference"/>
          <w:color w:val="000000" w:themeColor="text1"/>
          <w:szCs w:val="24"/>
        </w:rPr>
        <w:footnoteReference w:id="5"/>
      </w:r>
      <w:r w:rsidRPr="008E7CF8">
        <w:rPr>
          <w:color w:val="000000" w:themeColor="text1"/>
        </w:rPr>
        <w:t>;</w:t>
      </w:r>
    </w:p>
    <w:p w14:paraId="2C1C0E51" w14:textId="77777777" w:rsidR="00FF36B2" w:rsidRPr="008E7CF8" w:rsidRDefault="00FF36B2" w:rsidP="00FF36B2">
      <w:pPr>
        <w:spacing w:after="240"/>
        <w:ind w:left="567" w:hanging="567"/>
        <w:rPr>
          <w:color w:val="000000" w:themeColor="text1"/>
          <w:szCs w:val="24"/>
        </w:rPr>
      </w:pPr>
      <w:r w:rsidRPr="008E7CF8">
        <w:t>F.</w:t>
      </w:r>
      <w:r w:rsidRPr="008E7CF8">
        <w:tab/>
        <w:t>mając na uwadze, że genetycznie zmodyfikowane uprawy odporne na herbicydy zmuszają rolników do stosowania systemu zwalczania chwastów, który jest w dużej mierze lub całkowicie uzależniony od herbicydów, ponieważ wyższa cena nasion zmodyfikowanych genetycznie ma uzasadnienie tylko wtedy, gdy rolnicy kupujący takie nasiona rozpylają również herbicydy uzupełniające;</w:t>
      </w:r>
      <w:r w:rsidRPr="008E7CF8">
        <w:rPr>
          <w:color w:val="000000" w:themeColor="text1"/>
        </w:rPr>
        <w:t xml:space="preserve"> mając na uwadze, że zwiększone uzależnienie od herbicydów uzupełniających w gospodarstwach, w których prowadzi się uprawy genetycznie zmodyfikowanej soi, przyspiesza pojawianie się i rozprzestrzenianie chwastów odpornych na te herbicydy, co sprawia, że konieczne staje się coraz szersze stosowanie herbicydów, czyli prowadzi do powstania błędnego koła; mając na uwadze, że nadmierne uzależnienie od herbicydów będzie mieć negatywne skutki, takie jak pogorszenie zdrowia gleby, jakości wody oraz różnorodności biologicznej na powierzchni ziemi i pod ziemią, a także zwiększy ekspozycję ludzi i zwierząt na herbicydy, potencjalnie również w związku z większymi pozostałościami herbicydów w żywności i paszy</w:t>
      </w:r>
      <w:r w:rsidRPr="008E7CF8">
        <w:rPr>
          <w:rStyle w:val="FootnoteReference"/>
          <w:color w:val="000000" w:themeColor="text1"/>
          <w:szCs w:val="24"/>
        </w:rPr>
        <w:footnoteReference w:id="6"/>
      </w:r>
      <w:r w:rsidRPr="008E7CF8">
        <w:rPr>
          <w:color w:val="000000" w:themeColor="text1"/>
        </w:rPr>
        <w:t>;</w:t>
      </w:r>
    </w:p>
    <w:p w14:paraId="4B5DFAC3" w14:textId="77777777" w:rsidR="00FF36B2" w:rsidRPr="008E7CF8" w:rsidRDefault="00FF36B2" w:rsidP="00FF36B2">
      <w:pPr>
        <w:pStyle w:val="NormalWeb"/>
        <w:widowControl w:val="0"/>
        <w:spacing w:before="0" w:beforeAutospacing="0" w:after="240" w:afterAutospacing="0"/>
        <w:ind w:left="567" w:hanging="567"/>
      </w:pPr>
      <w:r w:rsidRPr="008E7CF8">
        <w:t>G.</w:t>
      </w:r>
      <w:r w:rsidRPr="008E7CF8">
        <w:tab/>
        <w:t xml:space="preserve">mając na uwadze, że </w:t>
      </w:r>
      <w:proofErr w:type="spellStart"/>
      <w:r w:rsidRPr="008E7CF8">
        <w:t>glufosynat</w:t>
      </w:r>
      <w:proofErr w:type="spellEnd"/>
      <w:r w:rsidRPr="008E7CF8">
        <w:t xml:space="preserve"> zaliczono do substancji działających szkodliwie na rozrodczość (1B), w związku z czym spełnia on kryteria graniczne określone w rozporządzeniu Parlamentu Europejskiego i Rady (WE) nr 1107/2009</w:t>
      </w:r>
      <w:r w:rsidRPr="008E7CF8">
        <w:rPr>
          <w:rStyle w:val="FootnoteReference"/>
        </w:rPr>
        <w:footnoteReference w:id="7"/>
      </w:r>
      <w:r w:rsidRPr="008E7CF8">
        <w:t xml:space="preserve">; mając na uwadze, że zezwolenie na stosowanie </w:t>
      </w:r>
      <w:proofErr w:type="spellStart"/>
      <w:r w:rsidRPr="008E7CF8">
        <w:t>glufosynatu</w:t>
      </w:r>
      <w:proofErr w:type="spellEnd"/>
      <w:r w:rsidRPr="008E7CF8">
        <w:t xml:space="preserve"> w Unii wygasło 31 lipca 2018 r.;</w:t>
      </w:r>
    </w:p>
    <w:p w14:paraId="6F69F3A9" w14:textId="77777777" w:rsidR="00FF36B2" w:rsidRPr="008E7CF8" w:rsidRDefault="00FF36B2" w:rsidP="00FF36B2">
      <w:pPr>
        <w:pStyle w:val="NormalHanging12a"/>
      </w:pPr>
      <w:r w:rsidRPr="008E7CF8">
        <w:t>H.</w:t>
      </w:r>
      <w:r w:rsidRPr="008E7CF8">
        <w:tab/>
        <w:t xml:space="preserve">mając na uwadze, że utrzymują się poważne wątpliwości co do rakotwórczości </w:t>
      </w:r>
      <w:proofErr w:type="spellStart"/>
      <w:r w:rsidRPr="008E7CF8">
        <w:t>glifosatu</w:t>
      </w:r>
      <w:proofErr w:type="spellEnd"/>
      <w:r w:rsidRPr="008E7CF8">
        <w:t xml:space="preserve">; mając na uwadze, że EFSA w listopadzie 2015 r. stwierdziła, iż jest mało prawdopodobne, aby </w:t>
      </w:r>
      <w:proofErr w:type="spellStart"/>
      <w:r w:rsidRPr="008E7CF8">
        <w:t>glifosat</w:t>
      </w:r>
      <w:proofErr w:type="spellEnd"/>
      <w:r w:rsidRPr="008E7CF8">
        <w:t xml:space="preserve"> był rakotwórczy, a Europejska Agencja Chemikaliów uznała w marcu 2017 r., że nie ma podstaw, by zaliczyć go do substancji rakotwórczych; mając na uwadze, że z kolei Międzynarodowa Agencja Badań nad Rakiem – wyspecjalizowana agencja Światowej Organizacji Zdrowia ds. badań nad rakiem – w 2015 r. zaliczyła </w:t>
      </w:r>
      <w:proofErr w:type="spellStart"/>
      <w:r w:rsidRPr="008E7CF8">
        <w:t>glifosat</w:t>
      </w:r>
      <w:proofErr w:type="spellEnd"/>
      <w:r w:rsidRPr="008E7CF8">
        <w:t xml:space="preserve"> do substancji prawdopodobnie rakotwórczych dla ludzi; mając na uwadze, że szereg najnowszych recenzowanych badań naukowych </w:t>
      </w:r>
      <w:r w:rsidRPr="008E7CF8">
        <w:lastRenderedPageBreak/>
        <w:t xml:space="preserve">potwierdza możliwe działanie rakotwórcze </w:t>
      </w:r>
      <w:proofErr w:type="spellStart"/>
      <w:r w:rsidRPr="008E7CF8">
        <w:t>glifosatu</w:t>
      </w:r>
      <w:proofErr w:type="spellEnd"/>
      <w:r w:rsidRPr="008E7CF8">
        <w:rPr>
          <w:rStyle w:val="FootnoteReference"/>
        </w:rPr>
        <w:footnoteReference w:id="8"/>
      </w:r>
      <w:r w:rsidRPr="008E7CF8">
        <w:t xml:space="preserve">; mając na uwadze, że czasopismo „Regulatory </w:t>
      </w:r>
      <w:proofErr w:type="spellStart"/>
      <w:r w:rsidRPr="008E7CF8">
        <w:t>Toxicology</w:t>
      </w:r>
      <w:proofErr w:type="spellEnd"/>
      <w:r w:rsidRPr="008E7CF8">
        <w:t xml:space="preserve"> and </w:t>
      </w:r>
      <w:proofErr w:type="spellStart"/>
      <w:r w:rsidRPr="008E7CF8">
        <w:t>Pharmacology</w:t>
      </w:r>
      <w:proofErr w:type="spellEnd"/>
      <w:r w:rsidRPr="008E7CF8">
        <w:t>” oficjalnie wycofało opublikowany w 2000 r. artykuł naukowy pt. „</w:t>
      </w:r>
      <w:proofErr w:type="spellStart"/>
      <w:r w:rsidRPr="008E7CF8">
        <w:t>Safety</w:t>
      </w:r>
      <w:proofErr w:type="spellEnd"/>
      <w:r w:rsidRPr="008E7CF8">
        <w:t xml:space="preserve"> Evaluation and </w:t>
      </w:r>
      <w:proofErr w:type="spellStart"/>
      <w:r w:rsidRPr="008E7CF8">
        <w:t>Risk</w:t>
      </w:r>
      <w:proofErr w:type="spellEnd"/>
      <w:r w:rsidRPr="008E7CF8">
        <w:t xml:space="preserve"> </w:t>
      </w:r>
      <w:proofErr w:type="spellStart"/>
      <w:r w:rsidRPr="008E7CF8">
        <w:t>Assessment</w:t>
      </w:r>
      <w:proofErr w:type="spellEnd"/>
      <w:r w:rsidRPr="008E7CF8">
        <w:t xml:space="preserve"> of the </w:t>
      </w:r>
      <w:proofErr w:type="spellStart"/>
      <w:r w:rsidRPr="008E7CF8">
        <w:t>Herbicide</w:t>
      </w:r>
      <w:proofErr w:type="spellEnd"/>
      <w:r w:rsidRPr="008E7CF8">
        <w:t xml:space="preserve"> Roundup and </w:t>
      </w:r>
      <w:proofErr w:type="spellStart"/>
      <w:r w:rsidRPr="008E7CF8">
        <w:t>Its</w:t>
      </w:r>
      <w:proofErr w:type="spellEnd"/>
      <w:r w:rsidRPr="008E7CF8">
        <w:t xml:space="preserve"> Active Ingredient, </w:t>
      </w:r>
      <w:proofErr w:type="spellStart"/>
      <w:r w:rsidRPr="008E7CF8">
        <w:t>Glyphosate</w:t>
      </w:r>
      <w:proofErr w:type="spellEnd"/>
      <w:r w:rsidRPr="008E7CF8">
        <w:t xml:space="preserve">, for </w:t>
      </w:r>
      <w:proofErr w:type="spellStart"/>
      <w:r w:rsidRPr="008E7CF8">
        <w:t>Humans</w:t>
      </w:r>
      <w:proofErr w:type="spellEnd"/>
      <w:r w:rsidRPr="008E7CF8">
        <w:t xml:space="preserve">” [Ocena bezpieczeństwa i ocena ryzyka herbicydu Roundup i jego aktywnego składnika </w:t>
      </w:r>
      <w:proofErr w:type="spellStart"/>
      <w:r w:rsidRPr="008E7CF8">
        <w:t>glifosatu</w:t>
      </w:r>
      <w:proofErr w:type="spellEnd"/>
      <w:r w:rsidRPr="008E7CF8">
        <w:t xml:space="preserve"> dla ludzi], który wykorzystywano w obronie bezpieczeństwa </w:t>
      </w:r>
      <w:proofErr w:type="spellStart"/>
      <w:r w:rsidRPr="008E7CF8">
        <w:t>glifosatu</w:t>
      </w:r>
      <w:proofErr w:type="spellEnd"/>
      <w:r w:rsidRPr="008E7CF8">
        <w:t xml:space="preserve"> w wielu ocenach ryzyka, ponieważ „wyrażono wątpliwości co do jego autorstwa, zasadności wyników badań w kontekście mylącego przedstawienia wkładu autorów i sponsora badania oraz potencjalnych konfliktów interesów autorów”</w:t>
      </w:r>
      <w:r w:rsidRPr="008E7CF8">
        <w:rPr>
          <w:rStyle w:val="FootnoteReference"/>
        </w:rPr>
        <w:footnoteReference w:id="9"/>
      </w:r>
      <w:r w:rsidRPr="008E7CF8">
        <w:t>;</w:t>
      </w:r>
    </w:p>
    <w:p w14:paraId="4EB59F04" w14:textId="77777777" w:rsidR="00FF36B2" w:rsidRPr="008E7CF8" w:rsidRDefault="00FF36B2" w:rsidP="00FF36B2">
      <w:pPr>
        <w:pStyle w:val="NormalHanging12a"/>
      </w:pPr>
      <w:r w:rsidRPr="008E7CF8">
        <w:t>I.</w:t>
      </w:r>
      <w:r w:rsidRPr="008E7CF8">
        <w:tab/>
        <w:t>mając na uwadze, że nadal w niewystarczającym stopniu zagwarantowane jest niezależne monitorowanie i nadzór nad potencjalnym niekorzystnym wpływem na różnorodność biologiczną, zdrowie gleby, owady zapylające i organizmy niebędące przedmiotem zwalczania;</w:t>
      </w:r>
    </w:p>
    <w:p w14:paraId="28A249C6" w14:textId="77777777" w:rsidR="00FF36B2" w:rsidRPr="008E7CF8" w:rsidRDefault="00FF36B2" w:rsidP="00FF36B2">
      <w:pPr>
        <w:spacing w:after="240"/>
        <w:ind w:left="567" w:hanging="567"/>
      </w:pPr>
      <w:r w:rsidRPr="008E7CF8">
        <w:t>J.</w:t>
      </w:r>
      <w:r w:rsidRPr="008E7CF8">
        <w:tab/>
        <w:t>mając na uwadze, że w przypadku braku pewności naukowej należy postępować zgodnie z zasadą ostrożności zapisaną w art. 191 Traktatu o funkcjonowaniu Unii Europejskiej;</w:t>
      </w:r>
    </w:p>
    <w:p w14:paraId="74F50B4A" w14:textId="77777777" w:rsidR="00FF36B2" w:rsidRPr="008E7CF8" w:rsidRDefault="00FF36B2" w:rsidP="00FF36B2">
      <w:pPr>
        <w:spacing w:after="240"/>
        <w:ind w:left="567" w:hanging="567"/>
      </w:pPr>
      <w:r w:rsidRPr="008E7CF8">
        <w:t>K.</w:t>
      </w:r>
      <w:r w:rsidRPr="008E7CF8">
        <w:tab/>
        <w:t>mając na uwadze, że zgodnie z rozporządzeniem (WE) nr 1829/2003 genetycznie zmodyfikowane żywność i pasza nie mogą mieć negatywnego wpływu na zdrowie ludzi i zwierząt ani na środowisko;</w:t>
      </w:r>
    </w:p>
    <w:p w14:paraId="77BF1854" w14:textId="77777777" w:rsidR="00FF36B2" w:rsidRPr="008E7CF8" w:rsidRDefault="00FF36B2" w:rsidP="00FF36B2">
      <w:pPr>
        <w:pStyle w:val="NormalWeb"/>
        <w:widowControl w:val="0"/>
        <w:spacing w:before="0" w:beforeAutospacing="0" w:after="240" w:afterAutospacing="0"/>
        <w:ind w:left="567" w:hanging="567"/>
      </w:pPr>
      <w:r w:rsidRPr="008E7CF8">
        <w:t>L.</w:t>
      </w:r>
      <w:r w:rsidRPr="008E7CF8">
        <w:tab/>
        <w:t>mając na uwadze, że unijne zezwolenie na genetycznie zmodyfikowaną soję nie byłoby spójne z międzynarodowymi zobowiązaniami w zakresie ograniczenia stosowania pestycydów</w:t>
      </w:r>
      <w:r w:rsidRPr="008E7CF8">
        <w:rPr>
          <w:vertAlign w:val="superscript"/>
        </w:rPr>
        <w:footnoteReference w:id="10"/>
      </w:r>
      <w:r w:rsidRPr="008E7CF8">
        <w:t xml:space="preserve">, zważywszy na zwiększone narażenie ludzi, zwierząt i środowiska na </w:t>
      </w:r>
      <w:proofErr w:type="spellStart"/>
      <w:r w:rsidRPr="008E7CF8">
        <w:t>glifosat</w:t>
      </w:r>
      <w:proofErr w:type="spellEnd"/>
      <w:r w:rsidRPr="008E7CF8">
        <w:t xml:space="preserve"> i </w:t>
      </w:r>
      <w:proofErr w:type="spellStart"/>
      <w:r w:rsidRPr="008E7CF8">
        <w:t>glufosynat</w:t>
      </w:r>
      <w:proofErr w:type="spellEnd"/>
      <w:r w:rsidRPr="008E7CF8">
        <w:t xml:space="preserve"> w krajach, w których uprawia się genetycznie zmodyfikowane rośliny odporne na tego rodzaju herbicydy, a także związane z tym efekty zdrowotne, które mogą być poważne;</w:t>
      </w:r>
    </w:p>
    <w:p w14:paraId="791557DB" w14:textId="77777777" w:rsidR="00FF36B2" w:rsidRPr="008E7CF8" w:rsidRDefault="00FF36B2" w:rsidP="00FF36B2">
      <w:pPr>
        <w:spacing w:after="240"/>
        <w:ind w:left="567" w:hanging="567"/>
      </w:pPr>
      <w:r w:rsidRPr="008E7CF8">
        <w:t>M.</w:t>
      </w:r>
      <w:r w:rsidRPr="008E7CF8">
        <w:tab/>
        <w:t>mając na uwadze, że projekt decyzji wykonawczej Komisji umożliwiłby przywóz do Unii produktów, które nie spełniają norm przestrzeganych przez unijnych rolników, stawiając ich w niekorzystnej sytuacji konkurencyjnej;</w:t>
      </w:r>
    </w:p>
    <w:p w14:paraId="42D86AD0" w14:textId="77777777" w:rsidR="00FF36B2" w:rsidRPr="008E7CF8" w:rsidRDefault="00FF36B2" w:rsidP="00FF36B2">
      <w:pPr>
        <w:spacing w:after="240"/>
        <w:ind w:left="567" w:hanging="567"/>
      </w:pPr>
      <w:r w:rsidRPr="008E7CF8">
        <w:t>N.</w:t>
      </w:r>
      <w:r w:rsidRPr="008E7CF8">
        <w:tab/>
        <w:t>mając na uwadze, że we wnioskach ze strategicznego dialogu na temat przyszłości rolnictwa w UE</w:t>
      </w:r>
      <w:r w:rsidRPr="008E7CF8">
        <w:rPr>
          <w:rStyle w:val="FootnoteReference"/>
        </w:rPr>
        <w:footnoteReference w:id="11"/>
      </w:r>
      <w:r w:rsidRPr="008E7CF8">
        <w:t xml:space="preserve"> wzywa się Komisję do ponownego ocenienia podejścia do kwestii wprowadzenia do obrotu produktów rolno-spożywczych w imporcie i eksporcie, z uwzględnieniem wyzwania, jakie stanowią rozbieżne standardy Unii i jej partnerów handlowych; mając na uwadze, że sprawiedliwsze stosunki handlowe na poziomie globalnym spójne z celami na rzecz zdrowego środowiska były jednym z głównych </w:t>
      </w:r>
      <w:r w:rsidRPr="008E7CF8">
        <w:lastRenderedPageBreak/>
        <w:t>postulatów rolników podczas demonstracji w latach 2023, 2024 i 2025;</w:t>
      </w:r>
    </w:p>
    <w:p w14:paraId="038689F4" w14:textId="77777777" w:rsidR="00FF36B2" w:rsidRPr="008E7CF8" w:rsidRDefault="00FF36B2" w:rsidP="00FF36B2">
      <w:pPr>
        <w:spacing w:after="240"/>
        <w:ind w:left="567" w:hanging="567"/>
      </w:pPr>
      <w:r w:rsidRPr="008E7CF8">
        <w:t>O.</w:t>
      </w:r>
      <w:r w:rsidRPr="008E7CF8">
        <w:tab/>
        <w:t>mając na uwadze, że Parlament wielokrotnie podkreślał, iż aby zaradzić utrzymującemu się deficytowi demokratycznemu, Komisja nie powinna zatwierdzać GMO w przypadkach, gdy państwa członkowskie nie osiągnęły większości kwalifikowanej w Stałym Komitecie ds. Roślin, Zwierząt, Żywności i Pasz lub w komitecie odwoławczym;</w:t>
      </w:r>
    </w:p>
    <w:p w14:paraId="5B6707B1" w14:textId="77777777" w:rsidR="00FF36B2" w:rsidRPr="008E7CF8" w:rsidRDefault="00FF36B2" w:rsidP="00FF36B2">
      <w:pPr>
        <w:pStyle w:val="NormalWeb"/>
        <w:widowControl w:val="0"/>
        <w:shd w:val="clear" w:color="auto" w:fill="FFFFFF"/>
        <w:spacing w:before="0" w:beforeAutospacing="0" w:after="240" w:afterAutospacing="0"/>
        <w:ind w:left="567" w:hanging="567"/>
        <w:rPr>
          <w:color w:val="000000" w:themeColor="text1"/>
        </w:rPr>
      </w:pPr>
      <w:r w:rsidRPr="008E7CF8">
        <w:rPr>
          <w:color w:val="000000" w:themeColor="text1"/>
        </w:rPr>
        <w:t>P.</w:t>
      </w:r>
      <w:r w:rsidRPr="008E7CF8">
        <w:rPr>
          <w:color w:val="000000" w:themeColor="text1"/>
        </w:rPr>
        <w:tab/>
        <w:t>mając na uwadze, że Komisja nadal wydaje zezwolenia na GMO, mimo że sama stwierdziła niedemokratyczność tego procesu, a także mimo braku poparcia ze strony państw członkowskich i mimo sprzeciwów Parlamentu;</w:t>
      </w:r>
    </w:p>
    <w:p w14:paraId="1A9EF808" w14:textId="77777777" w:rsidR="00FF36B2" w:rsidRPr="008E7CF8" w:rsidRDefault="00FF36B2" w:rsidP="00FF36B2">
      <w:pPr>
        <w:spacing w:after="240"/>
        <w:ind w:left="567" w:hanging="567"/>
      </w:pPr>
      <w:r w:rsidRPr="008E7CF8">
        <w:t>Q.</w:t>
      </w:r>
      <w:r w:rsidRPr="008E7CF8">
        <w:tab/>
        <w:t>mając na uwadze, że podejście „Jedno zdrowie” wymaga uwzględnienia współzależności między zdrowiem ludzi, zwierząt i roślin oraz stanem środowiska podczas oceny długoterminowego zrównoważonego charakteru i bezpieczeństwa organizmów zmodyfikowanych genetycznie;</w:t>
      </w:r>
    </w:p>
    <w:p w14:paraId="5F9DFF81" w14:textId="7C6964EA" w:rsidR="00FF36B2" w:rsidRPr="008E7CF8" w:rsidRDefault="00FF36B2" w:rsidP="00FF36B2">
      <w:pPr>
        <w:spacing w:after="240"/>
        <w:ind w:left="567" w:hanging="567"/>
      </w:pPr>
      <w:r w:rsidRPr="008E7CF8">
        <w:t>R.</w:t>
      </w:r>
      <w:r w:rsidRPr="008E7CF8">
        <w:tab/>
        <w:t>mając na uwadze, że rezolucja ta będzie</w:t>
      </w:r>
      <w:r w:rsidR="008E65E0">
        <w:t xml:space="preserve"> niemal</w:t>
      </w:r>
      <w:r w:rsidRPr="008E7CF8">
        <w:t xml:space="preserve"> setną przyjętą przez Parlament Europejski rezolucją zawierającą sprzeciw wobec zezwolenia na przywóz upraw GMO; </w:t>
      </w:r>
    </w:p>
    <w:p w14:paraId="4B5FE555" w14:textId="77777777" w:rsidR="00FF36B2" w:rsidRPr="008E7CF8" w:rsidRDefault="00FF36B2" w:rsidP="00FF36B2">
      <w:pPr>
        <w:pStyle w:val="NormalHanging12a"/>
      </w:pPr>
      <w:r w:rsidRPr="008E7CF8">
        <w:t>1.</w:t>
      </w:r>
      <w:r w:rsidRPr="008E7CF8">
        <w:tab/>
        <w:t>uważa, że projekt decyzji wykonawczej Komisji wykracza poza uprawnienia wykonawcze przewidziane w rozporządzeniu (WE) nr 1829/2003;</w:t>
      </w:r>
    </w:p>
    <w:p w14:paraId="38EDD62E" w14:textId="77777777" w:rsidR="00FF36B2" w:rsidRPr="008E7CF8" w:rsidRDefault="00FF36B2" w:rsidP="00FF36B2">
      <w:pPr>
        <w:pStyle w:val="NormalHanging12a"/>
      </w:pPr>
      <w:bookmarkStart w:id="9" w:name="_Hlk218675825"/>
      <w:r w:rsidRPr="008E7CF8">
        <w:t>2.</w:t>
      </w:r>
      <w:r w:rsidRPr="008E7CF8">
        <w:tab/>
        <w:t>uważa, że projekt decyzji wykonawczej Komisji jest niespójny z prawem Unii, ponieważ nie odpowiada celowi rozporządzenia (WE) nr 1829/2003 zakładającemu – zgodnie z zasadami ogólnymi określonymi w rozporządzeniu Parlamentu Europejskiego i Rady (WE) nr 178/2002</w:t>
      </w:r>
      <w:r w:rsidRPr="008E7CF8">
        <w:rPr>
          <w:vertAlign w:val="superscript"/>
        </w:rPr>
        <w:footnoteReference w:id="12"/>
      </w:r>
      <w:r w:rsidRPr="008E7CF8">
        <w:t xml:space="preserve"> – stworzenie podstawy do zapewnienia wysokiego poziomu ochrony życia i zdrowia ludzkiego, zdrowia i dobrostanu zwierząt, środowiska naturalnego oraz interesów konsumentów w związku z genetycznie zmodyfikowaną żywnością i paszą, przy jednoczesnym zagwarantowaniu skutecznego funkcjonowania rynku wewnętrznego; </w:t>
      </w:r>
    </w:p>
    <w:bookmarkEnd w:id="9"/>
    <w:p w14:paraId="173E768F" w14:textId="77777777" w:rsidR="00FF36B2" w:rsidRPr="008E7CF8" w:rsidRDefault="00FF36B2" w:rsidP="00FF36B2">
      <w:pPr>
        <w:pStyle w:val="NormalHanging12a"/>
      </w:pPr>
      <w:r w:rsidRPr="008E7CF8">
        <w:t>3.</w:t>
      </w:r>
      <w:r w:rsidRPr="008E7CF8">
        <w:tab/>
        <w:t>wzywa Komisję do wycofania projektu decyzji wykonawczej;</w:t>
      </w:r>
    </w:p>
    <w:p w14:paraId="5257093D" w14:textId="77777777" w:rsidR="00FF36B2" w:rsidRPr="008E7CF8" w:rsidRDefault="00FF36B2" w:rsidP="00FF36B2">
      <w:pPr>
        <w:spacing w:after="240"/>
        <w:ind w:left="567" w:hanging="567"/>
      </w:pPr>
      <w:r w:rsidRPr="008E7CF8">
        <w:t>4.</w:t>
      </w:r>
      <w:r w:rsidRPr="008E7CF8">
        <w:tab/>
        <w:t>wzywa Komisję, aby zgodnie z podejściem „Jedno zdrowie” nie zatwierdzała genetycznie zmodyfikowanej soi ze względu na brak wystarczających dowodów co do długofalowych skutków dla różnorodności biologicznej, bezpieczeństwa żywności, źródeł utrzymania rolników oraz zdrowia zwierząt;</w:t>
      </w:r>
    </w:p>
    <w:p w14:paraId="700A5953" w14:textId="77777777" w:rsidR="00FF36B2" w:rsidRPr="008E7CF8" w:rsidRDefault="00FF36B2" w:rsidP="00FF36B2">
      <w:pPr>
        <w:spacing w:after="240"/>
        <w:ind w:left="567" w:hanging="567"/>
      </w:pPr>
      <w:bookmarkStart w:id="10" w:name="_Hlk210900300"/>
      <w:r w:rsidRPr="008E7CF8">
        <w:t>5.</w:t>
      </w:r>
      <w:r w:rsidRPr="008E7CF8">
        <w:tab/>
        <w:t>wzywa Komisję do niezwłocznego przedłożenia wniosku ustawodawczego w celu zreformowania procedury decyzyjnej dotyczącej organizmów zmodyfikowanych genetycznie, aby zareagować na konsekwentne zastrzeżenia Parlamentu i brak poparcia kwalifikowanej większości państw członkowskich</w:t>
      </w:r>
      <w:bookmarkEnd w:id="10"/>
      <w:r w:rsidRPr="008E7CF8">
        <w:t>;</w:t>
      </w:r>
    </w:p>
    <w:p w14:paraId="5811C222" w14:textId="77777777" w:rsidR="00FF36B2" w:rsidRPr="008E7CF8" w:rsidRDefault="00FF36B2" w:rsidP="00FF36B2">
      <w:pPr>
        <w:spacing w:after="240"/>
        <w:ind w:left="567" w:hanging="567"/>
      </w:pPr>
      <w:bookmarkStart w:id="11" w:name="_Hlk210900241"/>
      <w:r w:rsidRPr="008E7CF8">
        <w:t>6.</w:t>
      </w:r>
      <w:r w:rsidRPr="008E7CF8">
        <w:tab/>
        <w:t xml:space="preserve">podkreśla w związku z tym, że zezwalanie na przywóz jako żywności, paszy lub produktów jakichkolwiek roślin zmodyfikowanych genetycznie, którym nadano </w:t>
      </w:r>
      <w:r w:rsidRPr="008E7CF8">
        <w:lastRenderedPageBreak/>
        <w:t xml:space="preserve">tolerancję na herbicydy zakazane w Unii – takie jak </w:t>
      </w:r>
      <w:proofErr w:type="spellStart"/>
      <w:r w:rsidRPr="008E7CF8">
        <w:t>glufosynat</w:t>
      </w:r>
      <w:proofErr w:type="spellEnd"/>
      <w:r w:rsidRPr="008E7CF8">
        <w:t xml:space="preserve"> – jest niezgodne z międzynarodowymi zobowiązaniami Unii wynikającymi m.in. z Konwencji ONZ o różnorodności biologicznej i celów zrównoważonego rozwoju ONZ, w tym z globalnymi ramami różnorodności biologicznej z Kunmingu/Montrealu, a także stwarza nierówne warunki działania dla unijnych rolników;</w:t>
      </w:r>
      <w:bookmarkEnd w:id="11"/>
    </w:p>
    <w:p w14:paraId="3C516B4B" w14:textId="624BDF71" w:rsidR="008E7CF8" w:rsidRPr="008E7CF8" w:rsidRDefault="00FF36B2" w:rsidP="008E7CF8">
      <w:pPr>
        <w:pStyle w:val="NormalHanging12a"/>
      </w:pPr>
      <w:r w:rsidRPr="008E7CF8">
        <w:t>7.</w:t>
      </w:r>
      <w:r w:rsidRPr="008E7CF8">
        <w:tab/>
        <w:t>zobowiązuje swoją przewodniczącą do przekazania niniejszej rezolucji Radzie i Komisji, a także rządom i parlamentom państw członkowskich.</w:t>
      </w:r>
    </w:p>
    <w:p w14:paraId="09D0BBFB" w14:textId="7067F2F4" w:rsidR="00E365E1" w:rsidRPr="008E7CF8" w:rsidRDefault="00E365E1" w:rsidP="00A71C46"/>
    <w:sectPr w:rsidR="00E365E1" w:rsidRPr="008E7CF8" w:rsidSect="008E7CF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58EA25" w14:textId="77777777" w:rsidR="00A71C46" w:rsidRPr="008E7CF8" w:rsidRDefault="00A71C46">
      <w:r w:rsidRPr="008E7CF8">
        <w:separator/>
      </w:r>
    </w:p>
  </w:endnote>
  <w:endnote w:type="continuationSeparator" w:id="0">
    <w:p w14:paraId="6DEE8B7B" w14:textId="77777777" w:rsidR="00A71C46" w:rsidRPr="008E7CF8" w:rsidRDefault="00A71C46">
      <w:r w:rsidRPr="008E7CF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7B4A6" w14:textId="77777777" w:rsidR="00064002" w:rsidRPr="008E7CF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28498" w14:textId="77777777" w:rsidR="00064002" w:rsidRPr="008E7CF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A5F58" w14:textId="77777777" w:rsidR="00064002" w:rsidRPr="008E7CF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FC8C7B" w14:textId="77777777" w:rsidR="00A71C46" w:rsidRPr="008E7CF8" w:rsidRDefault="00A71C46">
      <w:r w:rsidRPr="008E7CF8">
        <w:separator/>
      </w:r>
    </w:p>
  </w:footnote>
  <w:footnote w:type="continuationSeparator" w:id="0">
    <w:p w14:paraId="7746F52D" w14:textId="77777777" w:rsidR="00A71C46" w:rsidRPr="008E7CF8" w:rsidRDefault="00A71C46">
      <w:r w:rsidRPr="008E7CF8">
        <w:continuationSeparator/>
      </w:r>
    </w:p>
  </w:footnote>
  <w:footnote w:id="1">
    <w:p w14:paraId="50E4B5A8" w14:textId="6CB27DCB" w:rsidR="00FF36B2" w:rsidRPr="008E7CF8" w:rsidRDefault="00FF36B2" w:rsidP="008E7CF8">
      <w:pPr>
        <w:pStyle w:val="FootnoteText"/>
        <w:ind w:left="567" w:hanging="567"/>
        <w:rPr>
          <w:sz w:val="24"/>
          <w:lang w:val="pl-PL"/>
        </w:rPr>
      </w:pPr>
      <w:r w:rsidRPr="008E7CF8">
        <w:rPr>
          <w:rStyle w:val="FootnoteReference"/>
          <w:sz w:val="24"/>
          <w:lang w:val="pl-PL"/>
        </w:rPr>
        <w:footnoteRef/>
      </w:r>
      <w:r w:rsidR="008E7CF8" w:rsidRPr="008E7CF8">
        <w:rPr>
          <w:sz w:val="24"/>
          <w:lang w:val="pl-PL"/>
        </w:rPr>
        <w:t xml:space="preserve"> </w:t>
      </w:r>
      <w:r w:rsidR="008E7CF8" w:rsidRPr="008E7CF8">
        <w:rPr>
          <w:sz w:val="24"/>
          <w:lang w:val="pl-PL"/>
        </w:rPr>
        <w:tab/>
      </w:r>
      <w:r w:rsidRPr="008E7CF8">
        <w:rPr>
          <w:sz w:val="24"/>
          <w:lang w:val="pl-PL"/>
        </w:rPr>
        <w:t>Dz.U. L 268 z 18.10.2003, s. 1., ELI: </w:t>
      </w:r>
      <w:hyperlink r:id="rId1" w:history="1">
        <w:r w:rsidRPr="008E7CF8">
          <w:rPr>
            <w:rStyle w:val="Hyperlink"/>
            <w:sz w:val="24"/>
            <w:lang w:val="pl-PL"/>
          </w:rPr>
          <w:t>http://data.europa.eu/eli/reg/2003/1829/oj</w:t>
        </w:r>
      </w:hyperlink>
      <w:r w:rsidRPr="008E7CF8">
        <w:rPr>
          <w:sz w:val="24"/>
          <w:u w:val="single"/>
          <w:lang w:val="pl-PL"/>
        </w:rPr>
        <w:t>.</w:t>
      </w:r>
    </w:p>
  </w:footnote>
  <w:footnote w:id="2">
    <w:p w14:paraId="7119DE1F" w14:textId="6FE80CD3" w:rsidR="00FF36B2" w:rsidRPr="008E7CF8" w:rsidRDefault="00FF36B2" w:rsidP="008E7CF8">
      <w:pPr>
        <w:pStyle w:val="FootnoteText"/>
        <w:ind w:left="567" w:hanging="567"/>
        <w:rPr>
          <w:sz w:val="24"/>
          <w:lang w:val="pl-PL"/>
        </w:rPr>
      </w:pPr>
      <w:r w:rsidRPr="008E7CF8">
        <w:rPr>
          <w:rStyle w:val="FootnoteReference"/>
          <w:sz w:val="24"/>
          <w:lang w:val="pl-PL"/>
        </w:rPr>
        <w:footnoteRef/>
      </w:r>
      <w:r w:rsidR="008E7CF8" w:rsidRPr="008E7CF8">
        <w:rPr>
          <w:sz w:val="24"/>
          <w:lang w:val="pl-PL"/>
        </w:rPr>
        <w:t xml:space="preserve"> </w:t>
      </w:r>
      <w:r w:rsidR="008E7CF8" w:rsidRPr="008E7CF8">
        <w:rPr>
          <w:sz w:val="24"/>
          <w:lang w:val="pl-PL"/>
        </w:rPr>
        <w:tab/>
      </w:r>
      <w:r w:rsidRPr="008E7CF8">
        <w:rPr>
          <w:sz w:val="24"/>
          <w:lang w:val="pl-PL"/>
        </w:rPr>
        <w:t>Dz.U. L 55 z 28.2.2011, s. 13, ELI: </w:t>
      </w:r>
      <w:hyperlink r:id="rId2" w:history="1">
        <w:r w:rsidRPr="008E7CF8">
          <w:rPr>
            <w:rStyle w:val="Hyperlink"/>
            <w:sz w:val="24"/>
            <w:lang w:val="pl-PL"/>
          </w:rPr>
          <w:t>http://data.europa.eu/eli/reg/2011/182/oj</w:t>
        </w:r>
      </w:hyperlink>
      <w:r w:rsidRPr="008E7CF8">
        <w:rPr>
          <w:rStyle w:val="Hyperlink"/>
          <w:sz w:val="24"/>
          <w:lang w:val="pl-PL"/>
        </w:rPr>
        <w:t>.</w:t>
      </w:r>
    </w:p>
  </w:footnote>
  <w:footnote w:id="3">
    <w:p w14:paraId="086B4147" w14:textId="547FFCC8" w:rsidR="00FF36B2" w:rsidRPr="008E7CF8" w:rsidRDefault="00FF36B2" w:rsidP="008E7CF8">
      <w:pPr>
        <w:pStyle w:val="FootnoteText"/>
        <w:ind w:left="567" w:hanging="567"/>
        <w:rPr>
          <w:sz w:val="24"/>
          <w:lang w:val="pl-PL"/>
        </w:rPr>
      </w:pPr>
      <w:r w:rsidRPr="008E7CF8">
        <w:rPr>
          <w:rStyle w:val="FootnoteReference"/>
          <w:sz w:val="24"/>
          <w:lang w:val="pl-PL"/>
        </w:rPr>
        <w:footnoteRef/>
      </w:r>
      <w:r w:rsidR="008E7CF8" w:rsidRPr="008E7CF8">
        <w:rPr>
          <w:sz w:val="24"/>
          <w:lang w:val="pl-PL"/>
        </w:rPr>
        <w:t xml:space="preserve"> </w:t>
      </w:r>
      <w:r w:rsidR="008E7CF8" w:rsidRPr="008E7CF8">
        <w:rPr>
          <w:sz w:val="24"/>
          <w:lang w:val="pl-PL"/>
        </w:rPr>
        <w:tab/>
      </w:r>
      <w:r w:rsidRPr="008E7CF8">
        <w:rPr>
          <w:sz w:val="24"/>
          <w:lang w:val="pl-PL"/>
        </w:rPr>
        <w:t xml:space="preserve">Opinia naukowa panelu EFSA ds. organizmów modyfikowanych genetycznie dotycząca oceny genetycznie zmodyfikowanej soi DBN9004 (wniosek EFSA-GMO-BE-2019-165), </w:t>
      </w:r>
      <w:r w:rsidRPr="008E7CF8">
        <w:rPr>
          <w:i/>
          <w:iCs/>
          <w:sz w:val="24"/>
          <w:lang w:val="pl-PL"/>
        </w:rPr>
        <w:t>Dziennik EFSA</w:t>
      </w:r>
      <w:r w:rsidRPr="008E7CF8">
        <w:rPr>
          <w:sz w:val="24"/>
          <w:lang w:val="pl-PL"/>
        </w:rPr>
        <w:t xml:space="preserve">, 2025, 23(7):e9503, </w:t>
      </w:r>
      <w:hyperlink r:id="rId3" w:history="1">
        <w:r w:rsidRPr="008E7CF8">
          <w:rPr>
            <w:rStyle w:val="Hyperlink"/>
            <w:sz w:val="24"/>
            <w:lang w:val="pl-PL"/>
          </w:rPr>
          <w:t>https://doi.org/10.2903/j.efsa.2025.9503</w:t>
        </w:r>
      </w:hyperlink>
      <w:r w:rsidRPr="008E7CF8">
        <w:rPr>
          <w:sz w:val="24"/>
          <w:lang w:val="pl-PL"/>
        </w:rPr>
        <w:t xml:space="preserve">. </w:t>
      </w:r>
    </w:p>
  </w:footnote>
  <w:footnote w:id="4">
    <w:p w14:paraId="15B3F792" w14:textId="2FC76FC6" w:rsidR="00FF36B2" w:rsidRPr="008E7CF8" w:rsidRDefault="00FF36B2" w:rsidP="008E7CF8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8E7CF8">
        <w:rPr>
          <w:rStyle w:val="FootnoteReference"/>
          <w:sz w:val="24"/>
          <w:lang w:val="pl-PL"/>
        </w:rPr>
        <w:footnoteRef/>
      </w:r>
      <w:r w:rsidR="008E7CF8" w:rsidRPr="008E7CF8">
        <w:rPr>
          <w:sz w:val="24"/>
          <w:lang w:val="pl-PL"/>
        </w:rPr>
        <w:t xml:space="preserve"> </w:t>
      </w:r>
      <w:r w:rsidR="008E7CF8" w:rsidRPr="008E7CF8">
        <w:rPr>
          <w:sz w:val="24"/>
          <w:lang w:val="pl-PL"/>
        </w:rPr>
        <w:tab/>
      </w:r>
      <w:r w:rsidRPr="008E7CF8">
        <w:rPr>
          <w:sz w:val="24"/>
          <w:lang w:val="pl-PL"/>
        </w:rPr>
        <w:t>W ósmej kadencji Parlament przyjął 36, a w dziewiątej – 38 rezolucji sprzeciwiających się zatwierdzaniu GMO. Ponadto w dziesiątej kadencji Parlament przyjął następujące rezolucje:</w:t>
      </w:r>
    </w:p>
    <w:p w14:paraId="342D470D" w14:textId="58FB2539" w:rsidR="00FF36B2" w:rsidRPr="008E7CF8" w:rsidRDefault="008E7CF8" w:rsidP="008E7CF8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8E7CF8">
        <w:rPr>
          <w:sz w:val="24"/>
          <w:lang w:val="pl-PL"/>
        </w:rPr>
        <w:t xml:space="preserve"> </w:t>
      </w:r>
      <w:r w:rsidRPr="008E7CF8">
        <w:rPr>
          <w:sz w:val="24"/>
          <w:lang w:val="pl-PL"/>
        </w:rPr>
        <w:tab/>
      </w:r>
      <w:r w:rsidR="00FF36B2" w:rsidRPr="008E7CF8">
        <w:rPr>
          <w:sz w:val="24"/>
          <w:lang w:val="pl-PL"/>
        </w:rPr>
        <w:t>–</w:t>
      </w:r>
      <w:r w:rsidR="00FF36B2" w:rsidRPr="008E7CF8">
        <w:rPr>
          <w:sz w:val="24"/>
          <w:lang w:val="pl-PL"/>
        </w:rPr>
        <w:tab/>
        <w:t>Rezolucja Parlamentu Europejskiego z 26 listopada 2024 r. w sprawie projektu decyzji wykonawczej Komisji (UE) 2024/2628 dotyczącej odnowienia zezwolenia na wprowadzenie do obrotu, na podstawie rozporządzenia Parlamentu Europejskiego i Rady (WE) nr 1829/2003, produktów zawierających genetycznie zmodyfikowaną kukurydzę MON 89034 × 1507 × NK603, składających się z niej lub z niej wyprodukowanych (Dz.U. C, C/2025/1797, 4.4.2025, ELI: </w:t>
      </w:r>
      <w:hyperlink r:id="rId4" w:history="1">
        <w:r w:rsidR="00FF36B2" w:rsidRPr="008E7CF8">
          <w:rPr>
            <w:rStyle w:val="Hyperlink"/>
            <w:sz w:val="24"/>
            <w:lang w:val="pl-PL"/>
          </w:rPr>
          <w:t>http://data.europa.eu/eli/C/2025/1797/oj</w:t>
        </w:r>
      </w:hyperlink>
      <w:r w:rsidR="00FF36B2" w:rsidRPr="008E7CF8">
        <w:rPr>
          <w:sz w:val="24"/>
          <w:lang w:val="pl-PL"/>
        </w:rPr>
        <w:t>).</w:t>
      </w:r>
    </w:p>
    <w:p w14:paraId="480B7B3D" w14:textId="02B01CFB" w:rsidR="00FF36B2" w:rsidRPr="008E7CF8" w:rsidRDefault="008E7CF8" w:rsidP="008E7CF8">
      <w:pPr>
        <w:pStyle w:val="FootnoteText"/>
        <w:keepNext/>
        <w:ind w:left="567" w:hanging="567"/>
        <w:rPr>
          <w:sz w:val="24"/>
          <w:vertAlign w:val="superscript"/>
          <w:lang w:val="pl-PL"/>
        </w:rPr>
      </w:pPr>
      <w:r w:rsidRPr="008E7CF8">
        <w:rPr>
          <w:sz w:val="24"/>
          <w:lang w:val="pl-PL"/>
        </w:rPr>
        <w:t xml:space="preserve"> </w:t>
      </w:r>
      <w:r w:rsidRPr="008E7CF8">
        <w:rPr>
          <w:sz w:val="24"/>
          <w:lang w:val="pl-PL"/>
        </w:rPr>
        <w:tab/>
      </w:r>
      <w:r w:rsidR="00FF36B2" w:rsidRPr="008E7CF8">
        <w:rPr>
          <w:sz w:val="24"/>
          <w:lang w:val="pl-PL"/>
        </w:rPr>
        <w:t>–</w:t>
      </w:r>
      <w:r w:rsidR="00FF36B2" w:rsidRPr="008E7CF8">
        <w:rPr>
          <w:sz w:val="24"/>
          <w:lang w:val="pl-PL"/>
        </w:rPr>
        <w:tab/>
        <w:t>Rezolucja Parlamentu Europejskiego z 26 listopada 2024 r. w sprawie decyzji wykonawczej Komisji (UE) 2024/2627 zezwalającej na wprowadzenie do obrotu na mocy rozporządzenia (WE) nr 1829/2003 Parlamentu Europejskiego i Rady produktów zawierających genetycznie zmodyfikowaną bawełnę COT102, składających się z niej lub z niej wyprodukowanych (Dz.U. C, C/2025/1798, 4.4.2025, ELI: </w:t>
      </w:r>
      <w:hyperlink r:id="rId5" w:history="1">
        <w:r w:rsidR="00FF36B2" w:rsidRPr="008E7CF8">
          <w:rPr>
            <w:rStyle w:val="Hyperlink"/>
            <w:sz w:val="24"/>
            <w:lang w:val="pl-PL"/>
          </w:rPr>
          <w:t>http://data.europa.eu/eli/C/2025/1798/oj</w:t>
        </w:r>
      </w:hyperlink>
      <w:r w:rsidR="00FF36B2" w:rsidRPr="008E7CF8">
        <w:rPr>
          <w:sz w:val="24"/>
          <w:lang w:val="pl-PL"/>
        </w:rPr>
        <w:t>).</w:t>
      </w:r>
    </w:p>
    <w:p w14:paraId="7B83B1DE" w14:textId="7A9DE14A" w:rsidR="00FF36B2" w:rsidRPr="008E7CF8" w:rsidRDefault="008E7CF8" w:rsidP="008E7CF8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8E7CF8">
        <w:rPr>
          <w:sz w:val="24"/>
          <w:lang w:val="pl-PL"/>
        </w:rPr>
        <w:t xml:space="preserve"> </w:t>
      </w:r>
      <w:r w:rsidRPr="008E7CF8">
        <w:rPr>
          <w:sz w:val="24"/>
          <w:lang w:val="pl-PL"/>
        </w:rPr>
        <w:tab/>
      </w:r>
      <w:r w:rsidR="00FF36B2" w:rsidRPr="008E7CF8">
        <w:rPr>
          <w:sz w:val="24"/>
          <w:lang w:val="pl-PL"/>
        </w:rPr>
        <w:t>–</w:t>
      </w:r>
      <w:r w:rsidR="00FF36B2" w:rsidRPr="008E7CF8">
        <w:rPr>
          <w:sz w:val="24"/>
          <w:lang w:val="pl-PL"/>
        </w:rPr>
        <w:tab/>
        <w:t xml:space="preserve">Rezolucja Parlamentu Europejskiego z 26 listopada 2024 r. w sprawie decyzji wykonawczej Komisji (UE) 2024/2629 dotyczącej odnowienia zezwolenia na wprowadzenie do obrotu, na podstawie rozporządzenia (WE) nr 1829/2003 Parlamentu Europejskiego i Rady, produktów zawierających genetycznie zmodyfikowaną kukurydzę MON 89034 × 1507 × MON 88017 × 59122 i osiem jej </w:t>
      </w:r>
      <w:proofErr w:type="spellStart"/>
      <w:r w:rsidR="00FF36B2" w:rsidRPr="008E7CF8">
        <w:rPr>
          <w:sz w:val="24"/>
          <w:lang w:val="pl-PL"/>
        </w:rPr>
        <w:t>subkombinacji</w:t>
      </w:r>
      <w:proofErr w:type="spellEnd"/>
      <w:r w:rsidR="00FF36B2" w:rsidRPr="008E7CF8">
        <w:rPr>
          <w:sz w:val="24"/>
          <w:lang w:val="pl-PL"/>
        </w:rPr>
        <w:t xml:space="preserve"> oraz produktów składających się z wymienionych rodzajów zmodyfikowanej genetycznie kukurydzy lub z niej wyprodukowanych (Dz.U. C, C/2025/1799, 4.4.2025, ELI: </w:t>
      </w:r>
      <w:hyperlink r:id="rId6" w:history="1">
        <w:r w:rsidR="00FF36B2" w:rsidRPr="008E7CF8">
          <w:rPr>
            <w:rStyle w:val="Hyperlink"/>
            <w:sz w:val="24"/>
            <w:lang w:val="pl-PL"/>
          </w:rPr>
          <w:t>http://data.europa.eu/eli/C/2025/1799/oj</w:t>
        </w:r>
      </w:hyperlink>
      <w:r w:rsidR="00FF36B2" w:rsidRPr="008E7CF8">
        <w:rPr>
          <w:sz w:val="24"/>
          <w:lang w:val="pl-PL"/>
        </w:rPr>
        <w:t>).</w:t>
      </w:r>
    </w:p>
    <w:p w14:paraId="064B8245" w14:textId="37536416" w:rsidR="00FF36B2" w:rsidRPr="008E7CF8" w:rsidRDefault="008E7CF8" w:rsidP="008E7CF8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8E7CF8">
        <w:rPr>
          <w:sz w:val="24"/>
          <w:lang w:val="pl-PL"/>
        </w:rPr>
        <w:t xml:space="preserve"> </w:t>
      </w:r>
      <w:r w:rsidRPr="008E7CF8">
        <w:rPr>
          <w:sz w:val="24"/>
          <w:lang w:val="pl-PL"/>
        </w:rPr>
        <w:tab/>
      </w:r>
      <w:r w:rsidR="00FF36B2" w:rsidRPr="008E7CF8">
        <w:rPr>
          <w:sz w:val="24"/>
          <w:lang w:val="pl-PL"/>
        </w:rPr>
        <w:t>–</w:t>
      </w:r>
      <w:r w:rsidR="00FF36B2" w:rsidRPr="008E7CF8">
        <w:rPr>
          <w:sz w:val="24"/>
          <w:lang w:val="pl-PL"/>
        </w:rPr>
        <w:tab/>
        <w:t>Rezolucja Parlamentu Europejskiego z 26 listopada 2024 r. w sprawie decyzji wykonawczej Komisji (UE) 2024/1828 odnawiającej zezwolenie na wprowadzenie do obrotu, na podstawie rozporządzenia (WE) nr 1829/2003 Parlamentu Europejskiego i Rady, paszy zawierającej genetycznie zmodyfikowaną kukurydzę MON 810 lub składającej się z niej oraz żywności i produktów paszowych wyprodukowanych z tej kukurydzy, a także uchylającej decyzję wykonawczą Komisji (UE) 2017/1207 (Dz.U. C, C/2025/1800, 4.4.2025, ELI: </w:t>
      </w:r>
      <w:hyperlink r:id="rId7" w:history="1">
        <w:r w:rsidR="00FF36B2" w:rsidRPr="008E7CF8">
          <w:rPr>
            <w:rStyle w:val="Hyperlink"/>
            <w:sz w:val="24"/>
            <w:lang w:val="pl-PL"/>
          </w:rPr>
          <w:t>http://data.europa.eu/eli/C/2025/1800/oj</w:t>
        </w:r>
      </w:hyperlink>
      <w:r w:rsidR="00FF36B2" w:rsidRPr="008E7CF8">
        <w:rPr>
          <w:sz w:val="24"/>
          <w:lang w:val="pl-PL"/>
        </w:rPr>
        <w:t>).</w:t>
      </w:r>
    </w:p>
    <w:p w14:paraId="19D144D8" w14:textId="71CA5E13" w:rsidR="00FF36B2" w:rsidRPr="008E7CF8" w:rsidRDefault="008E7CF8" w:rsidP="008E7CF8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8E7CF8">
        <w:rPr>
          <w:sz w:val="24"/>
          <w:lang w:val="pl-PL"/>
        </w:rPr>
        <w:t xml:space="preserve"> </w:t>
      </w:r>
      <w:r w:rsidRPr="008E7CF8">
        <w:rPr>
          <w:sz w:val="24"/>
          <w:lang w:val="pl-PL"/>
        </w:rPr>
        <w:tab/>
      </w:r>
      <w:r w:rsidR="00FF36B2" w:rsidRPr="008E7CF8">
        <w:rPr>
          <w:sz w:val="24"/>
          <w:lang w:val="pl-PL"/>
        </w:rPr>
        <w:t>–</w:t>
      </w:r>
      <w:r w:rsidR="00FF36B2" w:rsidRPr="008E7CF8">
        <w:rPr>
          <w:sz w:val="24"/>
          <w:lang w:val="pl-PL"/>
        </w:rPr>
        <w:tab/>
        <w:t>rezolucja Parlamentu Europejskiego z dnia 26 listopada 2024 r. w sprawie decyzji wykonawczej Komisji (UE) 2024/1822 zezwalającej na wprowadzenie do obrotu, na podstawie rozporządzenia (WE) nr 1829/2003 Parlamentu Europejskiego i Rady, produktów zawierających genetycznie zmodyfikowaną kukurydzę DP915635, składających się z niej lub z niej wyprodukowanych (Dz.U. C, C/2025/1801, 4.4.2025, ELI: </w:t>
      </w:r>
      <w:hyperlink r:id="rId8" w:history="1">
        <w:r w:rsidR="00FF36B2" w:rsidRPr="008E7CF8">
          <w:rPr>
            <w:rStyle w:val="Hyperlink"/>
            <w:sz w:val="24"/>
            <w:lang w:val="pl-PL"/>
          </w:rPr>
          <w:t>http://data.europa.eu/eli/C/2025/1801/oj</w:t>
        </w:r>
      </w:hyperlink>
      <w:r w:rsidR="00FF36B2" w:rsidRPr="008E7CF8">
        <w:rPr>
          <w:sz w:val="24"/>
          <w:lang w:val="pl-PL"/>
        </w:rPr>
        <w:t>).</w:t>
      </w:r>
    </w:p>
    <w:p w14:paraId="0C4AD9A7" w14:textId="2B32E1E8" w:rsidR="00FF36B2" w:rsidRPr="008E7CF8" w:rsidRDefault="008E7CF8" w:rsidP="008E7CF8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8E7CF8">
        <w:rPr>
          <w:sz w:val="24"/>
          <w:lang w:val="pl-PL"/>
        </w:rPr>
        <w:t xml:space="preserve"> </w:t>
      </w:r>
      <w:r w:rsidRPr="008E7CF8">
        <w:rPr>
          <w:sz w:val="24"/>
          <w:lang w:val="pl-PL"/>
        </w:rPr>
        <w:tab/>
      </w:r>
      <w:r w:rsidR="00FF36B2" w:rsidRPr="008E7CF8">
        <w:rPr>
          <w:sz w:val="24"/>
          <w:lang w:val="pl-PL"/>
        </w:rPr>
        <w:t>–</w:t>
      </w:r>
      <w:r w:rsidR="00FF36B2" w:rsidRPr="008E7CF8">
        <w:rPr>
          <w:sz w:val="24"/>
          <w:lang w:val="pl-PL"/>
        </w:rPr>
        <w:tab/>
        <w:t>Rezolucja Parlamentu Europejskiego z 26 listopada 2024 r. w sprawie decyzji wykonawczej Komisji (UE) 2024/1826 zezwalającej na wprowadzenie do obrotu, na mocy rozporządzenia (WE) nr 1829/2003 Parlamentu Europejskiego i Rady, produktów zawierających genetycznie zmodyfikowaną kukurydzę DP23211, składających się z niej lub z niej wyprodukowanych (Dz.U. C, C/2025/1802, 4.4.2025, ELI: </w:t>
      </w:r>
      <w:hyperlink r:id="rId9" w:history="1">
        <w:r w:rsidR="00FF36B2" w:rsidRPr="008E7CF8">
          <w:rPr>
            <w:rStyle w:val="Hyperlink"/>
            <w:sz w:val="24"/>
            <w:lang w:val="pl-PL"/>
          </w:rPr>
          <w:t>http://data.europa.eu/eli/C/2025/1802/oj</w:t>
        </w:r>
      </w:hyperlink>
      <w:r w:rsidR="00FF36B2" w:rsidRPr="008E7CF8">
        <w:rPr>
          <w:sz w:val="24"/>
          <w:lang w:val="pl-PL"/>
        </w:rPr>
        <w:t>).</w:t>
      </w:r>
    </w:p>
    <w:p w14:paraId="2E8CA493" w14:textId="621EBCC4" w:rsidR="00FF36B2" w:rsidRPr="008E7CF8" w:rsidRDefault="008E7CF8" w:rsidP="008E7CF8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8E7CF8">
        <w:rPr>
          <w:sz w:val="24"/>
          <w:lang w:val="pl-PL"/>
        </w:rPr>
        <w:t xml:space="preserve"> </w:t>
      </w:r>
      <w:r w:rsidRPr="008E7CF8">
        <w:rPr>
          <w:sz w:val="24"/>
          <w:lang w:val="pl-PL"/>
        </w:rPr>
        <w:tab/>
      </w:r>
      <w:r w:rsidR="00FF36B2" w:rsidRPr="008E7CF8">
        <w:rPr>
          <w:sz w:val="24"/>
          <w:lang w:val="pl-PL"/>
        </w:rPr>
        <w:t>–</w:t>
      </w:r>
      <w:r w:rsidR="00FF36B2" w:rsidRPr="008E7CF8">
        <w:rPr>
          <w:sz w:val="24"/>
          <w:lang w:val="pl-PL"/>
        </w:rPr>
        <w:tab/>
        <w:t>rezolucja Parlamentu Europejskiego z dnia 26 listopada 2024 r. w sprawie decyzji wykonawczej Komisji (UE) 2024/2618 zezwalającej na wprowadzenie do obrotu, na podstawie rozporządzenia Parlamentu Europejskiego i Rady (WE) nr 1829/2003, produktów zawierających genetycznie zmodyfikowaną kukurydzę DP202216, składających się z niej lub z niej wyprodukowanych (Dz.U. C, C/2025/1803, 4.4.2025, ELI: </w:t>
      </w:r>
      <w:hyperlink r:id="rId10" w:history="1">
        <w:r w:rsidR="00FF36B2" w:rsidRPr="008E7CF8">
          <w:rPr>
            <w:rStyle w:val="Hyperlink"/>
            <w:sz w:val="24"/>
            <w:lang w:val="pl-PL"/>
          </w:rPr>
          <w:t>http://data.europa.eu/eli/C/2025/1803/oj</w:t>
        </w:r>
      </w:hyperlink>
      <w:r w:rsidR="00FF36B2" w:rsidRPr="008E7CF8">
        <w:rPr>
          <w:sz w:val="24"/>
          <w:lang w:val="pl-PL"/>
        </w:rPr>
        <w:t>).</w:t>
      </w:r>
    </w:p>
    <w:p w14:paraId="64926B20" w14:textId="3FDC653C" w:rsidR="00FF36B2" w:rsidRPr="008E7CF8" w:rsidRDefault="008E7CF8" w:rsidP="008E7CF8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8E7CF8">
        <w:rPr>
          <w:sz w:val="24"/>
          <w:lang w:val="pl-PL"/>
        </w:rPr>
        <w:t xml:space="preserve"> </w:t>
      </w:r>
      <w:r w:rsidRPr="008E7CF8">
        <w:rPr>
          <w:sz w:val="24"/>
          <w:lang w:val="pl-PL"/>
        </w:rPr>
        <w:tab/>
      </w:r>
      <w:r w:rsidR="00FF36B2" w:rsidRPr="008E7CF8">
        <w:rPr>
          <w:sz w:val="24"/>
          <w:lang w:val="pl-PL"/>
        </w:rPr>
        <w:t>–</w:t>
      </w:r>
      <w:r w:rsidR="00FF36B2" w:rsidRPr="008E7CF8">
        <w:rPr>
          <w:sz w:val="24"/>
          <w:lang w:val="pl-PL"/>
        </w:rPr>
        <w:tab/>
        <w:t>Rezolucja Parlamentu Europejskiego z 26 listopada 2024 r. w sprawie projektu decyzji wykonawczej Komisji zezwalającej na wprowadzenie do obrotu na mocy rozporządzenia (WE) nr 1829/2003 Parlamentu Europejskiego i Rady produktów zawierających genetycznie zmodyfikowaną kukurydzę MON 94804, składających się z niej lub z niej wyprodukowanych (Dz.U. C, C/2025/1804, 4.4.2025, ELI: </w:t>
      </w:r>
      <w:hyperlink r:id="rId11" w:history="1">
        <w:r w:rsidR="00FF36B2" w:rsidRPr="008E7CF8">
          <w:rPr>
            <w:rStyle w:val="Hyperlink"/>
            <w:sz w:val="24"/>
            <w:lang w:val="pl-PL"/>
          </w:rPr>
          <w:t>http://data.europa.eu/eli/C/2025/1804/oj</w:t>
        </w:r>
      </w:hyperlink>
      <w:r w:rsidR="00FF36B2" w:rsidRPr="008E7CF8">
        <w:rPr>
          <w:sz w:val="24"/>
          <w:lang w:val="pl-PL"/>
        </w:rPr>
        <w:t>).</w:t>
      </w:r>
    </w:p>
    <w:p w14:paraId="60248EA7" w14:textId="630B445F" w:rsidR="00FF36B2" w:rsidRPr="008E7CF8" w:rsidRDefault="008E7CF8" w:rsidP="008E7CF8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8E7CF8">
        <w:rPr>
          <w:sz w:val="24"/>
          <w:lang w:val="pl-PL"/>
        </w:rPr>
        <w:t xml:space="preserve"> </w:t>
      </w:r>
      <w:r w:rsidRPr="008E7CF8">
        <w:rPr>
          <w:sz w:val="24"/>
          <w:lang w:val="pl-PL"/>
        </w:rPr>
        <w:tab/>
      </w:r>
      <w:r w:rsidR="00FF36B2" w:rsidRPr="008E7CF8">
        <w:rPr>
          <w:sz w:val="24"/>
          <w:lang w:val="pl-PL"/>
        </w:rPr>
        <w:t>–</w:t>
      </w:r>
      <w:r w:rsidR="00FF36B2" w:rsidRPr="008E7CF8">
        <w:rPr>
          <w:sz w:val="24"/>
          <w:lang w:val="pl-PL"/>
        </w:rPr>
        <w:tab/>
        <w:t>Rezolucja Parlamentu Europejskiego z 12 lutego 2025 r. w sprawie projektu decyzji wykonawczej Komisji zezwalającej na wprowadzenie do obrotu, na mocy rozporządzenia (WE) nr 1829/2003 Parlamentu Europejskiego i Rady, produktów zawierających genetycznie zmodyfikowaną kukurydzę DP910521, składających się z niej lub z niej wyprodukowanych (Dz.U. C, C/2025/2246, 29.4.2025, ELI: </w:t>
      </w:r>
      <w:hyperlink r:id="rId12" w:tooltip="Dostęp do dokumentu poprzez identyfikator URI w systemie ELI." w:history="1">
        <w:r w:rsidR="00FF36B2" w:rsidRPr="008E7CF8">
          <w:rPr>
            <w:rStyle w:val="Hyperlink"/>
            <w:sz w:val="24"/>
            <w:lang w:val="pl-PL"/>
          </w:rPr>
          <w:t>http://data.europa.eu/eli/C/2025/2246/oj</w:t>
        </w:r>
      </w:hyperlink>
      <w:r w:rsidR="00FF36B2" w:rsidRPr="008E7CF8">
        <w:rPr>
          <w:sz w:val="24"/>
          <w:lang w:val="pl-PL"/>
        </w:rPr>
        <w:t>).</w:t>
      </w:r>
    </w:p>
    <w:p w14:paraId="75818950" w14:textId="4D04D08D" w:rsidR="00FF36B2" w:rsidRPr="008E7CF8" w:rsidRDefault="008E7CF8" w:rsidP="008E7CF8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8E7CF8">
        <w:rPr>
          <w:sz w:val="24"/>
          <w:lang w:val="pl-PL"/>
        </w:rPr>
        <w:t xml:space="preserve"> </w:t>
      </w:r>
      <w:r w:rsidRPr="008E7CF8">
        <w:rPr>
          <w:sz w:val="24"/>
          <w:lang w:val="pl-PL"/>
        </w:rPr>
        <w:tab/>
      </w:r>
      <w:r w:rsidR="00FF36B2" w:rsidRPr="008E7CF8">
        <w:rPr>
          <w:sz w:val="24"/>
          <w:lang w:val="pl-PL"/>
        </w:rPr>
        <w:t>–</w:t>
      </w:r>
      <w:r w:rsidR="00FF36B2" w:rsidRPr="008E7CF8">
        <w:rPr>
          <w:sz w:val="24"/>
          <w:lang w:val="pl-PL"/>
        </w:rPr>
        <w:tab/>
        <w:t>Rezolucja Parlamentu Europejskiego z 12 lutego 2025 r. w sprawie projektu decyzji wykonawczej Komisji zezwalającej na wprowadzenie do obrotu, na mocy rozporządzenia (WE) nr 1829/2003 Parlamentu Europejskiego i Rady, produktów zawierających genetycznie zmodyfikowaną kukurydzę MON 95275, składających się z niej lub z niej wyprodukowanych (Dz.U. C, C/2025/2247, 29.4.2025, ELI: </w:t>
      </w:r>
      <w:hyperlink r:id="rId13" w:history="1">
        <w:r w:rsidR="00FF36B2" w:rsidRPr="008E7CF8">
          <w:rPr>
            <w:rStyle w:val="Hyperlink"/>
            <w:sz w:val="24"/>
            <w:lang w:val="pl-PL"/>
          </w:rPr>
          <w:t>http://data.europa.eu/eli/C/2025/2247/oj</w:t>
        </w:r>
      </w:hyperlink>
      <w:r w:rsidR="00FF36B2" w:rsidRPr="008E7CF8">
        <w:rPr>
          <w:sz w:val="24"/>
          <w:lang w:val="pl-PL"/>
        </w:rPr>
        <w:t>).</w:t>
      </w:r>
    </w:p>
    <w:p w14:paraId="057DAA71" w14:textId="22A7E46F" w:rsidR="00FF36B2" w:rsidRPr="008E7CF8" w:rsidRDefault="008E7CF8" w:rsidP="008E7CF8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8E7CF8">
        <w:rPr>
          <w:sz w:val="24"/>
          <w:lang w:val="pl-PL"/>
        </w:rPr>
        <w:t xml:space="preserve"> </w:t>
      </w:r>
      <w:r w:rsidRPr="008E7CF8">
        <w:rPr>
          <w:sz w:val="24"/>
          <w:lang w:val="pl-PL"/>
        </w:rPr>
        <w:tab/>
      </w:r>
      <w:r w:rsidR="00FF36B2" w:rsidRPr="008E7CF8">
        <w:rPr>
          <w:sz w:val="24"/>
          <w:lang w:val="pl-PL"/>
        </w:rPr>
        <w:t>–</w:t>
      </w:r>
      <w:r w:rsidR="00FF36B2" w:rsidRPr="008E7CF8">
        <w:rPr>
          <w:sz w:val="24"/>
          <w:lang w:val="pl-PL"/>
        </w:rPr>
        <w:tab/>
        <w:t>Rezolucja Parlamentu Europejskiego z 8 maja 2025 r. w sprawie projektu decyzji wykonawczej Komisji zezwalającej na wprowadzenie do obrotu na mocy rozporządzenia Parlamentu Europejskiego i Rady (WE) nr 1829/2003 produktów zawierających genetycznie zmodyfikowaną soję MON 87705 × MON 87708 × MON 89788, składających się z niej lub z niej wyprodukowanych (</w:t>
      </w:r>
      <w:r w:rsidR="008E65E0">
        <w:rPr>
          <w:sz w:val="24"/>
          <w:lang w:val="pl-PL"/>
        </w:rPr>
        <w:t xml:space="preserve">Teksty przyjęte, </w:t>
      </w:r>
      <w:r w:rsidR="00FF36B2" w:rsidRPr="008E7CF8">
        <w:rPr>
          <w:sz w:val="24"/>
          <w:lang w:val="pl-PL"/>
        </w:rPr>
        <w:t>P10_TA(2025)0106).</w:t>
      </w:r>
    </w:p>
    <w:p w14:paraId="41006593" w14:textId="044C93B4" w:rsidR="00FF36B2" w:rsidRPr="008E7CF8" w:rsidRDefault="008E7CF8" w:rsidP="008E7CF8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8E7CF8">
        <w:rPr>
          <w:sz w:val="24"/>
          <w:lang w:val="pl-PL"/>
        </w:rPr>
        <w:t xml:space="preserve"> </w:t>
      </w:r>
      <w:r w:rsidRPr="008E7CF8">
        <w:rPr>
          <w:sz w:val="24"/>
          <w:lang w:val="pl-PL"/>
        </w:rPr>
        <w:tab/>
      </w:r>
      <w:r w:rsidR="00FF36B2" w:rsidRPr="008E7CF8">
        <w:rPr>
          <w:sz w:val="24"/>
          <w:lang w:val="pl-PL"/>
        </w:rPr>
        <w:t>–</w:t>
      </w:r>
      <w:r w:rsidR="00FF36B2" w:rsidRPr="008E7CF8">
        <w:rPr>
          <w:sz w:val="24"/>
          <w:lang w:val="pl-PL"/>
        </w:rPr>
        <w:tab/>
        <w:t>Rezolucja Parlamentu Europejskiego z 8 października 2025 r. w sprawie decyzji wykonawczej Komisji (UE) 2025/1898 z 22 września 2025 r. zezwalającej na wprowadzenie do obrotu, na mocy rozporządzenia (WE) nr 1829/2003 Parlamentu Europejskiego i Rady, produktów zawierających genetycznie zmodyfikowaną kukurydzę DP51291, składających się z niej lub z niej wyprodukowanych (</w:t>
      </w:r>
      <w:r w:rsidR="008E65E0">
        <w:rPr>
          <w:sz w:val="24"/>
          <w:lang w:val="pl-PL"/>
        </w:rPr>
        <w:t xml:space="preserve">Teksty przyjęte, </w:t>
      </w:r>
      <w:r w:rsidR="00FF36B2" w:rsidRPr="008E7CF8">
        <w:rPr>
          <w:sz w:val="24"/>
          <w:lang w:val="pl-PL"/>
        </w:rPr>
        <w:t>P10_TA(2025)0222).</w:t>
      </w:r>
    </w:p>
    <w:p w14:paraId="47459EE7" w14:textId="08CB1512" w:rsidR="00FF36B2" w:rsidRPr="008E7CF8" w:rsidRDefault="008E7CF8" w:rsidP="008E7CF8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8E7CF8">
        <w:rPr>
          <w:sz w:val="24"/>
          <w:lang w:val="pl-PL"/>
        </w:rPr>
        <w:t xml:space="preserve"> </w:t>
      </w:r>
      <w:r w:rsidRPr="008E7CF8">
        <w:rPr>
          <w:sz w:val="24"/>
          <w:lang w:val="pl-PL"/>
        </w:rPr>
        <w:tab/>
      </w:r>
      <w:r w:rsidR="00FF36B2" w:rsidRPr="008E7CF8">
        <w:rPr>
          <w:sz w:val="24"/>
          <w:lang w:val="pl-PL"/>
        </w:rPr>
        <w:t>–</w:t>
      </w:r>
      <w:r w:rsidR="00FF36B2" w:rsidRPr="008E7CF8">
        <w:rPr>
          <w:sz w:val="24"/>
          <w:lang w:val="pl-PL"/>
        </w:rPr>
        <w:tab/>
        <w:t>Rezolucja Parlamentu Europejskiego z dnia 25 listopada 2025 r. w sprawie projektu decyzji wykonawczej Komisji zezwalającej na wprowadzenie do obrotu, na mocy rozporządzenia Parlamentu Europejskiego i Rady (WE) nr 1829/2003, produktów zawierających genetycznie zmodyfikowaną kukurydzę DAS1131, składających się z niej lub z niej wyprodukowanych (</w:t>
      </w:r>
      <w:r w:rsidR="008E65E0">
        <w:rPr>
          <w:sz w:val="24"/>
          <w:lang w:val="pl-PL"/>
        </w:rPr>
        <w:t xml:space="preserve">Teksty przyjęte, </w:t>
      </w:r>
      <w:r w:rsidR="00FF36B2" w:rsidRPr="008E7CF8">
        <w:rPr>
          <w:sz w:val="24"/>
          <w:lang w:val="pl-PL"/>
        </w:rPr>
        <w:t>P10_TA(2025)0288).</w:t>
      </w:r>
    </w:p>
    <w:p w14:paraId="54EDF057" w14:textId="71F3FB40" w:rsidR="00FF36B2" w:rsidRPr="008E7CF8" w:rsidRDefault="008E7CF8" w:rsidP="008E7CF8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8E7CF8">
        <w:rPr>
          <w:sz w:val="24"/>
          <w:lang w:val="pl-PL"/>
        </w:rPr>
        <w:t xml:space="preserve"> </w:t>
      </w:r>
      <w:r w:rsidRPr="008E7CF8">
        <w:rPr>
          <w:sz w:val="24"/>
          <w:lang w:val="pl-PL"/>
        </w:rPr>
        <w:tab/>
      </w:r>
      <w:r w:rsidR="00FF36B2" w:rsidRPr="008E7CF8">
        <w:rPr>
          <w:sz w:val="24"/>
          <w:lang w:val="pl-PL"/>
        </w:rPr>
        <w:t>–</w:t>
      </w:r>
      <w:r w:rsidR="00FF36B2" w:rsidRPr="008E7CF8">
        <w:rPr>
          <w:sz w:val="24"/>
          <w:lang w:val="pl-PL"/>
        </w:rPr>
        <w:tab/>
        <w:t>Rezolucja Parlamentu Europejskiego z dnia 25 listopada 2025 r. w sprawie projektu decyzji wykonawczej Komisji dotyczącej odnowienia zezwolenia na wprowadzenie do obrotu, na mocy rozporządzenia Parlamentu Europejskiego i Rady (WE) nr 1829/2003, produktów zawierających genetycznie zmodyfikowaną bawełnę MON 88913 (MON-88913-8), składających się z niej lub z niej wyprodukowanych (</w:t>
      </w:r>
      <w:r w:rsidR="008E65E0">
        <w:rPr>
          <w:sz w:val="24"/>
          <w:lang w:val="pl-PL"/>
        </w:rPr>
        <w:t xml:space="preserve">Teksty przyjęte, </w:t>
      </w:r>
      <w:r w:rsidR="00FF36B2" w:rsidRPr="008E7CF8">
        <w:rPr>
          <w:sz w:val="24"/>
          <w:lang w:val="pl-PL"/>
        </w:rPr>
        <w:t>P10_TA(2025)0289).</w:t>
      </w:r>
    </w:p>
    <w:p w14:paraId="472A0D13" w14:textId="37FAAA6E" w:rsidR="00FF36B2" w:rsidRPr="008E7CF8" w:rsidRDefault="008E7CF8" w:rsidP="008E7CF8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8E7CF8">
        <w:rPr>
          <w:sz w:val="24"/>
          <w:lang w:val="pl-PL"/>
        </w:rPr>
        <w:t xml:space="preserve"> </w:t>
      </w:r>
      <w:r w:rsidRPr="008E7CF8">
        <w:rPr>
          <w:sz w:val="24"/>
          <w:lang w:val="pl-PL"/>
        </w:rPr>
        <w:tab/>
      </w:r>
      <w:r w:rsidR="00FF36B2" w:rsidRPr="008E7CF8">
        <w:rPr>
          <w:sz w:val="24"/>
          <w:lang w:val="pl-PL"/>
        </w:rPr>
        <w:t>–</w:t>
      </w:r>
      <w:r w:rsidR="00FF36B2" w:rsidRPr="008E7CF8">
        <w:rPr>
          <w:sz w:val="24"/>
          <w:lang w:val="pl-PL"/>
        </w:rPr>
        <w:tab/>
        <w:t>Rezolucja Parlamentu Europejskiego z dnia 25 listopada 2025 r. w sprawie projektu decyzji wykonawczej Komisji dotyczącej odnowienia zezwolenia na wprowadzenie do obrotu, na mocy rozporządzenia Parlamentu Europejskiego i Rady (WE) nr 1829/2003, produktów zawierających genetycznie zmodyfikowany rzepak MON 88302, składających się z niego lub z niego wyprodukowanych (</w:t>
      </w:r>
      <w:r w:rsidR="008E65E0">
        <w:rPr>
          <w:sz w:val="24"/>
          <w:lang w:val="pl-PL"/>
        </w:rPr>
        <w:t xml:space="preserve">Teksty przyjęte, </w:t>
      </w:r>
      <w:r w:rsidR="00FF36B2" w:rsidRPr="008E7CF8">
        <w:rPr>
          <w:sz w:val="24"/>
          <w:lang w:val="pl-PL"/>
        </w:rPr>
        <w:t>P10_TA(2025)0290).</w:t>
      </w:r>
    </w:p>
    <w:p w14:paraId="33447914" w14:textId="26691242" w:rsidR="00FF36B2" w:rsidRPr="008E7CF8" w:rsidRDefault="008E7CF8" w:rsidP="008E7CF8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8E7CF8">
        <w:rPr>
          <w:sz w:val="24"/>
          <w:lang w:val="pl-PL"/>
        </w:rPr>
        <w:t xml:space="preserve"> </w:t>
      </w:r>
      <w:r w:rsidRPr="008E7CF8">
        <w:rPr>
          <w:sz w:val="24"/>
          <w:lang w:val="pl-PL"/>
        </w:rPr>
        <w:tab/>
      </w:r>
      <w:r w:rsidR="00FF36B2" w:rsidRPr="008E7CF8">
        <w:rPr>
          <w:sz w:val="24"/>
          <w:lang w:val="pl-PL"/>
        </w:rPr>
        <w:t>–</w:t>
      </w:r>
      <w:r w:rsidR="00FF36B2" w:rsidRPr="008E7CF8">
        <w:rPr>
          <w:sz w:val="24"/>
          <w:lang w:val="pl-PL"/>
        </w:rPr>
        <w:tab/>
        <w:t>Rezolucja Parlamentu Europejskiego z dnia 25 listopada 2025 r. w sprawie decyzji wykonawczej Komisji dotyczącej odnowienia zezwolenia na wprowadzenie do obrotu, na mocy rozporządzenia Parlamentu Europejskiego i Rady (WE) nr 1829/2003, produktów zawierających genetycznie zmodyfikowaną soję MON 87708, składających się z niej lub z niej wyprodukowanych (</w:t>
      </w:r>
      <w:r w:rsidR="008E65E0">
        <w:rPr>
          <w:sz w:val="24"/>
          <w:lang w:val="pl-PL"/>
        </w:rPr>
        <w:t xml:space="preserve">Teksty przyjęte, </w:t>
      </w:r>
      <w:r w:rsidR="00FF36B2" w:rsidRPr="008E7CF8">
        <w:rPr>
          <w:sz w:val="24"/>
          <w:lang w:val="pl-PL"/>
        </w:rPr>
        <w:t>P10_TA(2025)0291).</w:t>
      </w:r>
    </w:p>
    <w:p w14:paraId="64E5D2AC" w14:textId="27EE2EB7" w:rsidR="00FF36B2" w:rsidRPr="008E7CF8" w:rsidRDefault="008E7CF8" w:rsidP="008E7CF8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8E7CF8">
        <w:rPr>
          <w:sz w:val="24"/>
          <w:lang w:val="pl-PL"/>
        </w:rPr>
        <w:t xml:space="preserve"> </w:t>
      </w:r>
      <w:r w:rsidRPr="008E7CF8">
        <w:rPr>
          <w:sz w:val="24"/>
          <w:lang w:val="pl-PL"/>
        </w:rPr>
        <w:tab/>
      </w:r>
      <w:r w:rsidR="00FF36B2" w:rsidRPr="008E7CF8">
        <w:rPr>
          <w:sz w:val="24"/>
          <w:lang w:val="pl-PL"/>
        </w:rPr>
        <w:t>–</w:t>
      </w:r>
      <w:r w:rsidR="00FF36B2" w:rsidRPr="008E7CF8">
        <w:rPr>
          <w:sz w:val="24"/>
          <w:lang w:val="pl-PL"/>
        </w:rPr>
        <w:tab/>
        <w:t>Rezolucja Parlamentu Europejskiego z 25 listopada 2025 r. w sprawie projektu decyzji wykonawczej Komisji dotyczącej odnowienia zezwolenia na wprowadzenie do obrotu, na podstawie rozporządzenia (WE) nr 1829/2003 Parlamentu Europejskiego i Rady, produktów zawierających genetycznie zmodyfikowaną kukurydzę MON 87427, składających się z niej lub z niej wyprodukowanych (</w:t>
      </w:r>
      <w:r w:rsidR="008E65E0">
        <w:rPr>
          <w:sz w:val="24"/>
          <w:lang w:val="pl-PL"/>
        </w:rPr>
        <w:t xml:space="preserve">Teksty przyjęte, </w:t>
      </w:r>
      <w:r w:rsidR="00FF36B2" w:rsidRPr="008E7CF8">
        <w:rPr>
          <w:sz w:val="24"/>
          <w:lang w:val="pl-PL"/>
        </w:rPr>
        <w:t>P10_TA(2025)0292).</w:t>
      </w:r>
    </w:p>
    <w:p w14:paraId="5FD00B97" w14:textId="7782F9EB" w:rsidR="00FF36B2" w:rsidRPr="008E7CF8" w:rsidRDefault="008E7CF8" w:rsidP="008E7CF8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8E7CF8">
        <w:rPr>
          <w:sz w:val="24"/>
          <w:lang w:val="pl-PL"/>
        </w:rPr>
        <w:t xml:space="preserve"> </w:t>
      </w:r>
      <w:r w:rsidRPr="008E7CF8">
        <w:rPr>
          <w:sz w:val="24"/>
          <w:lang w:val="pl-PL"/>
        </w:rPr>
        <w:tab/>
      </w:r>
      <w:r w:rsidR="00FF36B2" w:rsidRPr="008E7CF8">
        <w:rPr>
          <w:sz w:val="24"/>
          <w:lang w:val="pl-PL"/>
        </w:rPr>
        <w:t>–</w:t>
      </w:r>
      <w:r w:rsidR="00FF36B2" w:rsidRPr="008E7CF8">
        <w:rPr>
          <w:sz w:val="24"/>
          <w:lang w:val="pl-PL"/>
        </w:rPr>
        <w:tab/>
        <w:t>Rezolucja Parlamentu Europejskiego z 16 grudnia 2025 r. w sprawie projektu decyzji wykonawczej Komisji dotyczącej odnowienia zezwolenia na wprowadzenie do obrotu, na podstawie rozporządzenia (WE) nr 1829/2003 Parlamentu Europejskiego i Rady, produktów zawierających genetycznie zmodyfikowaną kukurydzę NK603, składających się z niej lub z niej wyprodukowanych (</w:t>
      </w:r>
      <w:r w:rsidR="008E65E0">
        <w:rPr>
          <w:sz w:val="24"/>
          <w:lang w:val="pl-PL"/>
        </w:rPr>
        <w:t xml:space="preserve">Teksty przyjęte, </w:t>
      </w:r>
      <w:r w:rsidR="00FF36B2" w:rsidRPr="008E7CF8">
        <w:rPr>
          <w:sz w:val="24"/>
          <w:lang w:val="pl-PL"/>
        </w:rPr>
        <w:t>P10_TA(2025)0327).</w:t>
      </w:r>
    </w:p>
    <w:p w14:paraId="4B598A67" w14:textId="76BAAB99" w:rsidR="00FF36B2" w:rsidRPr="008E7CF8" w:rsidRDefault="008E7CF8" w:rsidP="008E7CF8">
      <w:pPr>
        <w:pStyle w:val="FootnoteText"/>
        <w:ind w:left="567" w:hanging="567"/>
        <w:rPr>
          <w:sz w:val="24"/>
          <w:lang w:val="pl-PL"/>
        </w:rPr>
      </w:pPr>
      <w:r w:rsidRPr="008E7CF8">
        <w:rPr>
          <w:sz w:val="24"/>
          <w:lang w:val="pl-PL"/>
        </w:rPr>
        <w:t xml:space="preserve"> </w:t>
      </w:r>
      <w:r w:rsidRPr="008E7CF8">
        <w:rPr>
          <w:sz w:val="24"/>
          <w:lang w:val="pl-PL"/>
        </w:rPr>
        <w:tab/>
      </w:r>
      <w:r w:rsidR="00FF36B2" w:rsidRPr="008E7CF8">
        <w:rPr>
          <w:sz w:val="24"/>
          <w:lang w:val="pl-PL"/>
        </w:rPr>
        <w:t>–</w:t>
      </w:r>
      <w:r w:rsidR="00FF36B2" w:rsidRPr="008E7CF8">
        <w:rPr>
          <w:sz w:val="24"/>
          <w:lang w:val="pl-PL"/>
        </w:rPr>
        <w:tab/>
        <w:t>Rezolucja Parlamentu Europejskiego z 16 grudnia 2025 r. w sprawie projektu decyzji wykonawczej Komisji zezwalającej na wprowadzenie do obrotu, na podstawie rozporządzenia Parlamentu Europejskiego i Rady (WE) nr 1829/2003, żywności oraz składników żywności i pasz wyprodukowanych z genetyczne zmodyfikowanego buraka cukrowego KWS20-1 (</w:t>
      </w:r>
      <w:r w:rsidR="008E65E0">
        <w:rPr>
          <w:sz w:val="24"/>
          <w:lang w:val="pl-PL"/>
        </w:rPr>
        <w:t xml:space="preserve">Teksty przyjęte, </w:t>
      </w:r>
      <w:r w:rsidR="00FF36B2" w:rsidRPr="008E7CF8">
        <w:rPr>
          <w:sz w:val="24"/>
          <w:lang w:val="pl-PL"/>
        </w:rPr>
        <w:t>P10_TA(2025)0328).</w:t>
      </w:r>
    </w:p>
  </w:footnote>
  <w:footnote w:id="5">
    <w:p w14:paraId="451F767F" w14:textId="67C7692A" w:rsidR="00FF36B2" w:rsidRPr="008E7CF8" w:rsidRDefault="00FF36B2" w:rsidP="008E7CF8">
      <w:pPr>
        <w:pStyle w:val="FootnoteText"/>
        <w:ind w:left="567" w:hanging="567"/>
        <w:rPr>
          <w:sz w:val="24"/>
          <w:lang w:val="pl-PL"/>
        </w:rPr>
      </w:pPr>
      <w:r w:rsidRPr="008E7CF8">
        <w:rPr>
          <w:rStyle w:val="FootnoteReference"/>
          <w:sz w:val="24"/>
          <w:lang w:val="pl-PL"/>
        </w:rPr>
        <w:footnoteRef/>
      </w:r>
      <w:r w:rsidR="008E7CF8" w:rsidRPr="008E7CF8">
        <w:rPr>
          <w:sz w:val="24"/>
          <w:shd w:val="clear" w:color="auto" w:fill="FFFFFF"/>
          <w:lang w:val="pl-PL"/>
        </w:rPr>
        <w:t xml:space="preserve"> </w:t>
      </w:r>
      <w:r w:rsidR="008E7CF8" w:rsidRPr="008E7CF8">
        <w:rPr>
          <w:sz w:val="24"/>
          <w:shd w:val="clear" w:color="auto" w:fill="FFFFFF"/>
          <w:lang w:val="pl-PL"/>
        </w:rPr>
        <w:tab/>
      </w:r>
      <w:r w:rsidRPr="008E7CF8">
        <w:rPr>
          <w:sz w:val="24"/>
          <w:shd w:val="clear" w:color="auto" w:fill="FFFFFF"/>
          <w:lang w:val="pl-PL"/>
        </w:rPr>
        <w:t>Zob. na przykład Bonny, S., „</w:t>
      </w:r>
      <w:proofErr w:type="spellStart"/>
      <w:r w:rsidRPr="008E7CF8">
        <w:rPr>
          <w:sz w:val="24"/>
          <w:shd w:val="clear" w:color="auto" w:fill="FFFFFF"/>
          <w:lang w:val="pl-PL"/>
        </w:rPr>
        <w:t>Genetically</w:t>
      </w:r>
      <w:proofErr w:type="spellEnd"/>
      <w:r w:rsidRPr="008E7CF8">
        <w:rPr>
          <w:sz w:val="24"/>
          <w:shd w:val="clear" w:color="auto" w:fill="FFFFFF"/>
          <w:lang w:val="pl-PL"/>
        </w:rPr>
        <w:t xml:space="preserve"> </w:t>
      </w:r>
      <w:proofErr w:type="spellStart"/>
      <w:r w:rsidRPr="008E7CF8">
        <w:rPr>
          <w:sz w:val="24"/>
          <w:shd w:val="clear" w:color="auto" w:fill="FFFFFF"/>
          <w:lang w:val="pl-PL"/>
        </w:rPr>
        <w:t>Modified</w:t>
      </w:r>
      <w:proofErr w:type="spellEnd"/>
      <w:r w:rsidRPr="008E7CF8">
        <w:rPr>
          <w:sz w:val="24"/>
          <w:shd w:val="clear" w:color="auto" w:fill="FFFFFF"/>
          <w:lang w:val="pl-PL"/>
        </w:rPr>
        <w:t xml:space="preserve"> </w:t>
      </w:r>
      <w:proofErr w:type="spellStart"/>
      <w:r w:rsidRPr="008E7CF8">
        <w:rPr>
          <w:sz w:val="24"/>
          <w:shd w:val="clear" w:color="auto" w:fill="FFFFFF"/>
          <w:lang w:val="pl-PL"/>
        </w:rPr>
        <w:t>Herbicide</w:t>
      </w:r>
      <w:proofErr w:type="spellEnd"/>
      <w:r w:rsidRPr="008E7CF8">
        <w:rPr>
          <w:sz w:val="24"/>
          <w:shd w:val="clear" w:color="auto" w:fill="FFFFFF"/>
          <w:lang w:val="pl-PL"/>
        </w:rPr>
        <w:t xml:space="preserve">-Tolerant </w:t>
      </w:r>
      <w:proofErr w:type="spellStart"/>
      <w:r w:rsidRPr="008E7CF8">
        <w:rPr>
          <w:sz w:val="24"/>
          <w:shd w:val="clear" w:color="auto" w:fill="FFFFFF"/>
          <w:lang w:val="pl-PL"/>
        </w:rPr>
        <w:t>Crops</w:t>
      </w:r>
      <w:proofErr w:type="spellEnd"/>
      <w:r w:rsidRPr="008E7CF8">
        <w:rPr>
          <w:sz w:val="24"/>
          <w:shd w:val="clear" w:color="auto" w:fill="FFFFFF"/>
          <w:lang w:val="pl-PL"/>
        </w:rPr>
        <w:t xml:space="preserve">, </w:t>
      </w:r>
      <w:proofErr w:type="spellStart"/>
      <w:r w:rsidRPr="008E7CF8">
        <w:rPr>
          <w:sz w:val="24"/>
          <w:shd w:val="clear" w:color="auto" w:fill="FFFFFF"/>
          <w:lang w:val="pl-PL"/>
        </w:rPr>
        <w:t>Weeds</w:t>
      </w:r>
      <w:proofErr w:type="spellEnd"/>
      <w:r w:rsidRPr="008E7CF8">
        <w:rPr>
          <w:sz w:val="24"/>
          <w:shd w:val="clear" w:color="auto" w:fill="FFFFFF"/>
          <w:lang w:val="pl-PL"/>
        </w:rPr>
        <w:t xml:space="preserve">, and </w:t>
      </w:r>
      <w:proofErr w:type="spellStart"/>
      <w:r w:rsidRPr="008E7CF8">
        <w:rPr>
          <w:sz w:val="24"/>
          <w:shd w:val="clear" w:color="auto" w:fill="FFFFFF"/>
          <w:lang w:val="pl-PL"/>
        </w:rPr>
        <w:t>Herbicides</w:t>
      </w:r>
      <w:proofErr w:type="spellEnd"/>
      <w:r w:rsidRPr="008E7CF8">
        <w:rPr>
          <w:sz w:val="24"/>
          <w:shd w:val="clear" w:color="auto" w:fill="FFFFFF"/>
          <w:lang w:val="pl-PL"/>
        </w:rPr>
        <w:t xml:space="preserve">: </w:t>
      </w:r>
      <w:proofErr w:type="spellStart"/>
      <w:r w:rsidRPr="008E7CF8">
        <w:rPr>
          <w:sz w:val="24"/>
          <w:shd w:val="clear" w:color="auto" w:fill="FFFFFF"/>
          <w:lang w:val="pl-PL"/>
        </w:rPr>
        <w:t>Overview</w:t>
      </w:r>
      <w:proofErr w:type="spellEnd"/>
      <w:r w:rsidRPr="008E7CF8">
        <w:rPr>
          <w:sz w:val="24"/>
          <w:shd w:val="clear" w:color="auto" w:fill="FFFFFF"/>
          <w:lang w:val="pl-PL"/>
        </w:rPr>
        <w:t xml:space="preserve"> and </w:t>
      </w:r>
      <w:proofErr w:type="spellStart"/>
      <w:r w:rsidRPr="008E7CF8">
        <w:rPr>
          <w:sz w:val="24"/>
          <w:shd w:val="clear" w:color="auto" w:fill="FFFFFF"/>
          <w:lang w:val="pl-PL"/>
        </w:rPr>
        <w:t>Impact</w:t>
      </w:r>
      <w:proofErr w:type="spellEnd"/>
      <w:r w:rsidRPr="008E7CF8">
        <w:rPr>
          <w:sz w:val="24"/>
          <w:shd w:val="clear" w:color="auto" w:fill="FFFFFF"/>
          <w:lang w:val="pl-PL"/>
        </w:rPr>
        <w:t xml:space="preserve">” [Genetycznie zmodyfikowane rośliny i chwasty tolerujące herbicydy a herbicydy: przegląd i wpływ], </w:t>
      </w:r>
      <w:proofErr w:type="spellStart"/>
      <w:r w:rsidRPr="008E7CF8">
        <w:rPr>
          <w:i/>
          <w:iCs/>
          <w:sz w:val="24"/>
          <w:shd w:val="clear" w:color="auto" w:fill="FFFFFF"/>
          <w:lang w:val="pl-PL"/>
        </w:rPr>
        <w:t>Environmental</w:t>
      </w:r>
      <w:proofErr w:type="spellEnd"/>
      <w:r w:rsidRPr="008E7CF8">
        <w:rPr>
          <w:i/>
          <w:iCs/>
          <w:sz w:val="24"/>
          <w:shd w:val="clear" w:color="auto" w:fill="FFFFFF"/>
          <w:lang w:val="pl-PL"/>
        </w:rPr>
        <w:t xml:space="preserve"> Management</w:t>
      </w:r>
      <w:r w:rsidRPr="008E7CF8">
        <w:rPr>
          <w:sz w:val="24"/>
          <w:shd w:val="clear" w:color="auto" w:fill="FFFFFF"/>
          <w:lang w:val="pl-PL"/>
        </w:rPr>
        <w:t>, styczeń 2016, 57(1), s. 31–48,</w:t>
      </w:r>
      <w:r w:rsidRPr="008E7CF8">
        <w:rPr>
          <w:sz w:val="24"/>
          <w:lang w:val="pl-PL"/>
        </w:rPr>
        <w:t xml:space="preserve"> </w:t>
      </w:r>
      <w:hyperlink r:id="rId14" w:history="1">
        <w:r w:rsidRPr="008E7CF8">
          <w:rPr>
            <w:rStyle w:val="Hyperlink"/>
            <w:sz w:val="24"/>
            <w:shd w:val="clear" w:color="auto" w:fill="FFFFFF"/>
            <w:lang w:val="pl-PL"/>
          </w:rPr>
          <w:t>https://doi.org/10.1007/s00267-015-0589-7</w:t>
        </w:r>
      </w:hyperlink>
      <w:r w:rsidRPr="008E7CF8">
        <w:rPr>
          <w:sz w:val="24"/>
          <w:shd w:val="clear" w:color="auto" w:fill="FFFFFF"/>
          <w:lang w:val="pl-PL"/>
        </w:rPr>
        <w:t xml:space="preserve">, oraz </w:t>
      </w:r>
      <w:proofErr w:type="spellStart"/>
      <w:r w:rsidRPr="008E7CF8">
        <w:rPr>
          <w:sz w:val="24"/>
          <w:shd w:val="clear" w:color="auto" w:fill="FFFFFF"/>
          <w:lang w:val="pl-PL"/>
        </w:rPr>
        <w:t>Benbrook</w:t>
      </w:r>
      <w:proofErr w:type="spellEnd"/>
      <w:r w:rsidRPr="008E7CF8">
        <w:rPr>
          <w:sz w:val="24"/>
          <w:shd w:val="clear" w:color="auto" w:fill="FFFFFF"/>
          <w:lang w:val="pl-PL"/>
        </w:rPr>
        <w:t>, C.M., „</w:t>
      </w:r>
      <w:proofErr w:type="spellStart"/>
      <w:r w:rsidRPr="008E7CF8">
        <w:rPr>
          <w:sz w:val="24"/>
          <w:shd w:val="clear" w:color="auto" w:fill="FFFFFF"/>
          <w:lang w:val="pl-PL"/>
        </w:rPr>
        <w:t>Impacts</w:t>
      </w:r>
      <w:proofErr w:type="spellEnd"/>
      <w:r w:rsidRPr="008E7CF8">
        <w:rPr>
          <w:sz w:val="24"/>
          <w:shd w:val="clear" w:color="auto" w:fill="FFFFFF"/>
          <w:lang w:val="pl-PL"/>
        </w:rPr>
        <w:t xml:space="preserve"> of </w:t>
      </w:r>
      <w:proofErr w:type="spellStart"/>
      <w:r w:rsidRPr="008E7CF8">
        <w:rPr>
          <w:sz w:val="24"/>
          <w:shd w:val="clear" w:color="auto" w:fill="FFFFFF"/>
          <w:lang w:val="pl-PL"/>
        </w:rPr>
        <w:t>genetically</w:t>
      </w:r>
      <w:proofErr w:type="spellEnd"/>
      <w:r w:rsidRPr="008E7CF8">
        <w:rPr>
          <w:sz w:val="24"/>
          <w:shd w:val="clear" w:color="auto" w:fill="FFFFFF"/>
          <w:lang w:val="pl-PL"/>
        </w:rPr>
        <w:t xml:space="preserve"> </w:t>
      </w:r>
      <w:proofErr w:type="spellStart"/>
      <w:r w:rsidRPr="008E7CF8">
        <w:rPr>
          <w:sz w:val="24"/>
          <w:shd w:val="clear" w:color="auto" w:fill="FFFFFF"/>
          <w:lang w:val="pl-PL"/>
        </w:rPr>
        <w:t>engineered</w:t>
      </w:r>
      <w:proofErr w:type="spellEnd"/>
      <w:r w:rsidRPr="008E7CF8">
        <w:rPr>
          <w:sz w:val="24"/>
          <w:shd w:val="clear" w:color="auto" w:fill="FFFFFF"/>
          <w:lang w:val="pl-PL"/>
        </w:rPr>
        <w:t xml:space="preserve"> </w:t>
      </w:r>
      <w:proofErr w:type="spellStart"/>
      <w:r w:rsidRPr="008E7CF8">
        <w:rPr>
          <w:sz w:val="24"/>
          <w:shd w:val="clear" w:color="auto" w:fill="FFFFFF"/>
          <w:lang w:val="pl-PL"/>
        </w:rPr>
        <w:t>crops</w:t>
      </w:r>
      <w:proofErr w:type="spellEnd"/>
      <w:r w:rsidRPr="008E7CF8">
        <w:rPr>
          <w:sz w:val="24"/>
          <w:shd w:val="clear" w:color="auto" w:fill="FFFFFF"/>
          <w:lang w:val="pl-PL"/>
        </w:rPr>
        <w:t xml:space="preserve"> on </w:t>
      </w:r>
      <w:proofErr w:type="spellStart"/>
      <w:r w:rsidRPr="008E7CF8">
        <w:rPr>
          <w:sz w:val="24"/>
          <w:shd w:val="clear" w:color="auto" w:fill="FFFFFF"/>
          <w:lang w:val="pl-PL"/>
        </w:rPr>
        <w:t>pesticide</w:t>
      </w:r>
      <w:proofErr w:type="spellEnd"/>
      <w:r w:rsidRPr="008E7CF8">
        <w:rPr>
          <w:sz w:val="24"/>
          <w:shd w:val="clear" w:color="auto" w:fill="FFFFFF"/>
          <w:lang w:val="pl-PL"/>
        </w:rPr>
        <w:t xml:space="preserve"> </w:t>
      </w:r>
      <w:proofErr w:type="spellStart"/>
      <w:r w:rsidRPr="008E7CF8">
        <w:rPr>
          <w:sz w:val="24"/>
          <w:shd w:val="clear" w:color="auto" w:fill="FFFFFF"/>
          <w:lang w:val="pl-PL"/>
        </w:rPr>
        <w:t>use</w:t>
      </w:r>
      <w:proofErr w:type="spellEnd"/>
      <w:r w:rsidRPr="008E7CF8">
        <w:rPr>
          <w:sz w:val="24"/>
          <w:shd w:val="clear" w:color="auto" w:fill="FFFFFF"/>
          <w:lang w:val="pl-PL"/>
        </w:rPr>
        <w:t xml:space="preserve"> in the U.S. – the </w:t>
      </w:r>
      <w:proofErr w:type="spellStart"/>
      <w:r w:rsidRPr="008E7CF8">
        <w:rPr>
          <w:sz w:val="24"/>
          <w:shd w:val="clear" w:color="auto" w:fill="FFFFFF"/>
          <w:lang w:val="pl-PL"/>
        </w:rPr>
        <w:t>first</w:t>
      </w:r>
      <w:proofErr w:type="spellEnd"/>
      <w:r w:rsidRPr="008E7CF8">
        <w:rPr>
          <w:sz w:val="24"/>
          <w:shd w:val="clear" w:color="auto" w:fill="FFFFFF"/>
          <w:lang w:val="pl-PL"/>
        </w:rPr>
        <w:t xml:space="preserve"> </w:t>
      </w:r>
      <w:proofErr w:type="spellStart"/>
      <w:r w:rsidRPr="008E7CF8">
        <w:rPr>
          <w:sz w:val="24"/>
          <w:shd w:val="clear" w:color="auto" w:fill="FFFFFF"/>
          <w:lang w:val="pl-PL"/>
        </w:rPr>
        <w:t>sixteen</w:t>
      </w:r>
      <w:proofErr w:type="spellEnd"/>
      <w:r w:rsidRPr="008E7CF8">
        <w:rPr>
          <w:sz w:val="24"/>
          <w:shd w:val="clear" w:color="auto" w:fill="FFFFFF"/>
          <w:lang w:val="pl-PL"/>
        </w:rPr>
        <w:t xml:space="preserve"> </w:t>
      </w:r>
      <w:proofErr w:type="spellStart"/>
      <w:r w:rsidRPr="008E7CF8">
        <w:rPr>
          <w:sz w:val="24"/>
          <w:shd w:val="clear" w:color="auto" w:fill="FFFFFF"/>
          <w:lang w:val="pl-PL"/>
        </w:rPr>
        <w:t>years</w:t>
      </w:r>
      <w:proofErr w:type="spellEnd"/>
      <w:r w:rsidRPr="008E7CF8">
        <w:rPr>
          <w:sz w:val="24"/>
          <w:shd w:val="clear" w:color="auto" w:fill="FFFFFF"/>
          <w:lang w:val="pl-PL"/>
        </w:rPr>
        <w:t xml:space="preserve">” [Wpływ genetycznie zmodyfikowanych upraw na stosowanie pestycydów w USA – pierwsze szesnaście lat], </w:t>
      </w:r>
      <w:proofErr w:type="spellStart"/>
      <w:r w:rsidRPr="008E7CF8">
        <w:rPr>
          <w:i/>
          <w:iCs/>
          <w:sz w:val="24"/>
          <w:shd w:val="clear" w:color="auto" w:fill="FFFFFF"/>
          <w:lang w:val="pl-PL"/>
        </w:rPr>
        <w:t>Environmental</w:t>
      </w:r>
      <w:proofErr w:type="spellEnd"/>
      <w:r w:rsidRPr="008E7CF8">
        <w:rPr>
          <w:i/>
          <w:iCs/>
          <w:sz w:val="24"/>
          <w:shd w:val="clear" w:color="auto" w:fill="FFFFFF"/>
          <w:lang w:val="pl-PL"/>
        </w:rPr>
        <w:t xml:space="preserve"> </w:t>
      </w:r>
      <w:proofErr w:type="spellStart"/>
      <w:r w:rsidRPr="008E7CF8">
        <w:rPr>
          <w:i/>
          <w:iCs/>
          <w:sz w:val="24"/>
          <w:shd w:val="clear" w:color="auto" w:fill="FFFFFF"/>
          <w:lang w:val="pl-PL"/>
        </w:rPr>
        <w:t>Sciences</w:t>
      </w:r>
      <w:proofErr w:type="spellEnd"/>
      <w:r w:rsidRPr="008E7CF8">
        <w:rPr>
          <w:i/>
          <w:iCs/>
          <w:sz w:val="24"/>
          <w:shd w:val="clear" w:color="auto" w:fill="FFFFFF"/>
          <w:lang w:val="pl-PL"/>
        </w:rPr>
        <w:t xml:space="preserve"> Europe</w:t>
      </w:r>
      <w:r w:rsidRPr="008E7CF8">
        <w:rPr>
          <w:sz w:val="24"/>
          <w:shd w:val="clear" w:color="auto" w:fill="FFFFFF"/>
          <w:lang w:val="pl-PL"/>
        </w:rPr>
        <w:t xml:space="preserve">, 28 września 2012 r., t. 24(1), </w:t>
      </w:r>
      <w:hyperlink r:id="rId15" w:history="1">
        <w:r w:rsidRPr="008E7CF8">
          <w:rPr>
            <w:rStyle w:val="Hyperlink"/>
            <w:sz w:val="24"/>
            <w:lang w:val="pl-PL"/>
          </w:rPr>
          <w:t>https://doi.org/10.1186/2190-4715-24-24</w:t>
        </w:r>
      </w:hyperlink>
      <w:r w:rsidRPr="008E7CF8">
        <w:rPr>
          <w:sz w:val="24"/>
          <w:lang w:val="pl-PL"/>
        </w:rPr>
        <w:t>.</w:t>
      </w:r>
      <w:r w:rsidRPr="008E7CF8">
        <w:rPr>
          <w:sz w:val="24"/>
          <w:shd w:val="clear" w:color="auto" w:fill="FFFFFF"/>
          <w:lang w:val="pl-PL"/>
        </w:rPr>
        <w:t xml:space="preserve"> </w:t>
      </w:r>
    </w:p>
  </w:footnote>
  <w:footnote w:id="6">
    <w:p w14:paraId="6311C13F" w14:textId="7D3F2AC3" w:rsidR="00FF36B2" w:rsidRPr="008E7CF8" w:rsidRDefault="00FF36B2" w:rsidP="008E7CF8">
      <w:pPr>
        <w:pStyle w:val="FootnoteText"/>
        <w:ind w:left="567" w:hanging="567"/>
        <w:rPr>
          <w:sz w:val="24"/>
          <w:shd w:val="clear" w:color="auto" w:fill="FFFFFF"/>
          <w:lang w:val="pl-PL"/>
        </w:rPr>
      </w:pPr>
      <w:r w:rsidRPr="008E7CF8">
        <w:rPr>
          <w:rStyle w:val="FootnoteReference"/>
          <w:sz w:val="24"/>
          <w:lang w:val="pl-PL"/>
        </w:rPr>
        <w:footnoteRef/>
      </w:r>
      <w:r w:rsidR="008E7CF8" w:rsidRPr="008E7CF8">
        <w:rPr>
          <w:sz w:val="24"/>
          <w:lang w:val="pl-PL"/>
        </w:rPr>
        <w:t xml:space="preserve"> </w:t>
      </w:r>
      <w:r w:rsidR="008E7CF8" w:rsidRPr="008E7CF8">
        <w:rPr>
          <w:sz w:val="24"/>
          <w:lang w:val="pl-PL"/>
        </w:rPr>
        <w:tab/>
      </w:r>
      <w:r w:rsidRPr="008E7CF8">
        <w:rPr>
          <w:sz w:val="24"/>
          <w:lang w:val="pl-PL"/>
        </w:rPr>
        <w:t xml:space="preserve">Zob. na przykład: </w:t>
      </w:r>
      <w:hyperlink r:id="rId16" w:history="1">
        <w:r w:rsidRPr="008E7CF8">
          <w:rPr>
            <w:rStyle w:val="Hyperlink"/>
            <w:sz w:val="24"/>
            <w:lang w:val="pl-PL"/>
          </w:rPr>
          <w:t>https://doi.org/10.1002/ps.8105</w:t>
        </w:r>
      </w:hyperlink>
      <w:r w:rsidRPr="008E7CF8">
        <w:rPr>
          <w:sz w:val="24"/>
          <w:shd w:val="clear" w:color="auto" w:fill="FFFFFF"/>
          <w:lang w:val="pl-PL"/>
        </w:rPr>
        <w:t xml:space="preserve">, i </w:t>
      </w:r>
      <w:hyperlink r:id="rId17" w:history="1">
        <w:r w:rsidRPr="008E7CF8">
          <w:rPr>
            <w:rStyle w:val="Hyperlink"/>
            <w:sz w:val="24"/>
            <w:lang w:val="pl-PL"/>
          </w:rPr>
          <w:t>https://doi.org/10.1016/j.geoforum.2009.03.009</w:t>
        </w:r>
      </w:hyperlink>
      <w:r w:rsidRPr="008E7CF8">
        <w:rPr>
          <w:sz w:val="24"/>
          <w:lang w:val="pl-PL"/>
        </w:rPr>
        <w:t>.</w:t>
      </w:r>
    </w:p>
  </w:footnote>
  <w:footnote w:id="7">
    <w:p w14:paraId="3B2F894B" w14:textId="4852BACA" w:rsidR="00FF36B2" w:rsidRPr="008E7CF8" w:rsidRDefault="00FF36B2" w:rsidP="008E7CF8">
      <w:pPr>
        <w:pStyle w:val="FootnoteText"/>
        <w:ind w:left="567" w:hanging="567"/>
        <w:rPr>
          <w:sz w:val="24"/>
          <w:lang w:val="pl-PL"/>
        </w:rPr>
      </w:pPr>
      <w:r w:rsidRPr="008E7CF8">
        <w:rPr>
          <w:rStyle w:val="FootnoteReference"/>
          <w:sz w:val="24"/>
          <w:lang w:val="pl-PL"/>
        </w:rPr>
        <w:footnoteRef/>
      </w:r>
      <w:r w:rsidR="008E7CF8" w:rsidRPr="008E7CF8">
        <w:rPr>
          <w:sz w:val="24"/>
          <w:lang w:val="pl-PL"/>
        </w:rPr>
        <w:t xml:space="preserve"> </w:t>
      </w:r>
      <w:r w:rsidR="008E7CF8" w:rsidRPr="008E7CF8">
        <w:rPr>
          <w:sz w:val="24"/>
          <w:lang w:val="pl-PL"/>
        </w:rPr>
        <w:tab/>
      </w:r>
      <w:r w:rsidRPr="008E7CF8">
        <w:rPr>
          <w:sz w:val="24"/>
          <w:lang w:val="pl-PL"/>
        </w:rPr>
        <w:t>Rozporządzenie Parlamentu Europejskiego i Rady (WE) nr 1107/2009 z dnia 21 października 2009 r. dotyczące wprowadzania do obrotu środków ochrony roślin i uchylające dyrektywy Rady 79/117/EWG i 91/414/EWG (Dz.U. L 309 z 24.11.2009, s. 1, ELI: </w:t>
      </w:r>
      <w:hyperlink r:id="rId18" w:history="1">
        <w:r w:rsidRPr="008E7CF8">
          <w:rPr>
            <w:rStyle w:val="Hyperlink"/>
            <w:sz w:val="24"/>
            <w:lang w:val="pl-PL"/>
          </w:rPr>
          <w:t>http://data.europa.eu/eli/reg/2009/1107/oj</w:t>
        </w:r>
      </w:hyperlink>
      <w:r w:rsidRPr="008E7CF8">
        <w:rPr>
          <w:sz w:val="24"/>
          <w:lang w:val="pl-PL"/>
        </w:rPr>
        <w:t>).</w:t>
      </w:r>
    </w:p>
  </w:footnote>
  <w:footnote w:id="8">
    <w:p w14:paraId="29B2E24E" w14:textId="5C03626B" w:rsidR="00FF36B2" w:rsidRPr="008E7CF8" w:rsidRDefault="00FF36B2" w:rsidP="008E7CF8">
      <w:pPr>
        <w:pStyle w:val="FootnoteText"/>
        <w:ind w:left="567" w:hanging="567"/>
        <w:rPr>
          <w:sz w:val="24"/>
          <w:lang w:val="pl-PL"/>
        </w:rPr>
      </w:pPr>
      <w:r w:rsidRPr="008E7CF8">
        <w:rPr>
          <w:rStyle w:val="FootnoteReference"/>
          <w:sz w:val="24"/>
          <w:lang w:val="pl-PL"/>
        </w:rPr>
        <w:footnoteRef/>
      </w:r>
      <w:r w:rsidR="008E7CF8" w:rsidRPr="008E7CF8">
        <w:rPr>
          <w:sz w:val="24"/>
          <w:lang w:val="pl-PL"/>
        </w:rPr>
        <w:t xml:space="preserve"> </w:t>
      </w:r>
      <w:r w:rsidR="008E7CF8" w:rsidRPr="008E7CF8">
        <w:rPr>
          <w:sz w:val="24"/>
          <w:lang w:val="pl-PL"/>
        </w:rPr>
        <w:tab/>
      </w:r>
      <w:r w:rsidRPr="008E7CF8">
        <w:rPr>
          <w:sz w:val="24"/>
          <w:lang w:val="pl-PL"/>
        </w:rPr>
        <w:t xml:space="preserve">Zob. na przykład: </w:t>
      </w:r>
      <w:hyperlink r:id="rId19" w:history="1">
        <w:r w:rsidRPr="008E7CF8">
          <w:rPr>
            <w:rStyle w:val="Hyperlink"/>
            <w:sz w:val="24"/>
            <w:lang w:val="pl-PL"/>
          </w:rPr>
          <w:t>https://doi.org/10.1016/j.mrrev.2019.02.001</w:t>
        </w:r>
      </w:hyperlink>
      <w:r w:rsidRPr="008E7CF8">
        <w:rPr>
          <w:sz w:val="24"/>
          <w:lang w:val="pl-PL"/>
        </w:rPr>
        <w:t xml:space="preserve">, </w:t>
      </w:r>
      <w:hyperlink r:id="rId20" w:history="1">
        <w:r w:rsidRPr="008E7CF8">
          <w:rPr>
            <w:rStyle w:val="Hyperlink"/>
            <w:sz w:val="24"/>
            <w:lang w:val="pl-PL"/>
          </w:rPr>
          <w:t>https://doi.org/10.1093/ije/dyz017</w:t>
        </w:r>
      </w:hyperlink>
      <w:r w:rsidRPr="008E7CF8">
        <w:rPr>
          <w:sz w:val="24"/>
          <w:lang w:val="pl-PL"/>
        </w:rPr>
        <w:t xml:space="preserve">, </w:t>
      </w:r>
      <w:hyperlink r:id="rId21" w:history="1">
        <w:r w:rsidRPr="008E7CF8">
          <w:rPr>
            <w:rStyle w:val="Hyperlink"/>
            <w:sz w:val="24"/>
            <w:lang w:val="pl-PL"/>
          </w:rPr>
          <w:t>https://doi.org/10.1371/journal.pone.0219610</w:t>
        </w:r>
      </w:hyperlink>
      <w:r w:rsidRPr="008E7CF8">
        <w:rPr>
          <w:sz w:val="24"/>
          <w:lang w:val="pl-PL"/>
        </w:rPr>
        <w:t xml:space="preserve"> i </w:t>
      </w:r>
      <w:hyperlink r:id="rId22" w:history="1">
        <w:r w:rsidRPr="008E7CF8">
          <w:rPr>
            <w:rStyle w:val="Hyperlink"/>
            <w:sz w:val="24"/>
            <w:lang w:val="pl-PL"/>
          </w:rPr>
          <w:t>https://doi.org/10.1186/s13045-019-0767-9</w:t>
        </w:r>
      </w:hyperlink>
      <w:r w:rsidRPr="008E7CF8">
        <w:rPr>
          <w:sz w:val="24"/>
          <w:lang w:val="pl-PL"/>
        </w:rPr>
        <w:t>.</w:t>
      </w:r>
    </w:p>
  </w:footnote>
  <w:footnote w:id="9">
    <w:p w14:paraId="4EA09EEE" w14:textId="1D648A87" w:rsidR="00FF36B2" w:rsidRPr="008E7CF8" w:rsidRDefault="00FF36B2" w:rsidP="008E7CF8">
      <w:pPr>
        <w:pStyle w:val="FootnoteText"/>
        <w:ind w:left="567" w:hanging="567"/>
        <w:rPr>
          <w:sz w:val="24"/>
          <w:lang w:val="pl-PL"/>
        </w:rPr>
      </w:pPr>
      <w:r w:rsidRPr="008E7CF8">
        <w:rPr>
          <w:rStyle w:val="FootnoteReference"/>
          <w:sz w:val="24"/>
          <w:lang w:val="pl-PL"/>
        </w:rPr>
        <w:footnoteRef/>
      </w:r>
      <w:r w:rsidR="008E7CF8" w:rsidRPr="008E7CF8">
        <w:rPr>
          <w:sz w:val="24"/>
          <w:lang w:val="pl-PL"/>
        </w:rPr>
        <w:t xml:space="preserve"> </w:t>
      </w:r>
      <w:r w:rsidR="008E7CF8" w:rsidRPr="008E7CF8">
        <w:rPr>
          <w:sz w:val="24"/>
          <w:lang w:val="pl-PL"/>
        </w:rPr>
        <w:tab/>
      </w:r>
      <w:hyperlink r:id="rId23" w:history="1">
        <w:r w:rsidRPr="008E7CF8">
          <w:rPr>
            <w:rStyle w:val="Hyperlink"/>
            <w:sz w:val="24"/>
            <w:lang w:val="pl-PL"/>
          </w:rPr>
          <w:t>https://doi.org/10.1006/rtph.1999.1371</w:t>
        </w:r>
      </w:hyperlink>
      <w:r w:rsidRPr="008E7CF8">
        <w:rPr>
          <w:sz w:val="24"/>
          <w:lang w:val="pl-PL"/>
        </w:rPr>
        <w:t xml:space="preserve">. </w:t>
      </w:r>
    </w:p>
  </w:footnote>
  <w:footnote w:id="10">
    <w:p w14:paraId="02FDED14" w14:textId="3E05351A" w:rsidR="00FF36B2" w:rsidRPr="008E7CF8" w:rsidRDefault="00FF36B2" w:rsidP="008E7CF8">
      <w:pPr>
        <w:pStyle w:val="FootnoteText"/>
        <w:ind w:left="567" w:hanging="567"/>
        <w:rPr>
          <w:sz w:val="24"/>
          <w:lang w:val="pl-PL"/>
        </w:rPr>
      </w:pPr>
      <w:r w:rsidRPr="008E7CF8">
        <w:rPr>
          <w:rStyle w:val="FootnoteReference"/>
          <w:sz w:val="24"/>
          <w:lang w:val="pl-PL"/>
        </w:rPr>
        <w:footnoteRef/>
      </w:r>
      <w:r w:rsidR="008E7CF8" w:rsidRPr="008E7CF8">
        <w:rPr>
          <w:sz w:val="24"/>
          <w:lang w:val="pl-PL"/>
        </w:rPr>
        <w:t xml:space="preserve"> </w:t>
      </w:r>
      <w:r w:rsidR="008E7CF8" w:rsidRPr="008E7CF8">
        <w:rPr>
          <w:sz w:val="24"/>
          <w:lang w:val="pl-PL"/>
        </w:rPr>
        <w:tab/>
      </w:r>
      <w:r w:rsidRPr="008E7CF8">
        <w:rPr>
          <w:sz w:val="24"/>
          <w:lang w:val="pl-PL"/>
        </w:rPr>
        <w:t>W grudniu 2022 r. na 15. Konferencji stron Konwencji Narodów Zjednoczonych o różnorodności biologicznej (COP15) uzgodniono globalne ramy różnorodności biologicznej, które obejmują globalny cel zmniejszenia ryzyka związanego z pestycydami o co najmniej 50 % do 2030 r. (zob.</w:t>
      </w:r>
      <w:r w:rsidRPr="008E7CF8">
        <w:rPr>
          <w:color w:val="000000" w:themeColor="text1"/>
          <w:sz w:val="24"/>
          <w:lang w:val="pl-PL"/>
        </w:rPr>
        <w:t xml:space="preserve"> </w:t>
      </w:r>
      <w:hyperlink r:id="rId24" w:history="1">
        <w:r w:rsidRPr="008E7CF8">
          <w:rPr>
            <w:rStyle w:val="Hyperlink"/>
            <w:sz w:val="24"/>
            <w:lang w:val="pl-PL"/>
          </w:rPr>
          <w:t>https://ec.europa.eu/commission/presscorner/detail/en/ip_22_7834</w:t>
        </w:r>
      </w:hyperlink>
      <w:r w:rsidRPr="008E7CF8">
        <w:rPr>
          <w:sz w:val="24"/>
          <w:lang w:val="pl-PL"/>
        </w:rPr>
        <w:t>).</w:t>
      </w:r>
    </w:p>
  </w:footnote>
  <w:footnote w:id="11">
    <w:p w14:paraId="627CB8DC" w14:textId="1DE04022" w:rsidR="00FF36B2" w:rsidRPr="008E7CF8" w:rsidRDefault="00FF36B2" w:rsidP="008E7CF8">
      <w:pPr>
        <w:pStyle w:val="FootnoteText"/>
        <w:ind w:left="567" w:hanging="567"/>
        <w:rPr>
          <w:sz w:val="24"/>
          <w:lang w:val="pl-PL"/>
        </w:rPr>
      </w:pPr>
      <w:r w:rsidRPr="008E7CF8">
        <w:rPr>
          <w:rStyle w:val="FootnoteReference"/>
          <w:sz w:val="24"/>
          <w:lang w:val="pl-PL"/>
        </w:rPr>
        <w:footnoteRef/>
      </w:r>
      <w:r w:rsidR="008E7CF8" w:rsidRPr="008E7CF8">
        <w:rPr>
          <w:sz w:val="24"/>
          <w:lang w:val="pl-PL"/>
        </w:rPr>
        <w:t xml:space="preserve"> </w:t>
      </w:r>
      <w:r w:rsidR="008E7CF8" w:rsidRPr="008E7CF8">
        <w:rPr>
          <w:sz w:val="24"/>
          <w:lang w:val="pl-PL"/>
        </w:rPr>
        <w:tab/>
      </w:r>
      <w:hyperlink r:id="rId25" w:history="1">
        <w:r w:rsidRPr="008E7CF8">
          <w:rPr>
            <w:rStyle w:val="Hyperlink"/>
            <w:sz w:val="24"/>
            <w:lang w:val="pl-PL"/>
          </w:rPr>
          <w:t>https://commission.europa.eu/strategy-and-policy/priorities-2019-2024/european-green-deal/agriculture-and-green-deal/strategic-dialogue-future-eu-agriculture_en</w:t>
        </w:r>
      </w:hyperlink>
      <w:r w:rsidRPr="008E7CF8">
        <w:rPr>
          <w:rStyle w:val="Hyperlink"/>
          <w:sz w:val="24"/>
          <w:lang w:val="pl-PL"/>
        </w:rPr>
        <w:t>.</w:t>
      </w:r>
      <w:r w:rsidRPr="008E7CF8">
        <w:rPr>
          <w:sz w:val="24"/>
          <w:lang w:val="pl-PL"/>
        </w:rPr>
        <w:t xml:space="preserve"> </w:t>
      </w:r>
    </w:p>
  </w:footnote>
  <w:footnote w:id="12">
    <w:p w14:paraId="65CCAA49" w14:textId="06289E45" w:rsidR="00FF36B2" w:rsidRPr="008E7CF8" w:rsidRDefault="00FF36B2" w:rsidP="008E7CF8">
      <w:pPr>
        <w:pStyle w:val="FootnoteText"/>
        <w:ind w:left="567" w:hanging="567"/>
        <w:rPr>
          <w:sz w:val="24"/>
          <w:lang w:val="pl-PL"/>
        </w:rPr>
      </w:pPr>
      <w:r w:rsidRPr="008E7CF8">
        <w:rPr>
          <w:rStyle w:val="FootnoteReference"/>
          <w:sz w:val="24"/>
          <w:lang w:val="pl-PL"/>
        </w:rPr>
        <w:footnoteRef/>
      </w:r>
      <w:r w:rsidR="008E7CF8" w:rsidRPr="008E7CF8">
        <w:rPr>
          <w:sz w:val="24"/>
          <w:lang w:val="pl-PL"/>
        </w:rPr>
        <w:t xml:space="preserve"> </w:t>
      </w:r>
      <w:r w:rsidR="008E7CF8" w:rsidRPr="008E7CF8">
        <w:rPr>
          <w:sz w:val="24"/>
          <w:lang w:val="pl-PL"/>
        </w:rPr>
        <w:tab/>
      </w:r>
      <w:r w:rsidRPr="008E7CF8">
        <w:rPr>
          <w:sz w:val="24"/>
          <w:lang w:val="pl-PL"/>
        </w:rPr>
        <w:t>Rozporządzenie (WE) nr 178/2002 Parlamentu Europejskiego i Rady z 28 stycznia 2002 r. ustanawiające ogólne zasady i wymagania prawa żywnościowego, powołujące Europejski Urząd ds. Bezpieczeństwa Żywności oraz ustanawiające procedury w zakresie bezpieczeństwa żywności (Dz.U. L 31 z 1.2.2002, s. 1, ELI:</w:t>
      </w:r>
      <w:r w:rsidRPr="008E7CF8">
        <w:rPr>
          <w:color w:val="000000" w:themeColor="text1"/>
          <w:sz w:val="24"/>
          <w:lang w:val="pl-PL"/>
        </w:rPr>
        <w:t> </w:t>
      </w:r>
      <w:hyperlink r:id="rId26" w:tgtFrame="Gives access to this document through its ELI URI." w:history="1">
        <w:r w:rsidRPr="008E7CF8">
          <w:rPr>
            <w:rStyle w:val="Hyperlink"/>
            <w:color w:val="0070C0"/>
            <w:sz w:val="24"/>
            <w:lang w:val="pl-PL"/>
          </w:rPr>
          <w:t>http://data.europa.eu/eli/reg/2002/178/oj</w:t>
        </w:r>
      </w:hyperlink>
      <w:r w:rsidRPr="008E7CF8">
        <w:rPr>
          <w:sz w:val="24"/>
          <w:lang w:val="pl-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338C8" w14:textId="77777777" w:rsidR="00064002" w:rsidRPr="008E7CF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B53CB" w14:textId="77777777" w:rsidR="00064002" w:rsidRPr="008E7CF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9C65B" w14:textId="77777777" w:rsidR="00064002" w:rsidRPr="008E7CF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51368948">
    <w:abstractNumId w:val="9"/>
  </w:num>
  <w:num w:numId="2" w16cid:durableId="1903297767">
    <w:abstractNumId w:val="9"/>
  </w:num>
  <w:num w:numId="3" w16cid:durableId="662003683">
    <w:abstractNumId w:val="7"/>
  </w:num>
  <w:num w:numId="4" w16cid:durableId="2022008344">
    <w:abstractNumId w:val="7"/>
  </w:num>
  <w:num w:numId="5" w16cid:durableId="966736558">
    <w:abstractNumId w:val="6"/>
  </w:num>
  <w:num w:numId="6" w16cid:durableId="2106221404">
    <w:abstractNumId w:val="6"/>
  </w:num>
  <w:num w:numId="7" w16cid:durableId="1177772812">
    <w:abstractNumId w:val="5"/>
  </w:num>
  <w:num w:numId="8" w16cid:durableId="1342514510">
    <w:abstractNumId w:val="5"/>
  </w:num>
  <w:num w:numId="9" w16cid:durableId="1431513464">
    <w:abstractNumId w:val="4"/>
  </w:num>
  <w:num w:numId="10" w16cid:durableId="846477003">
    <w:abstractNumId w:val="4"/>
  </w:num>
  <w:num w:numId="11" w16cid:durableId="634678884">
    <w:abstractNumId w:val="8"/>
  </w:num>
  <w:num w:numId="12" w16cid:durableId="230694456">
    <w:abstractNumId w:val="8"/>
  </w:num>
  <w:num w:numId="13" w16cid:durableId="906888818">
    <w:abstractNumId w:val="3"/>
  </w:num>
  <w:num w:numId="14" w16cid:durableId="937250204">
    <w:abstractNumId w:val="3"/>
  </w:num>
  <w:num w:numId="15" w16cid:durableId="144053983">
    <w:abstractNumId w:val="2"/>
  </w:num>
  <w:num w:numId="16" w16cid:durableId="93865588">
    <w:abstractNumId w:val="2"/>
  </w:num>
  <w:num w:numId="17" w16cid:durableId="1788961908">
    <w:abstractNumId w:val="1"/>
  </w:num>
  <w:num w:numId="18" w16cid:durableId="2094819976">
    <w:abstractNumId w:val="1"/>
  </w:num>
  <w:num w:numId="19" w16cid:durableId="1341083259">
    <w:abstractNumId w:val="0"/>
  </w:num>
  <w:num w:numId="20" w16cid:durableId="576595023">
    <w:abstractNumId w:val="0"/>
  </w:num>
  <w:num w:numId="21" w16cid:durableId="1452430883">
    <w:abstractNumId w:val="9"/>
  </w:num>
  <w:num w:numId="22" w16cid:durableId="2020085055">
    <w:abstractNumId w:val="7"/>
  </w:num>
  <w:num w:numId="23" w16cid:durableId="1078749183">
    <w:abstractNumId w:val="6"/>
  </w:num>
  <w:num w:numId="24" w16cid:durableId="1899047022">
    <w:abstractNumId w:val="5"/>
  </w:num>
  <w:num w:numId="25" w16cid:durableId="634219637">
    <w:abstractNumId w:val="4"/>
  </w:num>
  <w:num w:numId="26" w16cid:durableId="457261500">
    <w:abstractNumId w:val="8"/>
  </w:num>
  <w:num w:numId="27" w16cid:durableId="761069800">
    <w:abstractNumId w:val="3"/>
  </w:num>
  <w:num w:numId="28" w16cid:durableId="8803315">
    <w:abstractNumId w:val="2"/>
  </w:num>
  <w:num w:numId="29" w16cid:durableId="380133925">
    <w:abstractNumId w:val="1"/>
  </w:num>
  <w:num w:numId="30" w16cid:durableId="636420772">
    <w:abstractNumId w:val="0"/>
  </w:num>
  <w:num w:numId="31" w16cid:durableId="1381057387">
    <w:abstractNumId w:val="9"/>
  </w:num>
  <w:num w:numId="32" w16cid:durableId="14963779">
    <w:abstractNumId w:val="7"/>
  </w:num>
  <w:num w:numId="33" w16cid:durableId="1079408306">
    <w:abstractNumId w:val="6"/>
  </w:num>
  <w:num w:numId="34" w16cid:durableId="743602042">
    <w:abstractNumId w:val="5"/>
  </w:num>
  <w:num w:numId="35" w16cid:durableId="1451317407">
    <w:abstractNumId w:val="4"/>
  </w:num>
  <w:num w:numId="36" w16cid:durableId="592974687">
    <w:abstractNumId w:val="8"/>
  </w:num>
  <w:num w:numId="37" w16cid:durableId="1236434078">
    <w:abstractNumId w:val="3"/>
  </w:num>
  <w:num w:numId="38" w16cid:durableId="1012608651">
    <w:abstractNumId w:val="2"/>
  </w:num>
  <w:num w:numId="39" w16cid:durableId="1509369611">
    <w:abstractNumId w:val="1"/>
  </w:num>
  <w:num w:numId="40" w16cid:durableId="832993404">
    <w:abstractNumId w:val="0"/>
  </w:num>
  <w:num w:numId="41" w16cid:durableId="1604461907">
    <w:abstractNumId w:val="10"/>
  </w:num>
  <w:num w:numId="42" w16cid:durableId="1044990533">
    <w:abstractNumId w:val="10"/>
  </w:num>
  <w:num w:numId="43" w16cid:durableId="1777670203">
    <w:abstractNumId w:val="10"/>
  </w:num>
  <w:num w:numId="44" w16cid:durableId="1934645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07/2026"/>
    <w:docVar w:name="dvlangue" w:val="PL"/>
    <w:docVar w:name="dvnumam" w:val="0"/>
    <w:docVar w:name="dvpe" w:val="782.192"/>
    <w:docVar w:name="dvtitre" w:val="Rezolucja Parlamentu Europejskiego z dnia  2026 r. w sprawie projektu decyzji wykonawczej Komisji zezwalającej na wprowadzenie do obrotu, na mocy rozporządzenia Parlamentu Europejskiego i Rady (WE) nr 1829/2003, produktów zawierających genetycznie zmodyfikowaną soję DBN-09004-6, składających się z niej lub z niej wyprodukowanych (D111472/02 – 2026/2523(RSP))"/>
  </w:docVars>
  <w:rsids>
    <w:rsidRoot w:val="00A71C4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65E0"/>
    <w:rsid w:val="008E7CF8"/>
    <w:rsid w:val="00930C23"/>
    <w:rsid w:val="0093193B"/>
    <w:rsid w:val="009509D8"/>
    <w:rsid w:val="00950B64"/>
    <w:rsid w:val="00981893"/>
    <w:rsid w:val="00A1687D"/>
    <w:rsid w:val="00A43E52"/>
    <w:rsid w:val="00A4678D"/>
    <w:rsid w:val="00A71C46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0515"/>
    <w:rsid w:val="00F04346"/>
    <w:rsid w:val="00F075DC"/>
    <w:rsid w:val="00F149E9"/>
    <w:rsid w:val="00F5134D"/>
    <w:rsid w:val="00F74202"/>
    <w:rsid w:val="00F87713"/>
    <w:rsid w:val="00FB4360"/>
    <w:rsid w:val="00FD0C70"/>
    <w:rsid w:val="00FF3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AEDA76"/>
  <w15:chartTrackingRefBased/>
  <w15:docId w15:val="{0A588A3B-5717-49AA-8250-7CCA23004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uiPriority w:val="99"/>
    <w:rsid w:val="00FF36B2"/>
    <w:pPr>
      <w:spacing w:before="480" w:after="240"/>
    </w:pPr>
  </w:style>
  <w:style w:type="paragraph" w:customStyle="1" w:styleId="NormalHanging12a">
    <w:name w:val="NormalHanging12a"/>
    <w:basedOn w:val="Normal"/>
    <w:uiPriority w:val="99"/>
    <w:qFormat/>
    <w:rsid w:val="00FF36B2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FF36B2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F36B2"/>
    <w:pPr>
      <w:widowControl/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5/1801/oj" TargetMode="External"/><Relationship Id="rId13" Type="http://schemas.openxmlformats.org/officeDocument/2006/relationships/hyperlink" Target="http://data.europa.eu/eli/C/2025/2247/oj" TargetMode="External"/><Relationship Id="rId18" Type="http://schemas.openxmlformats.org/officeDocument/2006/relationships/hyperlink" Target="http://data.europa.eu/eli/reg/2009/1107/oj" TargetMode="External"/><Relationship Id="rId26" Type="http://schemas.openxmlformats.org/officeDocument/2006/relationships/hyperlink" Target="http://data.europa.eu/eli/reg/2002/178/oj" TargetMode="External"/><Relationship Id="rId3" Type="http://schemas.openxmlformats.org/officeDocument/2006/relationships/hyperlink" Target="https://doi.org/10.2903/j.efsa.2025.9503" TargetMode="External"/><Relationship Id="rId21" Type="http://schemas.openxmlformats.org/officeDocument/2006/relationships/hyperlink" Target="https://doi.org/10.1371/journal.pone.0219610" TargetMode="External"/><Relationship Id="rId7" Type="http://schemas.openxmlformats.org/officeDocument/2006/relationships/hyperlink" Target="http://data.europa.eu/eli/C/2025/1800/oj" TargetMode="External"/><Relationship Id="rId12" Type="http://schemas.openxmlformats.org/officeDocument/2006/relationships/hyperlink" Target="http://data.europa.eu/eli/C/2025/2246/oj" TargetMode="External"/><Relationship Id="rId17" Type="http://schemas.openxmlformats.org/officeDocument/2006/relationships/hyperlink" Target="https://doi.org/10.1016/j.geoforum.2009.03.009" TargetMode="External"/><Relationship Id="rId25" Type="http://schemas.openxmlformats.org/officeDocument/2006/relationships/hyperlink" Target="https://commission.europa.eu/topics/agriculture-and-rural-development/strategic-dialogue-future-eu-agriculture_pl" TargetMode="External"/><Relationship Id="rId2" Type="http://schemas.openxmlformats.org/officeDocument/2006/relationships/hyperlink" Target="http://data.europa.eu/eli/reg/2011/182/oj" TargetMode="External"/><Relationship Id="rId16" Type="http://schemas.openxmlformats.org/officeDocument/2006/relationships/hyperlink" Target="https://doi.org/10.1002/ps.8105" TargetMode="External"/><Relationship Id="rId20" Type="http://schemas.openxmlformats.org/officeDocument/2006/relationships/hyperlink" Target="https://doi.org/10.1093/ije/dyz017" TargetMode="External"/><Relationship Id="rId1" Type="http://schemas.openxmlformats.org/officeDocument/2006/relationships/hyperlink" Target="http://data.europa.eu/eli/reg/2003/1829/oj" TargetMode="External"/><Relationship Id="rId6" Type="http://schemas.openxmlformats.org/officeDocument/2006/relationships/hyperlink" Target="http://data.europa.eu/eli/C/2025/1799/oj" TargetMode="External"/><Relationship Id="rId11" Type="http://schemas.openxmlformats.org/officeDocument/2006/relationships/hyperlink" Target="http://data.europa.eu/eli/C/2025/1804/oj" TargetMode="External"/><Relationship Id="rId24" Type="http://schemas.openxmlformats.org/officeDocument/2006/relationships/hyperlink" Target="https://ec.europa.eu/commission/presscorner/detail/pl/ip_22_7834" TargetMode="External"/><Relationship Id="rId5" Type="http://schemas.openxmlformats.org/officeDocument/2006/relationships/hyperlink" Target="http://data.europa.eu/eli/C/2025/1798/oj" TargetMode="External"/><Relationship Id="rId15" Type="http://schemas.openxmlformats.org/officeDocument/2006/relationships/hyperlink" Target="https://doi.org/10.1186/2190-4715-24-24" TargetMode="External"/><Relationship Id="rId23" Type="http://schemas.openxmlformats.org/officeDocument/2006/relationships/hyperlink" Target="https://doi.org/10.1006/rtph.1999.1371" TargetMode="External"/><Relationship Id="rId10" Type="http://schemas.openxmlformats.org/officeDocument/2006/relationships/hyperlink" Target="http://data.europa.eu/eli/C/2025/1803/oj" TargetMode="External"/><Relationship Id="rId19" Type="http://schemas.openxmlformats.org/officeDocument/2006/relationships/hyperlink" Target="https://doi.org/10.1016/j.mrrev.2019.02.001" TargetMode="External"/><Relationship Id="rId4" Type="http://schemas.openxmlformats.org/officeDocument/2006/relationships/hyperlink" Target="http://data.europa.eu/eli/C/2025/1797/oj" TargetMode="External"/><Relationship Id="rId9" Type="http://schemas.openxmlformats.org/officeDocument/2006/relationships/hyperlink" Target="http://data.europa.eu/eli/C/2025/1802/oj" TargetMode="External"/><Relationship Id="rId14" Type="http://schemas.openxmlformats.org/officeDocument/2006/relationships/hyperlink" Target="https://doi.org/10.1007/s00267-015-0589-7" TargetMode="External"/><Relationship Id="rId22" Type="http://schemas.openxmlformats.org/officeDocument/2006/relationships/hyperlink" Target="https://doi.org/10.1186/s13045-019-0767-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1576</Words>
  <Characters>10338</Characters>
  <Application>Microsoft Office Word</Application>
  <DocSecurity>0</DocSecurity>
  <Lines>86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2026-02-11T16:17:00Z</dcterms:created>
  <dcterms:modified xsi:type="dcterms:W3CDTF">2026-02-11T16:17:00Z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B10-0107/2026</vt:lpwstr>
  </property>
  <property fmtid="{D5CDD505-2E9C-101B-9397-08002B2CF9AE}" pid="4" name="&lt;Type&gt;">
    <vt:lpwstr>RR</vt:lpwstr>
  </property>
</Properties>
</file>