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4C5D" w14:paraId="51C607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7065A6" w14:textId="77777777" w:rsidR="00751A4A" w:rsidRPr="00434C5D" w:rsidRDefault="00347D69" w:rsidP="0010095E">
            <w:pPr>
              <w:pStyle w:val="EPName"/>
            </w:pPr>
            <w:r w:rsidRPr="00434C5D">
              <w:t>Parlamento Europeu</w:t>
            </w:r>
          </w:p>
          <w:p w14:paraId="58F859C2" w14:textId="77777777" w:rsidR="00751A4A" w:rsidRPr="00434C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4C5D">
              <w:t>2024</w:t>
            </w:r>
            <w:r w:rsidR="00817416" w:rsidRPr="00434C5D">
              <w:t>-202</w:t>
            </w:r>
            <w:r w:rsidRPr="00434C5D">
              <w:t>9</w:t>
            </w:r>
          </w:p>
        </w:tc>
        <w:tc>
          <w:tcPr>
            <w:tcW w:w="2268" w:type="dxa"/>
            <w:shd w:val="clear" w:color="auto" w:fill="auto"/>
          </w:tcPr>
          <w:p w14:paraId="4A985A1E" w14:textId="77777777" w:rsidR="00751A4A" w:rsidRPr="00434C5D" w:rsidRDefault="00187494" w:rsidP="0010095E">
            <w:pPr>
              <w:pStyle w:val="EPLogo"/>
            </w:pPr>
            <w:r w:rsidRPr="00434C5D">
              <w:rPr>
                <w:noProof/>
                <w:lang w:eastAsia="ja-JP"/>
              </w:rPr>
              <w:drawing>
                <wp:inline distT="0" distB="0" distL="0" distR="0" wp14:anchorId="7E703852" wp14:editId="322DAE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128C48" w14:textId="77777777" w:rsidR="00D058B8" w:rsidRPr="00434C5D" w:rsidRDefault="00D058B8" w:rsidP="004C5D52">
      <w:pPr>
        <w:pStyle w:val="LineTop"/>
      </w:pPr>
    </w:p>
    <w:p w14:paraId="239C7D4D" w14:textId="77777777" w:rsidR="00680577" w:rsidRPr="00434C5D" w:rsidRDefault="00347D69" w:rsidP="00680577">
      <w:pPr>
        <w:pStyle w:val="EPBodyTA1"/>
      </w:pPr>
      <w:r w:rsidRPr="00434C5D">
        <w:t>TEXTOS APROVADOS</w:t>
      </w:r>
    </w:p>
    <w:p w14:paraId="457FAFF7" w14:textId="77777777" w:rsidR="00D058B8" w:rsidRPr="00434C5D" w:rsidRDefault="00D058B8" w:rsidP="00D058B8">
      <w:pPr>
        <w:pStyle w:val="LineBottom"/>
      </w:pPr>
    </w:p>
    <w:p w14:paraId="4E8E6B06" w14:textId="6E439E6A" w:rsidR="00347D69" w:rsidRPr="00434C5D" w:rsidRDefault="00347D69" w:rsidP="00347D69">
      <w:pPr>
        <w:pStyle w:val="ATHeading1"/>
      </w:pPr>
      <w:bookmarkStart w:id="0" w:name="TANumber"/>
      <w:r w:rsidRPr="00434C5D">
        <w:t>P10_TA(2026)</w:t>
      </w:r>
      <w:bookmarkEnd w:id="0"/>
      <w:r w:rsidR="008278E8" w:rsidRPr="00434C5D">
        <w:t>0041</w:t>
      </w:r>
    </w:p>
    <w:p w14:paraId="48ACAC48" w14:textId="77777777" w:rsidR="00347D69" w:rsidRPr="00434C5D" w:rsidRDefault="00347D69" w:rsidP="00347D69">
      <w:pPr>
        <w:pStyle w:val="ATHeading2"/>
      </w:pPr>
      <w:bookmarkStart w:id="1" w:name="title"/>
      <w:r w:rsidRPr="00434C5D">
        <w:t>Soja geneticamente modificada DBN-09004-6</w:t>
      </w:r>
      <w:bookmarkEnd w:id="1"/>
    </w:p>
    <w:p w14:paraId="235A1D9A" w14:textId="77777777" w:rsidR="00347D69" w:rsidRPr="00434C5D" w:rsidRDefault="00347D69" w:rsidP="00347D69">
      <w:pPr>
        <w:rPr>
          <w:i/>
          <w:vanish/>
        </w:rPr>
      </w:pPr>
      <w:r w:rsidRPr="00434C5D">
        <w:rPr>
          <w:i/>
        </w:rPr>
        <w:fldChar w:fldCharType="begin"/>
      </w:r>
      <w:r w:rsidRPr="00434C5D">
        <w:rPr>
          <w:i/>
        </w:rPr>
        <w:instrText xml:space="preserve"> TC"(</w:instrText>
      </w:r>
      <w:bookmarkStart w:id="2" w:name="DocNumber"/>
      <w:r w:rsidRPr="00434C5D">
        <w:rPr>
          <w:i/>
        </w:rPr>
        <w:instrText>B10-0107/2026</w:instrText>
      </w:r>
      <w:bookmarkEnd w:id="2"/>
      <w:r w:rsidRPr="00434C5D">
        <w:rPr>
          <w:i/>
        </w:rPr>
        <w:instrText xml:space="preserve">)"\l3 \n&gt; \* MERGEFORMAT </w:instrText>
      </w:r>
      <w:r w:rsidRPr="00434C5D">
        <w:rPr>
          <w:i/>
        </w:rPr>
        <w:fldChar w:fldCharType="end"/>
      </w:r>
    </w:p>
    <w:p w14:paraId="532E4F72" w14:textId="77777777" w:rsidR="00347D69" w:rsidRPr="00434C5D" w:rsidRDefault="00347D69" w:rsidP="00347D69">
      <w:pPr>
        <w:rPr>
          <w:vanish/>
        </w:rPr>
      </w:pPr>
      <w:bookmarkStart w:id="3" w:name="PE"/>
      <w:r w:rsidRPr="00434C5D">
        <w:rPr>
          <w:vanish/>
        </w:rPr>
        <w:t>PE782.192</w:t>
      </w:r>
      <w:bookmarkEnd w:id="3"/>
    </w:p>
    <w:p w14:paraId="59920D17" w14:textId="1913FFFA" w:rsidR="00347D69" w:rsidRPr="00434C5D" w:rsidRDefault="00347D69" w:rsidP="00347D69">
      <w:pPr>
        <w:pStyle w:val="ATHeading3"/>
      </w:pPr>
      <w:bookmarkStart w:id="4" w:name="Sujet"/>
      <w:r w:rsidRPr="00434C5D">
        <w:t xml:space="preserve">Resolução do Parlamento Europeu, de </w:t>
      </w:r>
      <w:r w:rsidR="008278E8" w:rsidRPr="00434C5D">
        <w:t xml:space="preserve">11 </w:t>
      </w:r>
      <w:r w:rsidRPr="00434C5D">
        <w:t xml:space="preserve">de </w:t>
      </w:r>
      <w:r w:rsidR="008278E8" w:rsidRPr="00434C5D">
        <w:t xml:space="preserve">fevereiro </w:t>
      </w:r>
      <w:r w:rsidRPr="00434C5D">
        <w:t>de 2026, sobre o projeto de decisão de execução da Comissão que autoriza a colocação no mercado de produtos que contenham, sejam constituídos por ou sejam produzidos a partir de soja geneticamente modificada DBN</w:t>
      </w:r>
      <w:r w:rsidRPr="00434C5D">
        <w:noBreakHyphen/>
        <w:t>09004</w:t>
      </w:r>
      <w:r w:rsidRPr="00434C5D">
        <w:noBreakHyphen/>
        <w:t>6, nos termos do Regulamento (CE) n.º 1829/2003 do Parlamento Europeu e do Conselho</w:t>
      </w:r>
      <w:bookmarkEnd w:id="4"/>
      <w:r w:rsidRPr="00434C5D">
        <w:t xml:space="preserve"> </w:t>
      </w:r>
      <w:bookmarkStart w:id="5" w:name="References"/>
      <w:r w:rsidRPr="00434C5D">
        <w:t>(D111472/02 – 2026/2523(RSP))</w:t>
      </w:r>
      <w:bookmarkEnd w:id="5"/>
    </w:p>
    <w:p w14:paraId="7F3988EF" w14:textId="77777777" w:rsidR="00DE2CD2" w:rsidRPr="00434C5D" w:rsidRDefault="00DE2CD2" w:rsidP="00DE2CD2">
      <w:pPr>
        <w:pStyle w:val="EPComma"/>
      </w:pPr>
      <w:bookmarkStart w:id="6" w:name="TextBodyBegin"/>
      <w:bookmarkEnd w:id="6"/>
      <w:r w:rsidRPr="00434C5D">
        <w:rPr>
          <w:i/>
        </w:rPr>
        <w:t>O Parlamento Europeu</w:t>
      </w:r>
      <w:r w:rsidRPr="00434C5D">
        <w:t>,</w:t>
      </w:r>
    </w:p>
    <w:p w14:paraId="5D4725FE" w14:textId="77777777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>Tendo em conta o projeto de decisão de execução da Comissão que autoriza a colocação no mercado de produtos que contenham, sejam constituídos por ou sejam produzidos a partir de soja geneticamente modificada DBN</w:t>
      </w:r>
      <w:r w:rsidRPr="00434C5D">
        <w:noBreakHyphen/>
        <w:t>09004</w:t>
      </w:r>
      <w:r w:rsidRPr="00434C5D">
        <w:noBreakHyphen/>
        <w:t>6, nos termos do Regulamento (CE) n.º 1829/2003 do Parlamento Europeu e do Conselho (D111472/02),</w:t>
      </w:r>
    </w:p>
    <w:p w14:paraId="0D897424" w14:textId="77777777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>Tendo em conta o Regulamento (CE) n.º 1829/2003 do Parlamento Europeu e do Conselho, de 22 de setembro de 2003, relativo a géneros alimentícios e alimentos para animais geneticamente modificados</w:t>
      </w:r>
      <w:r w:rsidRPr="00434C5D">
        <w:rPr>
          <w:rStyle w:val="FootnoteReference"/>
        </w:rPr>
        <w:footnoteReference w:id="1"/>
      </w:r>
      <w:r w:rsidRPr="00434C5D">
        <w:t>, nomeadamente o artigo 7.º, n.º 3, e o artigo 19.º, n.º 3,</w:t>
      </w:r>
    </w:p>
    <w:p w14:paraId="6D394E02" w14:textId="4D0AF1D2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>Tendo em conta a votação no Comité Permanente dos Vegetais, Animais e Alimentos para Consumo Humano e Animal, referido no artigo 35.º do Regulamento (CE) n.º 1829/2003, de 12 de dezembro de 2025, na qual não foi emitido parecer</w:t>
      </w:r>
      <w:bookmarkStart w:id="7" w:name="_Hlk219206484"/>
      <w:r w:rsidRPr="00434C5D">
        <w:t>,</w:t>
      </w:r>
      <w:bookmarkEnd w:id="7"/>
      <w:r w:rsidR="008278E8" w:rsidRPr="00434C5D">
        <w:t xml:space="preserve"> bem como a votação do Comité de Recurso realizada em 27 de janeiro de 2026, no âmbito da qual também não foi emitido nenhum parecer,</w:t>
      </w:r>
    </w:p>
    <w:p w14:paraId="4A72A720" w14:textId="77777777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>Tendo em conta o artigo 11.º do Regulamento (UE) n.º 182/2011 do Parlamento Europeu e do Conselho, de 16 de fevereiro de 2011, que estabelece as regras e os princípios gerais relativos aos mecanismos de controlo pelos Estados</w:t>
      </w:r>
      <w:r w:rsidRPr="00434C5D">
        <w:noBreakHyphen/>
        <w:t>Membros do exercício das competências de execução pela Comissão</w:t>
      </w:r>
      <w:r w:rsidRPr="00434C5D">
        <w:rPr>
          <w:rStyle w:val="FootnoteReference"/>
        </w:rPr>
        <w:footnoteReference w:id="2"/>
      </w:r>
      <w:r w:rsidRPr="00434C5D">
        <w:t>,</w:t>
      </w:r>
    </w:p>
    <w:p w14:paraId="2B824EF8" w14:textId="77777777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 xml:space="preserve">Tendo em conta o parecer adotado pela Autoridade Europeia para a Segurança dos </w:t>
      </w:r>
      <w:r w:rsidRPr="00434C5D">
        <w:lastRenderedPageBreak/>
        <w:t>Alimentos (EFSA), em 21 de maio de 2025, e publicado em 7 de julho de 2025</w:t>
      </w:r>
      <w:r w:rsidRPr="00434C5D">
        <w:rPr>
          <w:vertAlign w:val="superscript"/>
        </w:rPr>
        <w:footnoteReference w:id="3"/>
      </w:r>
      <w:r w:rsidRPr="00434C5D">
        <w:t>,</w:t>
      </w:r>
    </w:p>
    <w:p w14:paraId="411C397D" w14:textId="77777777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>Tendo em conta as suas anteriores resoluções em que se opôs à autorização de organismos geneticamente modificados (OGM)</w:t>
      </w:r>
      <w:r w:rsidRPr="00434C5D">
        <w:rPr>
          <w:vertAlign w:val="superscript"/>
        </w:rPr>
        <w:footnoteReference w:id="4"/>
      </w:r>
      <w:r w:rsidRPr="00434C5D">
        <w:t>,</w:t>
      </w:r>
    </w:p>
    <w:p w14:paraId="72D64F7E" w14:textId="77777777" w:rsidR="00DE2CD2" w:rsidRPr="00434C5D" w:rsidRDefault="00DE2CD2" w:rsidP="00DE2CD2">
      <w:pPr>
        <w:pStyle w:val="NormalHanging12a"/>
      </w:pPr>
      <w:r w:rsidRPr="00434C5D">
        <w:lastRenderedPageBreak/>
        <w:t>–</w:t>
      </w:r>
      <w:r w:rsidRPr="00434C5D">
        <w:tab/>
        <w:t xml:space="preserve">Tendo em conta o artigo 115.º, </w:t>
      </w:r>
      <w:proofErr w:type="spellStart"/>
      <w:r w:rsidRPr="00434C5D">
        <w:t>n.</w:t>
      </w:r>
      <w:r w:rsidRPr="00434C5D">
        <w:rPr>
          <w:vertAlign w:val="superscript"/>
        </w:rPr>
        <w:t>os</w:t>
      </w:r>
      <w:proofErr w:type="spellEnd"/>
      <w:r w:rsidRPr="00434C5D">
        <w:t xml:space="preserve"> 2 e 3, do seu Regimento,</w:t>
      </w:r>
    </w:p>
    <w:p w14:paraId="22B481DF" w14:textId="77777777" w:rsidR="00DE2CD2" w:rsidRPr="00434C5D" w:rsidRDefault="00DE2CD2" w:rsidP="00DE2CD2">
      <w:pPr>
        <w:pStyle w:val="NormalHanging12a"/>
      </w:pPr>
      <w:r w:rsidRPr="00434C5D">
        <w:t>–</w:t>
      </w:r>
      <w:r w:rsidRPr="00434C5D">
        <w:tab/>
        <w:t>Tendo em conta a proposta de resolução da Comissão do Ambiente, do Clima e da Segurança Alimentar,</w:t>
      </w:r>
    </w:p>
    <w:p w14:paraId="01E70D79" w14:textId="77777777" w:rsidR="00DE2CD2" w:rsidRPr="00434C5D" w:rsidRDefault="00DE2CD2" w:rsidP="00DE2CD2">
      <w:pPr>
        <w:pStyle w:val="NormalHanging12a"/>
        <w:ind w:hanging="570"/>
      </w:pPr>
      <w:r w:rsidRPr="00434C5D">
        <w:t>A.</w:t>
      </w:r>
      <w:r w:rsidRPr="00434C5D">
        <w:tab/>
        <w:t xml:space="preserve">Considerando que, em 20 de dezembro de 2019, a empresa </w:t>
      </w:r>
      <w:proofErr w:type="spellStart"/>
      <w:r w:rsidRPr="00434C5D">
        <w:t>Perseus</w:t>
      </w:r>
      <w:proofErr w:type="spellEnd"/>
      <w:r w:rsidRPr="00434C5D">
        <w:t xml:space="preserve"> BV, sediada na Bélgica, apresentou, em nome da empresa </w:t>
      </w:r>
      <w:proofErr w:type="spellStart"/>
      <w:r w:rsidRPr="00434C5D">
        <w:t>Beijing</w:t>
      </w:r>
      <w:proofErr w:type="spellEnd"/>
      <w:r w:rsidRPr="00434C5D">
        <w:t xml:space="preserve"> </w:t>
      </w:r>
      <w:proofErr w:type="spellStart"/>
      <w:r w:rsidRPr="00434C5D">
        <w:t>DaBeiNong</w:t>
      </w:r>
      <w:proofErr w:type="spellEnd"/>
      <w:r w:rsidRPr="00434C5D">
        <w:t xml:space="preserve"> </w:t>
      </w:r>
      <w:proofErr w:type="spellStart"/>
      <w:r w:rsidRPr="00434C5D">
        <w:t>Biotechnology</w:t>
      </w:r>
      <w:proofErr w:type="spellEnd"/>
      <w:r w:rsidRPr="00434C5D">
        <w:t xml:space="preserve"> Co., </w:t>
      </w:r>
      <w:proofErr w:type="spellStart"/>
      <w:r w:rsidRPr="00434C5D">
        <w:t>Ltd</w:t>
      </w:r>
      <w:proofErr w:type="spellEnd"/>
      <w:r w:rsidRPr="00434C5D">
        <w:t xml:space="preserve">., sediada na China, </w:t>
      </w:r>
      <w:r w:rsidRPr="00434C5D">
        <w:rPr>
          <w:snapToGrid w:val="0"/>
        </w:rPr>
        <w:t>um pedido à autoridade nacional competente da Bélgica para a</w:t>
      </w:r>
      <w:r w:rsidRPr="00434C5D">
        <w:t xml:space="preserve"> colocação no mercado de géneros alimentícios, ingredientes alimentares e alimentos para animais que contenham, sejam constituídos por ou sejam produzidos a partir de soja geneticamente modificada DBN</w:t>
      </w:r>
      <w:r w:rsidRPr="00434C5D">
        <w:noBreakHyphen/>
        <w:t>09004</w:t>
      </w:r>
      <w:r w:rsidRPr="00434C5D">
        <w:noBreakHyphen/>
        <w:t>6 (a seguir «soja GM»), em conformidade com os artigos 5.º e 17.º do Regulamento (CE) n.º 1829/2003; que esse pedido também incluiu a colocação no mercado de produtos que contenham, ou sejam constituídos por, soja GM destinada a outras utilizações que não sejam como género alimentício ou alimento para animais, à exceção do cultivo;</w:t>
      </w:r>
    </w:p>
    <w:p w14:paraId="17FC9D0C" w14:textId="77777777" w:rsidR="00DE2CD2" w:rsidRPr="00434C5D" w:rsidRDefault="00DE2CD2" w:rsidP="00DE2CD2">
      <w:pPr>
        <w:pStyle w:val="NormalHanging12a"/>
        <w:ind w:hanging="570"/>
      </w:pPr>
      <w:bookmarkStart w:id="8" w:name="_Hlk218675754"/>
      <w:r w:rsidRPr="00434C5D">
        <w:t>B.</w:t>
      </w:r>
      <w:r w:rsidRPr="00434C5D">
        <w:tab/>
        <w:t xml:space="preserve">Considerando que, em 7 de julho de 2025, a EFSA emitiu um parecer científico </w:t>
      </w:r>
      <w:r w:rsidRPr="00434C5D">
        <w:lastRenderedPageBreak/>
        <w:t>favorável, nos termos dos artigos 6.º e 18.º do Regulamento (CE) n.º 1829/2003, no qual concluiu que a soja GM, tal como descrita no pedido, é tão segura como a sua equivalente convencional e as variedades de referência testadas de soja não geneticamente modificada no que diz respeito aos efeitos potenciais para a saúde humana e animal e para o ambiente; que esse parecer não se debruçou sobre vários impactos ambientais, socioeconómicos e cumulativos mais vastos, que a EFSA considera não serem da sua competência;</w:t>
      </w:r>
    </w:p>
    <w:p w14:paraId="512190C7" w14:textId="77777777" w:rsidR="00DE2CD2" w:rsidRPr="00434C5D" w:rsidRDefault="00DE2CD2" w:rsidP="00DE2CD2">
      <w:pPr>
        <w:pStyle w:val="NormalHanging12a"/>
        <w:ind w:hanging="570"/>
      </w:pPr>
      <w:r w:rsidRPr="00434C5D">
        <w:t>C.</w:t>
      </w:r>
      <w:r w:rsidRPr="00434C5D">
        <w:tab/>
        <w:t xml:space="preserve">Considerando que a soja geneticamente modificada foi desenvolvida para ser tolerante ao glifosato e ao </w:t>
      </w:r>
      <w:proofErr w:type="spellStart"/>
      <w:r w:rsidRPr="00434C5D">
        <w:t>glufosinato</w:t>
      </w:r>
      <w:proofErr w:type="spellEnd"/>
      <w:r w:rsidRPr="00434C5D">
        <w:t>;</w:t>
      </w:r>
    </w:p>
    <w:bookmarkEnd w:id="8"/>
    <w:p w14:paraId="0FBC14B6" w14:textId="77777777" w:rsidR="00DE2CD2" w:rsidRPr="00434C5D" w:rsidRDefault="00DE2CD2" w:rsidP="00DE2CD2">
      <w:pPr>
        <w:pStyle w:val="NormalHanging12a"/>
      </w:pPr>
      <w:r w:rsidRPr="00434C5D">
        <w:t>D.</w:t>
      </w:r>
      <w:r w:rsidRPr="00434C5D">
        <w:tab/>
        <w:t>Considerando que as avaliações dos riscos realizadas pela EFSA não incluíram estudos toxicológicos de longo prazo nem uma análise pormenorizada dos efeitos cumulativos e combinatórios, incluindo interações potenciais com resíduos de pesticidas comummente utilizados no cultivo de soja;</w:t>
      </w:r>
    </w:p>
    <w:p w14:paraId="3D734B9B" w14:textId="77777777" w:rsidR="00DE2CD2" w:rsidRPr="00434C5D" w:rsidRDefault="00DE2CD2" w:rsidP="00DE2CD2">
      <w:pPr>
        <w:pStyle w:val="NormalHanging12a"/>
        <w:rPr>
          <w:color w:val="000000" w:themeColor="text1"/>
          <w:szCs w:val="24"/>
        </w:rPr>
      </w:pPr>
      <w:r w:rsidRPr="00434C5D">
        <w:rPr>
          <w:color w:val="000000" w:themeColor="text1"/>
        </w:rPr>
        <w:t>E.</w:t>
      </w:r>
      <w:r w:rsidRPr="00434C5D">
        <w:rPr>
          <w:color w:val="000000" w:themeColor="text1"/>
        </w:rPr>
        <w:tab/>
      </w:r>
      <w:r w:rsidRPr="00434C5D">
        <w:t xml:space="preserve">Considerando que a grande maioria das culturas GM, incluindo a soja GM, foi geneticamente modificada para ser tolerante a um ou mais herbicidas complementares, que podem ser utilizados ao longo de todo o cultivo da cultura GM, sem provocar a sua morte, como aconteceria com uma cultura não tolerante a herbicidas; </w:t>
      </w:r>
      <w:r w:rsidRPr="00434C5D">
        <w:rPr>
          <w:color w:val="000000" w:themeColor="text1"/>
        </w:rPr>
        <w:t>que vários estudos demonstram que as culturas GM tolerantes a herbicidas resultam numa utilização maior de herbicidas complementares, em grande medida devido ao aparecimento de ervas daninhas tolerantes a herbicidas</w:t>
      </w:r>
      <w:r w:rsidRPr="00434C5D">
        <w:rPr>
          <w:rStyle w:val="FootnoteReference"/>
          <w:color w:val="000000" w:themeColor="text1"/>
          <w:szCs w:val="24"/>
        </w:rPr>
        <w:footnoteReference w:id="5"/>
      </w:r>
      <w:r w:rsidRPr="00434C5D">
        <w:rPr>
          <w:color w:val="000000" w:themeColor="text1"/>
        </w:rPr>
        <w:t>;</w:t>
      </w:r>
    </w:p>
    <w:p w14:paraId="0B2849B6" w14:textId="77777777" w:rsidR="00DE2CD2" w:rsidRPr="00434C5D" w:rsidRDefault="00DE2CD2" w:rsidP="00DE2CD2">
      <w:pPr>
        <w:spacing w:after="240"/>
        <w:ind w:left="567" w:hanging="567"/>
        <w:rPr>
          <w:color w:val="000000" w:themeColor="text1"/>
          <w:szCs w:val="24"/>
        </w:rPr>
      </w:pPr>
      <w:r w:rsidRPr="00434C5D">
        <w:t>F.</w:t>
      </w:r>
      <w:r w:rsidRPr="00434C5D">
        <w:tab/>
        <w:t>Considerando que as culturas GM tolerantes aos herbicidas vinculam os agricultores a um sistema de gestão de ervas daninhas que depende, em grande parte ou totalmente, dos herbicidas, sendo cobrado um preço superior pelas sementes geneticamente modificadas, o que só se justifica se os agricultores que compram essas sementes também recorrerem à pulverização com herbicidas complementares;</w:t>
      </w:r>
      <w:r w:rsidRPr="00434C5D">
        <w:rPr>
          <w:color w:val="000000" w:themeColor="text1"/>
        </w:rPr>
        <w:t xml:space="preserve"> que uma maior dependência de herbicidas complementares nas explorações dedicadas à cultura de soja GM vai acelerar o aparecimento e a propagação de ervas daninhas resistentes a esses herbicidas, desencadeando assim a necessidade de uma utilização ainda maior de herbicidas, conhecida como «círculo vicioso dos herbicidas»; que, consequentemente, os impactos adversos decorrentes da dependência excessiva dos herbicidas vão piorar a saúde dos solos, a qualidade da água e a biodiversidade por cima e por baixo do solo, e vão resultar num aumento da exposição dos seres humanos e dos animais, potencialmente também através do aumento dos resíduos de herbicidas nos géneros alimentícios e nos alimentos para animais</w:t>
      </w:r>
      <w:r w:rsidRPr="00434C5D">
        <w:rPr>
          <w:rStyle w:val="FootnoteReference"/>
          <w:color w:val="000000" w:themeColor="text1"/>
          <w:szCs w:val="24"/>
        </w:rPr>
        <w:footnoteReference w:id="6"/>
      </w:r>
      <w:r w:rsidRPr="00434C5D">
        <w:rPr>
          <w:color w:val="000000" w:themeColor="text1"/>
        </w:rPr>
        <w:t>;</w:t>
      </w:r>
    </w:p>
    <w:p w14:paraId="23A07AC6" w14:textId="77777777" w:rsidR="00DE2CD2" w:rsidRPr="00434C5D" w:rsidRDefault="00DE2CD2" w:rsidP="00DE2CD2">
      <w:pPr>
        <w:pStyle w:val="NormalWeb"/>
        <w:widowControl w:val="0"/>
        <w:spacing w:before="0" w:beforeAutospacing="0" w:after="240" w:afterAutospacing="0"/>
        <w:ind w:left="567" w:hanging="567"/>
      </w:pPr>
      <w:r w:rsidRPr="00434C5D">
        <w:t>G.</w:t>
      </w:r>
      <w:r w:rsidRPr="00434C5D">
        <w:tab/>
        <w:t xml:space="preserve">Considerando que o </w:t>
      </w:r>
      <w:proofErr w:type="spellStart"/>
      <w:r w:rsidRPr="00434C5D">
        <w:t>glufosinato</w:t>
      </w:r>
      <w:proofErr w:type="spellEnd"/>
      <w:r w:rsidRPr="00434C5D">
        <w:t xml:space="preserve"> está classificado como substância tóxica para a </w:t>
      </w:r>
      <w:r w:rsidRPr="00434C5D">
        <w:lastRenderedPageBreak/>
        <w:t>reprodução na categoria 1B e, por conseguinte, cumpre os «critérios de exclusão» estabelecidos no Regulamento (CE) n.º 1107/2009 do Parlamento Europeu e do Conselho</w:t>
      </w:r>
      <w:r w:rsidRPr="00434C5D">
        <w:rPr>
          <w:rStyle w:val="FootnoteReference"/>
        </w:rPr>
        <w:footnoteReference w:id="7"/>
      </w:r>
      <w:r w:rsidRPr="00434C5D">
        <w:t xml:space="preserve">; que a aprovação do </w:t>
      </w:r>
      <w:proofErr w:type="spellStart"/>
      <w:r w:rsidRPr="00434C5D">
        <w:t>glufosinato</w:t>
      </w:r>
      <w:proofErr w:type="spellEnd"/>
      <w:r w:rsidRPr="00434C5D">
        <w:t xml:space="preserve"> para utilização na União expirou em 31 de julho de 2018;</w:t>
      </w:r>
    </w:p>
    <w:p w14:paraId="5E92C57C" w14:textId="77777777" w:rsidR="00DE2CD2" w:rsidRPr="00434C5D" w:rsidRDefault="00DE2CD2" w:rsidP="00DE2CD2">
      <w:pPr>
        <w:pStyle w:val="NormalHanging12a"/>
      </w:pPr>
      <w:r w:rsidRPr="00434C5D">
        <w:t>H.</w:t>
      </w:r>
      <w:r w:rsidRPr="00434C5D">
        <w:tab/>
        <w:t>Considerando que subsistem dúvidas sérias quanto ao potencial carcinogénico do glifosato; que, em novembro de 2015, a EFSA concluiu que era improvável que o glifosato fosse cancerígeno e que, em março de 2017, a Agência Europeia dos Produtos Químicos concluiu que não se justificava a sua classificação como tal; que, pelo contrário, em 2015 o Centro Internacional de Investigação do Cancro, a agência da Organização Mundial da Saúde especializada nessa doença, classificou o glifosato como provavelmente cancerígeno para o ser humano; que vários estudos científicos recentes, revistos por pares, confirmam o potencial carcinogénico do glifosato</w:t>
      </w:r>
      <w:r w:rsidRPr="00434C5D">
        <w:rPr>
          <w:rStyle w:val="FootnoteReference"/>
        </w:rPr>
        <w:footnoteReference w:id="8"/>
      </w:r>
      <w:r w:rsidRPr="00434C5D">
        <w:t xml:space="preserve">; que a publicação </w:t>
      </w:r>
      <w:proofErr w:type="spellStart"/>
      <w:r w:rsidRPr="00434C5D">
        <w:rPr>
          <w:i/>
          <w:iCs/>
        </w:rPr>
        <w:t>Regulatory</w:t>
      </w:r>
      <w:proofErr w:type="spellEnd"/>
      <w:r w:rsidRPr="00434C5D">
        <w:rPr>
          <w:i/>
          <w:iCs/>
        </w:rPr>
        <w:t xml:space="preserve"> </w:t>
      </w:r>
      <w:proofErr w:type="spellStart"/>
      <w:r w:rsidRPr="00434C5D">
        <w:rPr>
          <w:i/>
          <w:iCs/>
        </w:rPr>
        <w:t>Toxicology</w:t>
      </w:r>
      <w:proofErr w:type="spellEnd"/>
      <w:r w:rsidRPr="00434C5D">
        <w:rPr>
          <w:i/>
          <w:iCs/>
        </w:rPr>
        <w:t xml:space="preserve"> </w:t>
      </w:r>
      <w:proofErr w:type="spellStart"/>
      <w:r w:rsidRPr="00434C5D">
        <w:rPr>
          <w:i/>
          <w:iCs/>
        </w:rPr>
        <w:t>and</w:t>
      </w:r>
      <w:proofErr w:type="spellEnd"/>
      <w:r w:rsidRPr="00434C5D">
        <w:rPr>
          <w:i/>
          <w:iCs/>
        </w:rPr>
        <w:t xml:space="preserve"> </w:t>
      </w:r>
      <w:proofErr w:type="spellStart"/>
      <w:r w:rsidRPr="00434C5D">
        <w:rPr>
          <w:i/>
          <w:iCs/>
        </w:rPr>
        <w:t>Pharmacology</w:t>
      </w:r>
      <w:proofErr w:type="spellEnd"/>
      <w:r w:rsidRPr="00434C5D">
        <w:t xml:space="preserve"> retratou formalmente o documento científico «</w:t>
      </w:r>
      <w:proofErr w:type="spellStart"/>
      <w:r w:rsidRPr="00434C5D">
        <w:t>Safety</w:t>
      </w:r>
      <w:proofErr w:type="spellEnd"/>
      <w:r w:rsidRPr="00434C5D">
        <w:t xml:space="preserve"> </w:t>
      </w:r>
      <w:proofErr w:type="spellStart"/>
      <w:r w:rsidRPr="00434C5D">
        <w:t>Evaluation</w:t>
      </w:r>
      <w:proofErr w:type="spellEnd"/>
      <w:r w:rsidRPr="00434C5D">
        <w:t xml:space="preserve"> </w:t>
      </w:r>
      <w:proofErr w:type="spellStart"/>
      <w:r w:rsidRPr="00434C5D">
        <w:t>and</w:t>
      </w:r>
      <w:proofErr w:type="spellEnd"/>
      <w:r w:rsidRPr="00434C5D">
        <w:t xml:space="preserve"> </w:t>
      </w:r>
      <w:proofErr w:type="spellStart"/>
      <w:r w:rsidRPr="00434C5D">
        <w:t>Risk</w:t>
      </w:r>
      <w:proofErr w:type="spellEnd"/>
      <w:r w:rsidRPr="00434C5D">
        <w:t xml:space="preserve"> </w:t>
      </w:r>
      <w:proofErr w:type="spellStart"/>
      <w:r w:rsidRPr="00434C5D">
        <w:t>Assessment</w:t>
      </w:r>
      <w:proofErr w:type="spellEnd"/>
      <w:r w:rsidRPr="00434C5D">
        <w:t xml:space="preserve"> </w:t>
      </w:r>
      <w:proofErr w:type="spellStart"/>
      <w:r w:rsidRPr="00434C5D">
        <w:t>of</w:t>
      </w:r>
      <w:proofErr w:type="spellEnd"/>
      <w:r w:rsidRPr="00434C5D">
        <w:t xml:space="preserve"> </w:t>
      </w:r>
      <w:proofErr w:type="spellStart"/>
      <w:r w:rsidRPr="00434C5D">
        <w:t>the</w:t>
      </w:r>
      <w:proofErr w:type="spellEnd"/>
      <w:r w:rsidRPr="00434C5D">
        <w:t xml:space="preserve"> </w:t>
      </w:r>
      <w:proofErr w:type="spellStart"/>
      <w:r w:rsidRPr="00434C5D">
        <w:t>Herbicide</w:t>
      </w:r>
      <w:proofErr w:type="spellEnd"/>
      <w:r w:rsidRPr="00434C5D">
        <w:t xml:space="preserve"> </w:t>
      </w:r>
      <w:proofErr w:type="spellStart"/>
      <w:r w:rsidRPr="00434C5D">
        <w:t>Roundup</w:t>
      </w:r>
      <w:proofErr w:type="spellEnd"/>
      <w:r w:rsidRPr="00434C5D">
        <w:t xml:space="preserve"> </w:t>
      </w:r>
      <w:proofErr w:type="spellStart"/>
      <w:r w:rsidRPr="00434C5D">
        <w:t>and</w:t>
      </w:r>
      <w:proofErr w:type="spellEnd"/>
      <w:r w:rsidRPr="00434C5D">
        <w:t xml:space="preserve"> </w:t>
      </w:r>
      <w:proofErr w:type="spellStart"/>
      <w:r w:rsidRPr="00434C5D">
        <w:t>Its</w:t>
      </w:r>
      <w:proofErr w:type="spellEnd"/>
      <w:r w:rsidRPr="00434C5D">
        <w:t xml:space="preserve"> Active </w:t>
      </w:r>
      <w:proofErr w:type="spellStart"/>
      <w:r w:rsidRPr="00434C5D">
        <w:t>Ingredient</w:t>
      </w:r>
      <w:proofErr w:type="spellEnd"/>
      <w:r w:rsidRPr="00434C5D">
        <w:t xml:space="preserve">, </w:t>
      </w:r>
      <w:proofErr w:type="spellStart"/>
      <w:r w:rsidRPr="00434C5D">
        <w:t>Glyphosate</w:t>
      </w:r>
      <w:proofErr w:type="spellEnd"/>
      <w:r w:rsidRPr="00434C5D">
        <w:t xml:space="preserve">, for </w:t>
      </w:r>
      <w:proofErr w:type="spellStart"/>
      <w:r w:rsidRPr="00434C5D">
        <w:t>Humans</w:t>
      </w:r>
      <w:proofErr w:type="spellEnd"/>
      <w:r w:rsidRPr="00434C5D">
        <w:t>», publicado em 2000, que tem sido usado para defender a segurança do glifosato em muitas avaliações de risco, uma vez que foram levantadas preocupações quanto à sua autoria, à validade dos resultados da investigação no contexto de uma deturpação dos contributos dos autores e do patrocinador do estudo e aos potenciais conflitos de interesses dos autores</w:t>
      </w:r>
      <w:r w:rsidRPr="00434C5D">
        <w:rPr>
          <w:rStyle w:val="FootnoteReference"/>
        </w:rPr>
        <w:footnoteReference w:id="9"/>
      </w:r>
      <w:r w:rsidRPr="00434C5D">
        <w:t>;</w:t>
      </w:r>
    </w:p>
    <w:p w14:paraId="3FAF11CB" w14:textId="77777777" w:rsidR="00DE2CD2" w:rsidRPr="00434C5D" w:rsidRDefault="00DE2CD2" w:rsidP="00DE2CD2">
      <w:pPr>
        <w:pStyle w:val="NormalHanging12a"/>
      </w:pPr>
      <w:r w:rsidRPr="00434C5D">
        <w:t>I.</w:t>
      </w:r>
      <w:r w:rsidRPr="00434C5D">
        <w:tab/>
        <w:t>Considerando que a monitorização e a vigilância independentes dos potenciais efeitos adversos na biodiversidade, na saúde dos solos, nos polinizadores e nos organismos não visados continuam a ser insuficientemente garantidas;</w:t>
      </w:r>
    </w:p>
    <w:p w14:paraId="3A4A7A3A" w14:textId="77777777" w:rsidR="00DE2CD2" w:rsidRPr="00434C5D" w:rsidRDefault="00DE2CD2" w:rsidP="00DE2CD2">
      <w:pPr>
        <w:spacing w:after="240"/>
        <w:ind w:left="567" w:hanging="567"/>
      </w:pPr>
      <w:r w:rsidRPr="00434C5D">
        <w:t>J.</w:t>
      </w:r>
      <w:r w:rsidRPr="00434C5D">
        <w:tab/>
        <w:t>Considerando que o princípio da precaução, consagrado no artigo 191.º do Tratado sobre o Funcionamento da União Europeia, deve ser aplicado nos casos de incerteza científica;</w:t>
      </w:r>
    </w:p>
    <w:p w14:paraId="563FE8F9" w14:textId="77777777" w:rsidR="00DE2CD2" w:rsidRPr="00434C5D" w:rsidRDefault="00DE2CD2" w:rsidP="00DE2CD2">
      <w:pPr>
        <w:spacing w:after="240"/>
        <w:ind w:left="567" w:hanging="567"/>
      </w:pPr>
      <w:r w:rsidRPr="00434C5D">
        <w:t>K.</w:t>
      </w:r>
      <w:r w:rsidRPr="00434C5D">
        <w:tab/>
        <w:t>Considerando que o Regulamento (CE) n.º 1829/2003 exige que os géneros alimentícios e os alimentos para animais GM não tenham efeitos nocivos para a saúde humana, a saúde animal ou o ambiente;</w:t>
      </w:r>
    </w:p>
    <w:p w14:paraId="6CD9737E" w14:textId="77777777" w:rsidR="00DE2CD2" w:rsidRPr="00434C5D" w:rsidRDefault="00DE2CD2" w:rsidP="00DE2CD2">
      <w:pPr>
        <w:pStyle w:val="NormalWeb"/>
        <w:widowControl w:val="0"/>
        <w:spacing w:before="0" w:beforeAutospacing="0" w:after="240" w:afterAutospacing="0"/>
        <w:ind w:left="567" w:hanging="567"/>
      </w:pPr>
      <w:r w:rsidRPr="00434C5D">
        <w:t>L.</w:t>
      </w:r>
      <w:r w:rsidRPr="00434C5D">
        <w:tab/>
        <w:t>Considerando que a autorização da União para a soja GM não seria coerente com os compromissos internacionais em matéria de redução de pesticidas</w:t>
      </w:r>
      <w:r w:rsidRPr="00434C5D">
        <w:rPr>
          <w:vertAlign w:val="superscript"/>
        </w:rPr>
        <w:footnoteReference w:id="10"/>
      </w:r>
      <w:r w:rsidRPr="00434C5D">
        <w:t xml:space="preserve">, tendo em conta o aumento da exposição humana, animal e ambiental ao glifosato e ao </w:t>
      </w:r>
      <w:proofErr w:type="spellStart"/>
      <w:r w:rsidRPr="00434C5D">
        <w:t>glufosinato</w:t>
      </w:r>
      <w:proofErr w:type="spellEnd"/>
      <w:r w:rsidRPr="00434C5D">
        <w:t xml:space="preserve"> nos países que cultivam essa cultura GM tolerante aos herbicidas, bem como as consequências potencialmente graves para a saúde;</w:t>
      </w:r>
    </w:p>
    <w:p w14:paraId="6D309D36" w14:textId="77777777" w:rsidR="00DE2CD2" w:rsidRPr="00434C5D" w:rsidRDefault="00DE2CD2" w:rsidP="00DE2CD2">
      <w:pPr>
        <w:spacing w:after="240"/>
        <w:ind w:left="567" w:hanging="567"/>
      </w:pPr>
      <w:r w:rsidRPr="00434C5D">
        <w:lastRenderedPageBreak/>
        <w:t>M.</w:t>
      </w:r>
      <w:r w:rsidRPr="00434C5D">
        <w:tab/>
        <w:t>Considerando que o projeto de decisão de execução da Comissão permitiria importar para a União produtos que não cumprem as normas respeitadas pelos agricultores da União, o que os deixaria numa situação de desvantagem concorrencial;</w:t>
      </w:r>
    </w:p>
    <w:p w14:paraId="7D0C04F1" w14:textId="77777777" w:rsidR="00DE2CD2" w:rsidRPr="00434C5D" w:rsidRDefault="00DE2CD2" w:rsidP="00DE2CD2">
      <w:pPr>
        <w:spacing w:after="240"/>
        <w:ind w:left="567" w:hanging="567"/>
      </w:pPr>
      <w:r w:rsidRPr="00434C5D">
        <w:t>N.</w:t>
      </w:r>
      <w:r w:rsidRPr="00434C5D">
        <w:tab/>
        <w:t>Considerando que, nas conclusões do Diálogo Estratégico sobre o Futuro da Agricultura na UE</w:t>
      </w:r>
      <w:r w:rsidRPr="00434C5D">
        <w:rPr>
          <w:rStyle w:val="FootnoteReference"/>
        </w:rPr>
        <w:footnoteReference w:id="11"/>
      </w:r>
      <w:r w:rsidRPr="00434C5D">
        <w:t>, se solicita à Comissão que reavalie a sua abordagem relativamente ao acesso ao mercado das importações e exportações de produtos agroalimentares, tendo em conta o problema das divergências entre as normas da União e as dos seus parceiros comerciais; que relações comerciais mais justas a nível mundial e coerentes com os objetivos relativos a um ambiente saudável foram uma das principais reivindicações dos agricultores durante as manifestações de 2023, 2024 e 2025;</w:t>
      </w:r>
    </w:p>
    <w:p w14:paraId="51269A25" w14:textId="77777777" w:rsidR="00DE2CD2" w:rsidRPr="00434C5D" w:rsidRDefault="00DE2CD2" w:rsidP="00DE2CD2">
      <w:pPr>
        <w:spacing w:after="240"/>
        <w:ind w:left="567" w:hanging="567"/>
      </w:pPr>
      <w:r w:rsidRPr="00434C5D">
        <w:t>O.</w:t>
      </w:r>
      <w:r w:rsidRPr="00434C5D">
        <w:tab/>
        <w:t>Considerando que o Parlamento tem salientado repetidamente que a Comissão não deve autorizar OGM nos casos em que os Estados</w:t>
      </w:r>
      <w:r w:rsidRPr="00434C5D">
        <w:noBreakHyphen/>
        <w:t>Membros não obtenham uma maioria qualificada no Comité Permanente dos Vegetais, Animais e Alimentos para Consumo Humano e Animal ou no Comité de Recurso, a fim de resolver o défice democrático persistente;</w:t>
      </w:r>
    </w:p>
    <w:p w14:paraId="50F45C60" w14:textId="77777777" w:rsidR="00DE2CD2" w:rsidRPr="00434C5D" w:rsidRDefault="00DE2CD2" w:rsidP="00DE2CD2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434C5D">
        <w:rPr>
          <w:color w:val="000000" w:themeColor="text1"/>
        </w:rPr>
        <w:t>P.</w:t>
      </w:r>
      <w:r w:rsidRPr="00434C5D">
        <w:rPr>
          <w:color w:val="000000" w:themeColor="text1"/>
        </w:rPr>
        <w:tab/>
        <w:t>Considerando que, apesar de reconhecer a existência de lacunas democráticas, bem como a falta de apoio dos Estados</w:t>
      </w:r>
      <w:r w:rsidRPr="00434C5D">
        <w:rPr>
          <w:color w:val="000000" w:themeColor="text1"/>
        </w:rPr>
        <w:noBreakHyphen/>
        <w:t>Membros e as objeções do Parlamento, a Comissão continua a autorizar OGM;</w:t>
      </w:r>
    </w:p>
    <w:p w14:paraId="4988AE09" w14:textId="77777777" w:rsidR="00DE2CD2" w:rsidRPr="00434C5D" w:rsidRDefault="00DE2CD2" w:rsidP="00DE2CD2">
      <w:pPr>
        <w:spacing w:after="240"/>
        <w:ind w:left="567" w:hanging="567"/>
      </w:pPr>
      <w:r w:rsidRPr="00434C5D">
        <w:t>Q.</w:t>
      </w:r>
      <w:r w:rsidRPr="00434C5D">
        <w:tab/>
        <w:t>Considerando que a abordagem «Uma Só Saúde» exige que se tenha em conta a interdependência entre a saúde humana, animal, vegetal e ambiental quando se avalia a sustentabilidade e a segurança de longo prazo dos OGM;</w:t>
      </w:r>
    </w:p>
    <w:p w14:paraId="1B895CF9" w14:textId="77777777" w:rsidR="00DE2CD2" w:rsidRPr="00434C5D" w:rsidRDefault="00DE2CD2" w:rsidP="00DE2CD2">
      <w:pPr>
        <w:spacing w:after="240"/>
        <w:ind w:left="567" w:hanging="567"/>
      </w:pPr>
      <w:r w:rsidRPr="00434C5D">
        <w:t>R.</w:t>
      </w:r>
      <w:r w:rsidRPr="00434C5D">
        <w:tab/>
        <w:t xml:space="preserve">Considerando que esta resolução é a 100.ª resolução que o Parlamento Europeu aprovou a se opor à autorização de importações de culturas de OGM; </w:t>
      </w:r>
    </w:p>
    <w:p w14:paraId="7FC07DCA" w14:textId="77777777" w:rsidR="00DE2CD2" w:rsidRPr="00434C5D" w:rsidRDefault="00DE2CD2" w:rsidP="00DE2CD2">
      <w:pPr>
        <w:pStyle w:val="NormalHanging12a"/>
      </w:pPr>
      <w:r w:rsidRPr="00434C5D">
        <w:t>1.</w:t>
      </w:r>
      <w:r w:rsidRPr="00434C5D">
        <w:tab/>
        <w:t>Entende que o projeto de decisão de execução da Comissão excede as competências de execução previstas no Regulamento (CE) n.º 1829/2003;</w:t>
      </w:r>
    </w:p>
    <w:p w14:paraId="16A6BD93" w14:textId="77777777" w:rsidR="00DE2CD2" w:rsidRPr="00434C5D" w:rsidRDefault="00DE2CD2" w:rsidP="00DE2CD2">
      <w:pPr>
        <w:pStyle w:val="NormalHanging12a"/>
      </w:pPr>
      <w:bookmarkStart w:id="9" w:name="_Hlk218675825"/>
      <w:r w:rsidRPr="00434C5D">
        <w:t>2.</w:t>
      </w:r>
      <w:r w:rsidRPr="00434C5D">
        <w:tab/>
        <w:t>Considera que o projeto de decisão de execução da Comissão não está em conformidade com o direito da União, na medida em que é incompatível com o objetivo do Regulamento (CE) n.º 1829/2003, o qual, de acordo com os princípios gerais estabelecidos no Regulamento (CE) n.º 178/2002 do Parlamento Europeu e do Conselho</w:t>
      </w:r>
      <w:r w:rsidRPr="00434C5D">
        <w:rPr>
          <w:vertAlign w:val="superscript"/>
        </w:rPr>
        <w:footnoteReference w:id="12"/>
      </w:r>
      <w:r w:rsidRPr="00434C5D">
        <w:t>, consiste em estabelecer os fundamentos para garantir um nível elevado de proteção da vida e da saúde humanas, da saúde e do bem</w:t>
      </w:r>
      <w:r w:rsidRPr="00434C5D">
        <w:noBreakHyphen/>
        <w:t xml:space="preserve">estar dos animais, do ambiente e dos interesses dos consumidores em relação aos géneros alimentícios e alimentos para animais GM, assegurando simultaneamente o funcionamento eficaz do mercado interno; </w:t>
      </w:r>
    </w:p>
    <w:bookmarkEnd w:id="9"/>
    <w:p w14:paraId="15C36860" w14:textId="77777777" w:rsidR="00DE2CD2" w:rsidRPr="00434C5D" w:rsidRDefault="00DE2CD2" w:rsidP="00DE2CD2">
      <w:pPr>
        <w:pStyle w:val="NormalHanging12a"/>
      </w:pPr>
      <w:r w:rsidRPr="00434C5D">
        <w:t>3.</w:t>
      </w:r>
      <w:r w:rsidRPr="00434C5D">
        <w:tab/>
        <w:t>Solicita à Comissão que retire o seu projeto de decisão de execução;</w:t>
      </w:r>
    </w:p>
    <w:p w14:paraId="0487F8A8" w14:textId="77777777" w:rsidR="00DE2CD2" w:rsidRPr="00434C5D" w:rsidRDefault="00DE2CD2" w:rsidP="00DE2CD2">
      <w:pPr>
        <w:spacing w:after="240"/>
        <w:ind w:left="567" w:hanging="567"/>
      </w:pPr>
      <w:r w:rsidRPr="00434C5D">
        <w:lastRenderedPageBreak/>
        <w:t>4.</w:t>
      </w:r>
      <w:r w:rsidRPr="00434C5D">
        <w:tab/>
        <w:t>Exorta a Comissão a não autorizar a soja GM por não haver provas suficientes sobre os efeitos de longo prazo na biodiversidade, na segurança alimentar, nos meios de subsistência dos agricultores e na saúde animal, em linha com a abordagem «Uma Só Saúde»;</w:t>
      </w:r>
    </w:p>
    <w:p w14:paraId="6F5AE6F9" w14:textId="77777777" w:rsidR="00DE2CD2" w:rsidRPr="00434C5D" w:rsidRDefault="00DE2CD2" w:rsidP="00DE2CD2">
      <w:pPr>
        <w:spacing w:after="240"/>
        <w:ind w:left="567" w:hanging="567"/>
      </w:pPr>
      <w:bookmarkStart w:id="10" w:name="_Hlk210900300"/>
      <w:r w:rsidRPr="00434C5D">
        <w:t>5.</w:t>
      </w:r>
      <w:r w:rsidRPr="00434C5D">
        <w:tab/>
        <w:t>Solicita à Comissão que apresente, sem demora, uma proposta legislativa destinada a reformar o processo de tomada de decisão relativo aos OGM, a fim de dar resposta às objeções reiteradas do Parlamento e à falta de apoio por maioria qualificada entre os Estados</w:t>
      </w:r>
      <w:r w:rsidRPr="00434C5D">
        <w:noBreakHyphen/>
        <w:t>Membros</w:t>
      </w:r>
      <w:bookmarkEnd w:id="10"/>
      <w:r w:rsidRPr="00434C5D">
        <w:t>;</w:t>
      </w:r>
    </w:p>
    <w:p w14:paraId="0D5BC32A" w14:textId="77777777" w:rsidR="00DE2CD2" w:rsidRPr="00434C5D" w:rsidRDefault="00DE2CD2" w:rsidP="00DE2CD2">
      <w:pPr>
        <w:spacing w:after="240"/>
        <w:ind w:left="567" w:hanging="567"/>
      </w:pPr>
      <w:bookmarkStart w:id="11" w:name="_Hlk210900241"/>
      <w:r w:rsidRPr="00434C5D">
        <w:t>6.</w:t>
      </w:r>
      <w:r w:rsidRPr="00434C5D">
        <w:tab/>
        <w:t xml:space="preserve">Destaca, a esse respeito, que autorizar a importação para utilização, em géneros alimentícios ou alimentos para animais, de qualquer planta GM que se tenha tornado tolerante a herbicidas proibidos na União, como o </w:t>
      </w:r>
      <w:proofErr w:type="spellStart"/>
      <w:r w:rsidRPr="00434C5D">
        <w:t>glufosinato</w:t>
      </w:r>
      <w:proofErr w:type="spellEnd"/>
      <w:r w:rsidRPr="00434C5D">
        <w:t>, é incoerente com os compromissos internacionais da União ao abrigo, nomeadamente, da Convenção das Nações Unidas sobre a Diversidade Biológica e dos Objetivos de Desenvolvimento Sustentável das Nações Unidas, incluindo o Quadro de Kunming</w:t>
      </w:r>
      <w:r w:rsidRPr="00434C5D">
        <w:noBreakHyphen/>
        <w:t>Montreal, e cria condições de concorrência desiguais para os agricultores da União;</w:t>
      </w:r>
      <w:bookmarkEnd w:id="11"/>
    </w:p>
    <w:p w14:paraId="145ADA88" w14:textId="3440FAC8" w:rsidR="00F02DA3" w:rsidRPr="00434C5D" w:rsidRDefault="00DE2CD2" w:rsidP="00F02DA3">
      <w:pPr>
        <w:pStyle w:val="NormalHanging12a"/>
      </w:pPr>
      <w:r w:rsidRPr="00434C5D">
        <w:t>7.</w:t>
      </w:r>
      <w:r w:rsidRPr="00434C5D">
        <w:tab/>
        <w:t>Encarrega a sua Presidente de transmitir a presente resolução ao Conselho, à Comissão e aos governos e parlamentos dos Estados</w:t>
      </w:r>
      <w:r w:rsidRPr="00434C5D">
        <w:noBreakHyphen/>
        <w:t>Membros.</w:t>
      </w:r>
    </w:p>
    <w:p w14:paraId="4A825334" w14:textId="5C3DDE8B" w:rsidR="00E365E1" w:rsidRPr="00434C5D" w:rsidRDefault="00E365E1" w:rsidP="00347D69"/>
    <w:sectPr w:rsidR="00E365E1" w:rsidRPr="00434C5D" w:rsidSect="00F02D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415FA" w14:textId="77777777" w:rsidR="00347D69" w:rsidRPr="00F02DA3" w:rsidRDefault="00347D69">
      <w:r w:rsidRPr="00F02DA3">
        <w:separator/>
      </w:r>
    </w:p>
  </w:endnote>
  <w:endnote w:type="continuationSeparator" w:id="0">
    <w:p w14:paraId="46930D56" w14:textId="77777777" w:rsidR="00347D69" w:rsidRPr="00F02DA3" w:rsidRDefault="00347D69">
      <w:r w:rsidRPr="00F02D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86752" w14:textId="77777777" w:rsidR="00064002" w:rsidRPr="00F02D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A5A96" w14:textId="77777777" w:rsidR="00064002" w:rsidRPr="00F02D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AD3B" w14:textId="77777777" w:rsidR="00064002" w:rsidRPr="00F02D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52577" w14:textId="77777777" w:rsidR="00347D69" w:rsidRPr="00F02DA3" w:rsidRDefault="00347D69">
      <w:r w:rsidRPr="00F02DA3">
        <w:separator/>
      </w:r>
    </w:p>
  </w:footnote>
  <w:footnote w:type="continuationSeparator" w:id="0">
    <w:p w14:paraId="37975B0C" w14:textId="77777777" w:rsidR="00347D69" w:rsidRPr="00F02DA3" w:rsidRDefault="00347D69">
      <w:r w:rsidRPr="00F02DA3">
        <w:continuationSeparator/>
      </w:r>
    </w:p>
  </w:footnote>
  <w:footnote w:id="1">
    <w:p w14:paraId="15D0A27D" w14:textId="291CEC51" w:rsidR="00DE2CD2" w:rsidRPr="00434C5D" w:rsidRDefault="00DE2CD2" w:rsidP="00F02DA3">
      <w:pPr>
        <w:pStyle w:val="FootnoteText"/>
        <w:ind w:left="567" w:hanging="567"/>
        <w:rPr>
          <w:sz w:val="24"/>
          <w:lang w:val="da-DK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434C5D">
        <w:rPr>
          <w:sz w:val="24"/>
          <w:lang w:val="da-DK"/>
        </w:rPr>
        <w:t xml:space="preserve"> </w:t>
      </w:r>
      <w:r w:rsidR="00F02DA3" w:rsidRPr="00434C5D">
        <w:rPr>
          <w:sz w:val="24"/>
          <w:lang w:val="da-DK"/>
        </w:rPr>
        <w:tab/>
      </w:r>
      <w:r w:rsidRPr="00434C5D">
        <w:rPr>
          <w:sz w:val="24"/>
          <w:lang w:val="da-DK"/>
        </w:rPr>
        <w:t>JO L 268 de 18.10.2003, p. 1, ELI: </w:t>
      </w:r>
      <w:hyperlink r:id="rId1" w:history="1">
        <w:r w:rsidRPr="00434C5D">
          <w:rPr>
            <w:rStyle w:val="Hyperlink"/>
            <w:sz w:val="24"/>
            <w:lang w:val="da-DK"/>
          </w:rPr>
          <w:t>https://eur</w:t>
        </w:r>
        <w:r w:rsidRPr="00434C5D">
          <w:rPr>
            <w:rStyle w:val="Hyperlink"/>
            <w:sz w:val="24"/>
            <w:lang w:val="da-DK"/>
          </w:rPr>
          <w:noBreakHyphen/>
          <w:t>lex.europa.eu/legal</w:t>
        </w:r>
        <w:r w:rsidRPr="00434C5D">
          <w:rPr>
            <w:rStyle w:val="Hyperlink"/>
            <w:sz w:val="24"/>
            <w:lang w:val="da-DK"/>
          </w:rPr>
          <w:noBreakHyphen/>
          <w:t>content/PT/TXT/?uri=CELEX:32003R1829</w:t>
        </w:r>
      </w:hyperlink>
      <w:r w:rsidRPr="00434C5D">
        <w:rPr>
          <w:sz w:val="24"/>
          <w:u w:val="single"/>
          <w:lang w:val="da-DK"/>
        </w:rPr>
        <w:t>.</w:t>
      </w:r>
    </w:p>
  </w:footnote>
  <w:footnote w:id="2">
    <w:p w14:paraId="7FF65552" w14:textId="7800F551" w:rsidR="00DE2CD2" w:rsidRPr="00434C5D" w:rsidRDefault="00DE2CD2" w:rsidP="00F02DA3">
      <w:pPr>
        <w:pStyle w:val="FootnoteText"/>
        <w:ind w:left="567" w:hanging="567"/>
        <w:rPr>
          <w:sz w:val="24"/>
          <w:lang w:val="da-DK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434C5D">
        <w:rPr>
          <w:sz w:val="24"/>
          <w:lang w:val="da-DK"/>
        </w:rPr>
        <w:t xml:space="preserve"> </w:t>
      </w:r>
      <w:r w:rsidR="00F02DA3" w:rsidRPr="00434C5D">
        <w:rPr>
          <w:sz w:val="24"/>
          <w:lang w:val="da-DK"/>
        </w:rPr>
        <w:tab/>
      </w:r>
      <w:r w:rsidRPr="00434C5D">
        <w:rPr>
          <w:sz w:val="24"/>
          <w:lang w:val="da-DK"/>
        </w:rPr>
        <w:t>JO L 55 de 28.2.2011, p. 13, ELI: </w:t>
      </w:r>
      <w:hyperlink r:id="rId2" w:history="1">
        <w:r w:rsidRPr="00434C5D">
          <w:rPr>
            <w:rStyle w:val="Hyperlink"/>
            <w:sz w:val="24"/>
            <w:lang w:val="da-DK"/>
          </w:rPr>
          <w:t>https://eur</w:t>
        </w:r>
        <w:r w:rsidRPr="00434C5D">
          <w:rPr>
            <w:rStyle w:val="Hyperlink"/>
            <w:sz w:val="24"/>
            <w:lang w:val="da-DK"/>
          </w:rPr>
          <w:noBreakHyphen/>
          <w:t>lex.europa.eu/legal</w:t>
        </w:r>
        <w:r w:rsidRPr="00434C5D">
          <w:rPr>
            <w:rStyle w:val="Hyperlink"/>
            <w:sz w:val="24"/>
            <w:lang w:val="da-DK"/>
          </w:rPr>
          <w:noBreakHyphen/>
          <w:t>content/PT/TXT/?uri=CELEX:32011R0182</w:t>
        </w:r>
      </w:hyperlink>
      <w:r w:rsidRPr="00434C5D">
        <w:rPr>
          <w:rStyle w:val="Hyperlink"/>
          <w:sz w:val="24"/>
          <w:lang w:val="da-DK"/>
        </w:rPr>
        <w:t>.</w:t>
      </w:r>
    </w:p>
  </w:footnote>
  <w:footnote w:id="3">
    <w:p w14:paraId="283428AC" w14:textId="1FB10A8D" w:rsidR="00DE2CD2" w:rsidRPr="00434C5D" w:rsidRDefault="00DE2CD2" w:rsidP="00F02DA3">
      <w:pPr>
        <w:pStyle w:val="FootnoteText"/>
        <w:ind w:left="567" w:hanging="567"/>
        <w:rPr>
          <w:sz w:val="24"/>
          <w:lang w:val="da-DK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434C5D">
        <w:rPr>
          <w:sz w:val="24"/>
          <w:lang w:val="da-DK"/>
        </w:rPr>
        <w:t xml:space="preserve"> </w:t>
      </w:r>
      <w:r w:rsidR="00F02DA3" w:rsidRPr="00434C5D">
        <w:rPr>
          <w:sz w:val="24"/>
          <w:lang w:val="da-DK"/>
        </w:rPr>
        <w:tab/>
      </w:r>
      <w:proofErr w:type="spellStart"/>
      <w:r w:rsidRPr="00434C5D">
        <w:rPr>
          <w:sz w:val="24"/>
          <w:lang w:val="da-DK"/>
        </w:rPr>
        <w:t>Parecer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científico</w:t>
      </w:r>
      <w:proofErr w:type="spellEnd"/>
      <w:r w:rsidRPr="00434C5D">
        <w:rPr>
          <w:sz w:val="24"/>
          <w:lang w:val="da-DK"/>
        </w:rPr>
        <w:t xml:space="preserve"> do </w:t>
      </w:r>
      <w:proofErr w:type="spellStart"/>
      <w:r w:rsidRPr="00434C5D">
        <w:rPr>
          <w:sz w:val="24"/>
          <w:lang w:val="da-DK"/>
        </w:rPr>
        <w:t>Painel</w:t>
      </w:r>
      <w:proofErr w:type="spellEnd"/>
      <w:r w:rsidRPr="00434C5D">
        <w:rPr>
          <w:sz w:val="24"/>
          <w:lang w:val="da-DK"/>
        </w:rPr>
        <w:t xml:space="preserve"> dos </w:t>
      </w:r>
      <w:proofErr w:type="spellStart"/>
      <w:r w:rsidRPr="00434C5D">
        <w:rPr>
          <w:sz w:val="24"/>
          <w:lang w:val="da-DK"/>
        </w:rPr>
        <w:t>Organismos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Geneticamente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Modificados</w:t>
      </w:r>
      <w:proofErr w:type="spellEnd"/>
      <w:r w:rsidRPr="00434C5D">
        <w:rPr>
          <w:sz w:val="24"/>
          <w:lang w:val="da-DK"/>
        </w:rPr>
        <w:t xml:space="preserve"> da EFSA </w:t>
      </w:r>
      <w:proofErr w:type="spellStart"/>
      <w:r w:rsidRPr="00434C5D">
        <w:rPr>
          <w:sz w:val="24"/>
          <w:lang w:val="da-DK"/>
        </w:rPr>
        <w:t>intitulado</w:t>
      </w:r>
      <w:proofErr w:type="spellEnd"/>
      <w:r w:rsidRPr="00434C5D">
        <w:rPr>
          <w:sz w:val="24"/>
          <w:lang w:val="da-DK"/>
        </w:rPr>
        <w:t xml:space="preserve"> «</w:t>
      </w:r>
      <w:proofErr w:type="spellStart"/>
      <w:r w:rsidRPr="00434C5D">
        <w:rPr>
          <w:sz w:val="24"/>
          <w:lang w:val="da-DK"/>
        </w:rPr>
        <w:t>Assessment</w:t>
      </w:r>
      <w:proofErr w:type="spellEnd"/>
      <w:r w:rsidRPr="00434C5D">
        <w:rPr>
          <w:sz w:val="24"/>
          <w:lang w:val="da-DK"/>
        </w:rPr>
        <w:t xml:space="preserve"> of </w:t>
      </w:r>
      <w:proofErr w:type="spellStart"/>
      <w:r w:rsidRPr="00434C5D">
        <w:rPr>
          <w:sz w:val="24"/>
          <w:lang w:val="da-DK"/>
        </w:rPr>
        <w:t>genetically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modified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maize</w:t>
      </w:r>
      <w:proofErr w:type="spellEnd"/>
      <w:r w:rsidRPr="00434C5D">
        <w:rPr>
          <w:sz w:val="24"/>
          <w:lang w:val="da-DK"/>
        </w:rPr>
        <w:t xml:space="preserve"> MON 95275 (</w:t>
      </w:r>
      <w:proofErr w:type="spellStart"/>
      <w:r w:rsidRPr="00434C5D">
        <w:rPr>
          <w:sz w:val="24"/>
          <w:lang w:val="da-DK"/>
        </w:rPr>
        <w:t>application</w:t>
      </w:r>
      <w:proofErr w:type="spellEnd"/>
      <w:r w:rsidRPr="00434C5D">
        <w:rPr>
          <w:sz w:val="24"/>
          <w:lang w:val="da-DK"/>
        </w:rPr>
        <w:t xml:space="preserve"> EFSA</w:t>
      </w:r>
      <w:r w:rsidRPr="00434C5D">
        <w:rPr>
          <w:sz w:val="24"/>
          <w:lang w:val="da-DK"/>
        </w:rPr>
        <w:noBreakHyphen/>
        <w:t>GMO</w:t>
      </w:r>
      <w:r w:rsidRPr="00434C5D">
        <w:rPr>
          <w:sz w:val="24"/>
          <w:lang w:val="da-DK"/>
        </w:rPr>
        <w:noBreakHyphen/>
        <w:t>BE</w:t>
      </w:r>
      <w:r w:rsidRPr="00434C5D">
        <w:rPr>
          <w:sz w:val="24"/>
          <w:lang w:val="da-DK"/>
        </w:rPr>
        <w:noBreakHyphen/>
        <w:t>2019</w:t>
      </w:r>
      <w:r w:rsidRPr="00434C5D">
        <w:rPr>
          <w:sz w:val="24"/>
          <w:lang w:val="da-DK"/>
        </w:rPr>
        <w:noBreakHyphen/>
        <w:t>165)» [</w:t>
      </w:r>
      <w:proofErr w:type="spellStart"/>
      <w:r w:rsidRPr="00434C5D">
        <w:rPr>
          <w:sz w:val="24"/>
          <w:lang w:val="da-DK"/>
        </w:rPr>
        <w:t>Avaliação</w:t>
      </w:r>
      <w:proofErr w:type="spellEnd"/>
      <w:r w:rsidRPr="00434C5D">
        <w:rPr>
          <w:sz w:val="24"/>
          <w:lang w:val="da-DK"/>
        </w:rPr>
        <w:t xml:space="preserve"> do </w:t>
      </w:r>
      <w:proofErr w:type="spellStart"/>
      <w:r w:rsidRPr="00434C5D">
        <w:rPr>
          <w:sz w:val="24"/>
          <w:lang w:val="da-DK"/>
        </w:rPr>
        <w:t>milho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geneticamente</w:t>
      </w:r>
      <w:proofErr w:type="spellEnd"/>
      <w:r w:rsidRPr="00434C5D">
        <w:rPr>
          <w:sz w:val="24"/>
          <w:lang w:val="da-DK"/>
        </w:rPr>
        <w:t xml:space="preserve"> </w:t>
      </w:r>
      <w:proofErr w:type="spellStart"/>
      <w:r w:rsidRPr="00434C5D">
        <w:rPr>
          <w:sz w:val="24"/>
          <w:lang w:val="da-DK"/>
        </w:rPr>
        <w:t>modificado</w:t>
      </w:r>
      <w:proofErr w:type="spellEnd"/>
      <w:r w:rsidRPr="00434C5D">
        <w:rPr>
          <w:sz w:val="24"/>
          <w:lang w:val="da-DK"/>
        </w:rPr>
        <w:t xml:space="preserve"> MON 95275 (</w:t>
      </w:r>
      <w:proofErr w:type="spellStart"/>
      <w:r w:rsidRPr="00434C5D">
        <w:rPr>
          <w:sz w:val="24"/>
          <w:lang w:val="da-DK"/>
        </w:rPr>
        <w:t>pedido</w:t>
      </w:r>
      <w:proofErr w:type="spellEnd"/>
      <w:r w:rsidRPr="00434C5D">
        <w:rPr>
          <w:sz w:val="24"/>
          <w:lang w:val="da-DK"/>
        </w:rPr>
        <w:t xml:space="preserve"> EFSA</w:t>
      </w:r>
      <w:r w:rsidRPr="00434C5D">
        <w:rPr>
          <w:sz w:val="24"/>
          <w:lang w:val="da-DK"/>
        </w:rPr>
        <w:noBreakHyphen/>
        <w:t>GMO</w:t>
      </w:r>
      <w:r w:rsidRPr="00434C5D">
        <w:rPr>
          <w:sz w:val="24"/>
          <w:lang w:val="da-DK"/>
        </w:rPr>
        <w:noBreakHyphen/>
        <w:t>BE</w:t>
      </w:r>
      <w:r w:rsidRPr="00434C5D">
        <w:rPr>
          <w:sz w:val="24"/>
          <w:lang w:val="da-DK"/>
        </w:rPr>
        <w:noBreakHyphen/>
        <w:t>2019</w:t>
      </w:r>
      <w:r w:rsidRPr="00434C5D">
        <w:rPr>
          <w:sz w:val="24"/>
          <w:lang w:val="da-DK"/>
        </w:rPr>
        <w:noBreakHyphen/>
        <w:t xml:space="preserve">165)], </w:t>
      </w:r>
      <w:r w:rsidRPr="00434C5D">
        <w:rPr>
          <w:i/>
          <w:sz w:val="24"/>
          <w:lang w:val="da-DK"/>
        </w:rPr>
        <w:t>EFSA Journal</w:t>
      </w:r>
      <w:r w:rsidRPr="00434C5D">
        <w:rPr>
          <w:sz w:val="24"/>
          <w:lang w:val="da-DK"/>
        </w:rPr>
        <w:t xml:space="preserve">, vol. 23, </w:t>
      </w:r>
      <w:proofErr w:type="gramStart"/>
      <w:r w:rsidRPr="00434C5D">
        <w:rPr>
          <w:sz w:val="24"/>
          <w:lang w:val="da-DK"/>
        </w:rPr>
        <w:t>n.º</w:t>
      </w:r>
      <w:proofErr w:type="gramEnd"/>
      <w:r w:rsidRPr="00434C5D">
        <w:rPr>
          <w:sz w:val="24"/>
          <w:lang w:val="da-DK"/>
        </w:rPr>
        <w:t xml:space="preserve"> 7, </w:t>
      </w:r>
      <w:proofErr w:type="spellStart"/>
      <w:r w:rsidRPr="00434C5D">
        <w:rPr>
          <w:sz w:val="24"/>
          <w:lang w:val="da-DK"/>
        </w:rPr>
        <w:t>artigo</w:t>
      </w:r>
      <w:proofErr w:type="spellEnd"/>
      <w:r w:rsidRPr="00434C5D">
        <w:rPr>
          <w:sz w:val="24"/>
          <w:lang w:val="da-DK"/>
        </w:rPr>
        <w:t xml:space="preserve"> e9503, </w:t>
      </w:r>
      <w:hyperlink r:id="rId3" w:history="1">
        <w:r w:rsidRPr="00434C5D">
          <w:rPr>
            <w:rStyle w:val="Hyperlink"/>
            <w:sz w:val="24"/>
            <w:lang w:val="da-DK"/>
          </w:rPr>
          <w:t>https://doi.org/10.2903/j.efsa.2025.9503</w:t>
        </w:r>
      </w:hyperlink>
      <w:r w:rsidRPr="00434C5D">
        <w:rPr>
          <w:sz w:val="24"/>
          <w:lang w:val="da-DK"/>
        </w:rPr>
        <w:t xml:space="preserve">. </w:t>
      </w:r>
    </w:p>
  </w:footnote>
  <w:footnote w:id="4">
    <w:p w14:paraId="740907F4" w14:textId="42CDE8B4" w:rsidR="00DE2CD2" w:rsidRPr="00F02DA3" w:rsidRDefault="00DE2CD2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r w:rsidRPr="00F02DA3">
        <w:rPr>
          <w:sz w:val="24"/>
          <w:lang w:val="pt-PT"/>
        </w:rPr>
        <w:t>O Parlamento aprovou, na sua oitava legislatura, 36 resoluções e, na sua nona legislatura, 38 resoluções em que se opôs à autorização de OGM. Além disso, na sua décima legislatura, o Parlamento aprovou as seguintes resoluções:</w:t>
      </w:r>
    </w:p>
    <w:p w14:paraId="198301B2" w14:textId="5CAF92DB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a Decisão de Execução (UE) 2024/2628 da Comissão</w:t>
      </w:r>
      <w:r w:rsidR="00CD374E">
        <w:rPr>
          <w:sz w:val="24"/>
          <w:lang w:val="pt-PT"/>
        </w:rPr>
        <w:t xml:space="preserve"> </w:t>
      </w:r>
      <w:r w:rsidR="00DE2CD2" w:rsidRPr="00F02DA3">
        <w:rPr>
          <w:sz w:val="24"/>
          <w:lang w:val="pt-PT"/>
        </w:rPr>
        <w:t>que renova a autorização de colocação no mercado de produtos que contenham, sejam constituídos por ou sejam produzidos a partir de milho geneticamente modificado MON 89034 × 1507 × NK603 nos termos do Regulamento (CE) n.º 1829/2003 do Parlamento Europeu e do Conselho (JO C, C/2025/1797, 4.4.2025, ELI: </w:t>
      </w:r>
      <w:hyperlink r:id="rId4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content/PT/TXT/?uri=CELEX:52024IP0038(01)</w:t>
        </w:r>
      </w:hyperlink>
      <w:r w:rsidR="00DE2CD2" w:rsidRPr="00F02DA3">
        <w:rPr>
          <w:sz w:val="24"/>
          <w:lang w:val="pt-PT"/>
        </w:rPr>
        <w:t>).</w:t>
      </w:r>
    </w:p>
    <w:p w14:paraId="51E4CC6D" w14:textId="12B188B2" w:rsidR="00DE2CD2" w:rsidRPr="00F02DA3" w:rsidRDefault="00F02DA3" w:rsidP="00F02DA3">
      <w:pPr>
        <w:pStyle w:val="FootnoteText"/>
        <w:keepNext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a Decisão de Execução (UE) 2024/2627 da Comissão que autoriza a colocação no mercado de produtos que contenham, sejam constituídos por, ou produzidos a partir de algodão geneticamente modificado COT102 nos termos do Regulamento (CE) n.º 1829/2003 do Parlamento Europeu e do Conselho (JO C, C/2025/1798, 4.4.2025, ELI: </w:t>
      </w:r>
      <w:hyperlink r:id="rId5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content/PT/TXT/?uri=CELEX:52024IP0039(01)</w:t>
        </w:r>
      </w:hyperlink>
      <w:r w:rsidR="00DE2CD2" w:rsidRPr="00F02DA3">
        <w:rPr>
          <w:sz w:val="24"/>
          <w:lang w:val="pt-PT"/>
        </w:rPr>
        <w:t>).</w:t>
      </w:r>
    </w:p>
    <w:p w14:paraId="5183455E" w14:textId="0AC19858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 xml:space="preserve">Resolução do Parlamento Europeu, de 26 de novembro de 2024, sobre a Decisão de Execução (UE) 2024/2629 da Comissão que renova a autorização de colocação no mercado de produtos que contenham, sejam constituídos por ou sejam produzidos a partir de milho geneticamente modificado MON 89034 x 1507 x MON 88017 x 59122 e oito das suas </w:t>
      </w:r>
      <w:proofErr w:type="spellStart"/>
      <w:r w:rsidR="00DE2CD2" w:rsidRPr="00F02DA3">
        <w:rPr>
          <w:sz w:val="24"/>
          <w:lang w:val="pt-PT"/>
        </w:rPr>
        <w:t>subcombinações</w:t>
      </w:r>
      <w:proofErr w:type="spellEnd"/>
      <w:r w:rsidR="00DE2CD2" w:rsidRPr="00F02DA3">
        <w:rPr>
          <w:sz w:val="24"/>
          <w:lang w:val="pt-PT"/>
        </w:rPr>
        <w:t>, nos termos do Regulamento (CE) n.º 1829/2003 do Parlamento Europeu e do Conselho (JO C, C/2025/1799, 4.4.2025, ELI: </w:t>
      </w:r>
      <w:hyperlink r:id="rId6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content/PT/TXT/?uri=CELEX:52024IP0040(01)</w:t>
        </w:r>
      </w:hyperlink>
      <w:r w:rsidR="00DE2CD2" w:rsidRPr="00F02DA3">
        <w:rPr>
          <w:sz w:val="24"/>
          <w:lang w:val="pt-PT"/>
        </w:rPr>
        <w:t>).</w:t>
      </w:r>
    </w:p>
    <w:p w14:paraId="340903D6" w14:textId="12EB5087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a Decisão de Execução (UE) 2024/1828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modificado, nos termos do Regulamento (CE) n.º 1829/2003 do Parlamento Europeu e do Conselho, e que revoga a Decisão de Execução (UE) 2017/1207 da Comissão (JO C, C/2025/1800, 4.4.2025, ELI: </w:t>
      </w:r>
      <w:hyperlink r:id="rId7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content/PT/TXT/?uri=CELEX:52024IP0041(01)</w:t>
        </w:r>
      </w:hyperlink>
      <w:r w:rsidR="00DE2CD2" w:rsidRPr="00F02DA3">
        <w:rPr>
          <w:sz w:val="24"/>
          <w:lang w:val="pt-PT"/>
        </w:rPr>
        <w:t>).</w:t>
      </w:r>
    </w:p>
    <w:p w14:paraId="58E4F6AB" w14:textId="205C4D8C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a Decisão de Execução (UE) 2024/1822 da Comissão que autoriza a colocação no mercado de produtos que contenham, sejam constituídos por ou sejam produzidos a partir de milho geneticamente modificado DP915635 nos termos do Regulamento (CE) n.º 1829/2003 do Parlamento Europeu e do Conselho (JO C, C/2025/1801, 4.4.2025, ELI: </w:t>
      </w:r>
      <w:hyperlink r:id="rId8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content/PT/TXT/?uri=CELEX:52024IP0042(01)</w:t>
        </w:r>
      </w:hyperlink>
      <w:r w:rsidR="00DE2CD2" w:rsidRPr="00F02DA3">
        <w:rPr>
          <w:sz w:val="24"/>
          <w:lang w:val="pt-PT"/>
        </w:rPr>
        <w:t>).</w:t>
      </w:r>
    </w:p>
    <w:p w14:paraId="62D7D45D" w14:textId="7A6C5284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a Decisão de Execução (UE) 2024/1826 da Comissão, que autoriza a colocação no mercado de produtos que contenham, sejam constituídos por ou sejam produzidos a partir de milho geneticamente modificado DP23211 nos termos do Regulamento (CE) n.º 1829/2003 do Parlamento Europeu e do Conselho (JO C, C/2025/1802, 4.4.2025, ELI: </w:t>
      </w:r>
      <w:hyperlink r:id="rId9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content/PT/TXT/?uri=CELEX:52024IP0043(01)</w:t>
        </w:r>
      </w:hyperlink>
      <w:r w:rsidR="00DE2CD2" w:rsidRPr="00F02DA3">
        <w:rPr>
          <w:sz w:val="24"/>
          <w:lang w:val="pt-PT"/>
        </w:rPr>
        <w:t>).</w:t>
      </w:r>
    </w:p>
    <w:p w14:paraId="0CFAD040" w14:textId="1AE2A774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a Decisão de Execução da Comissão (UE) 2024/2618 que autoriza a colocação no mercado de produtos que contenham, sejam constituídos por ou sejam produzidos a partir de milho geneticamente modificado DP202216 nos termos do Regulamento (CE) n.º 1829/2003 do Parlamento Europeu e do Conselho (JO C, C/2025/1803, 4.4.2025, ELI: </w:t>
      </w:r>
      <w:hyperlink r:id="rId10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content/PT/TXT/?uri=CELEX:52024IP0044(01)</w:t>
        </w:r>
      </w:hyperlink>
      <w:r w:rsidR="00DE2CD2" w:rsidRPr="00F02DA3">
        <w:rPr>
          <w:sz w:val="24"/>
          <w:lang w:val="pt-PT"/>
        </w:rPr>
        <w:t>).</w:t>
      </w:r>
    </w:p>
    <w:p w14:paraId="0D13E046" w14:textId="78CEC3C8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26 de novembro de 2024, sobre o projeto de decisão de execução da Comissão que autoriza a colocação no mercado de produtos que contenham, sejam constituídos por, ou produzidos a partir de milho geneticamente modificado MON 94804 nos termos do Regulamento (CE) n.º 1829/2003 do Parlamento Europeu e do Conselho (JO C, C/2025/1804, 4.4.2025, ELI: </w:t>
      </w:r>
      <w:hyperlink r:id="rId11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content/PT/TXT/?uri=CELEX:52024IP0045(01)</w:t>
        </w:r>
      </w:hyperlink>
      <w:r w:rsidR="00DE2CD2" w:rsidRPr="00F02DA3">
        <w:rPr>
          <w:sz w:val="24"/>
          <w:lang w:val="pt-PT"/>
        </w:rPr>
        <w:t>).</w:t>
      </w:r>
    </w:p>
    <w:p w14:paraId="4E8F99AC" w14:textId="54028978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12 de fevereiro de 2025, sobre o projeto de decisão de execução da Comissão que autoriza a colocação no mercado de produtos que contenham, sejam constituídos por, ou produzidos a partir de milho geneticamente modificado DP910521, nos termos do Regulamento (CE) n.º 1829/2003 do Parlamento Europeu e do Conselho (JO C, C/2025/2246, 29.4.2025, ELI: </w:t>
      </w:r>
      <w:hyperlink r:id="rId12" w:tooltip="Permite aceder ao documento através do seu identificador do ELI.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content/PT/TXT/?uri=CELEX:52025IP0014</w:t>
        </w:r>
      </w:hyperlink>
      <w:r w:rsidR="00DE2CD2" w:rsidRPr="00F02DA3">
        <w:rPr>
          <w:sz w:val="24"/>
          <w:lang w:val="pt-PT"/>
        </w:rPr>
        <w:t>).</w:t>
      </w:r>
    </w:p>
    <w:p w14:paraId="760736D2" w14:textId="1695748A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12 de fevereiro de 2025,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 (JO C, C/2025/2247, 29.4.2025, ELI: </w:t>
      </w:r>
      <w:hyperlink r:id="rId13" w:history="1">
        <w:r w:rsidR="00DE2CD2" w:rsidRPr="00F02DA3">
          <w:rPr>
            <w:rStyle w:val="Hyperlink"/>
            <w:sz w:val="24"/>
            <w:lang w:val="pt-PT"/>
          </w:rPr>
          <w:t>https://eur</w:t>
        </w:r>
        <w:r w:rsidR="00DE2CD2" w:rsidRPr="00F02DA3">
          <w:rPr>
            <w:rStyle w:val="Hyperlink"/>
            <w:sz w:val="24"/>
            <w:lang w:val="pt-PT"/>
          </w:rPr>
          <w:noBreakHyphen/>
          <w:t>lex.europa.eu/legal</w:t>
        </w:r>
        <w:r w:rsidR="00DE2CD2" w:rsidRPr="00F02DA3">
          <w:rPr>
            <w:rStyle w:val="Hyperlink"/>
            <w:sz w:val="24"/>
            <w:lang w:val="pt-PT"/>
          </w:rPr>
          <w:noBreakHyphen/>
          <w:t>content/PT/TXT/?uri=CELEX:52025IP0015</w:t>
        </w:r>
      </w:hyperlink>
      <w:r w:rsidR="00DE2CD2" w:rsidRPr="00F02DA3">
        <w:rPr>
          <w:sz w:val="24"/>
          <w:lang w:val="pt-PT"/>
        </w:rPr>
        <w:t>).</w:t>
      </w:r>
    </w:p>
    <w:p w14:paraId="0DCF003E" w14:textId="4A4468B2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8 de maio de 2025, sobre o projeto de decisão de execução da Comissão que autoriza a colocação no mercado de produtos que contenham, sejam constituídos por, ou sejam produzidos a partir de soja geneticamente modificada MON 87705 × MON 87708 × MON 89788,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P10_TA(2025)0106).</w:t>
      </w:r>
    </w:p>
    <w:p w14:paraId="5948F801" w14:textId="1BE06030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8 de outubro de 2025, sobre a Decisão de Execução (UE) 2025/1898 da Comissão, de 22 de setembro de 2025, que autoriza a colocação no mercado de produtos que contenham, sejam constituídos por ou sejam produzidos a partir de milho geneticamente modificado DP51291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P10_TA(2025)0222).</w:t>
      </w:r>
    </w:p>
    <w:p w14:paraId="5F5F2204" w14:textId="6368C765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25 de novembro de 2025, sobre o projeto de decisão de execução da Comissão que autoriza a colocação no mercado de produtos que contenham, sejam constituídos por, ou sejam produzidos a partir de milho geneticamente modificado DAS1131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P10_TA(2025)0288).</w:t>
      </w:r>
    </w:p>
    <w:p w14:paraId="5FA8E39F" w14:textId="21B2D4BB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produzidos a partir de algodão geneticamente modificado MON 88913 (MON</w:t>
      </w:r>
      <w:r w:rsidR="00DE2CD2" w:rsidRPr="00F02DA3">
        <w:rPr>
          <w:sz w:val="24"/>
          <w:lang w:val="pt-PT"/>
        </w:rPr>
        <w:noBreakHyphen/>
        <w:t>88913</w:t>
      </w:r>
      <w:r w:rsidR="00DE2CD2" w:rsidRPr="00F02DA3">
        <w:rPr>
          <w:sz w:val="24"/>
          <w:lang w:val="pt-PT"/>
        </w:rPr>
        <w:noBreakHyphen/>
        <w:t>8),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P10_TA(2025)0289).</w:t>
      </w:r>
    </w:p>
    <w:p w14:paraId="6D312160" w14:textId="24FE09D7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sejam produzidos a partir de colza geneticamente modificada MON 88302,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P10_TA(2025)0290).</w:t>
      </w:r>
    </w:p>
    <w:p w14:paraId="10DA5F2E" w14:textId="0E52B733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25 de novembro de 2025, sobre a Decisão de Execução da Comissão que renova a autorização de colocação no mercado de produtos que contenham, sejam constituídos por ou sejam produzidos a partir de soja geneticamente modificada MON 87708,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P10_TA(2025)0291).</w:t>
      </w:r>
    </w:p>
    <w:p w14:paraId="24823291" w14:textId="4B636233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sejam produzidos a partir de milho geneticamente modificado MON 87427, nos termos do Regulamento</w:t>
      </w:r>
      <w:r w:rsidR="00CD374E">
        <w:rPr>
          <w:sz w:val="24"/>
          <w:lang w:val="pt-PT"/>
        </w:rPr>
        <w:t xml:space="preserve"> (CE)</w:t>
      </w:r>
      <w:r w:rsidR="00DE2CD2" w:rsidRPr="00F02DA3">
        <w:rPr>
          <w:sz w:val="24"/>
          <w:lang w:val="pt-PT"/>
        </w:rPr>
        <w:t xml:space="preserve">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P10_TA(2025)0292).</w:t>
      </w:r>
    </w:p>
    <w:p w14:paraId="31DAA9C3" w14:textId="72BC72E5" w:rsidR="00DE2CD2" w:rsidRPr="00F02DA3" w:rsidRDefault="00F02DA3" w:rsidP="00F02DA3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Europeu, de 16 de dezembro de 2025, sobre o projeto de decisão de execução da Comissão que renova a autorização de colocação no mercado de produtos que contenham, sejam constituídos por ou sejam produzidos a partir de milho geneticamente modificado NK603,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P10_TA(2025)0327).</w:t>
      </w:r>
    </w:p>
    <w:p w14:paraId="2CAF6373" w14:textId="35B65F88" w:rsidR="00DE2CD2" w:rsidRPr="00F02DA3" w:rsidRDefault="00F02DA3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sz w:val="24"/>
          <w:lang w:val="pt-PT"/>
        </w:rPr>
        <w:t xml:space="preserve"> </w:t>
      </w:r>
      <w:r w:rsidRPr="00F02DA3">
        <w:rPr>
          <w:sz w:val="24"/>
          <w:lang w:val="pt-PT"/>
        </w:rPr>
        <w:tab/>
      </w:r>
      <w:r w:rsidR="00DE2CD2" w:rsidRPr="00F02DA3">
        <w:rPr>
          <w:sz w:val="24"/>
          <w:lang w:val="pt-PT"/>
        </w:rPr>
        <w:t>–</w:t>
      </w:r>
      <w:r w:rsidR="00DE2CD2" w:rsidRPr="00F02DA3">
        <w:rPr>
          <w:sz w:val="24"/>
          <w:lang w:val="pt-PT"/>
        </w:rPr>
        <w:tab/>
        <w:t>Resolução do Parlamento Europeu</w:t>
      </w:r>
      <w:r w:rsidR="008278E8" w:rsidRPr="00F02DA3">
        <w:rPr>
          <w:sz w:val="24"/>
          <w:lang w:val="pt-PT"/>
        </w:rPr>
        <w:t>, de 16 de dezembro de 2025,</w:t>
      </w:r>
      <w:r w:rsidR="00DE2CD2" w:rsidRPr="00F02DA3">
        <w:rPr>
          <w:sz w:val="24"/>
          <w:lang w:val="pt-PT"/>
        </w:rPr>
        <w:t xml:space="preserve"> sobre o projeto de decisão de execução da Comissão que autoriza a colocação no mercado de géneros alimentícios, ingredientes alimentares e alimentos para animais produzidos a partir de beterraba geneticamente modificada KWS20</w:t>
      </w:r>
      <w:r w:rsidR="00DE2CD2" w:rsidRPr="00F02DA3">
        <w:rPr>
          <w:sz w:val="24"/>
          <w:lang w:val="pt-PT"/>
        </w:rPr>
        <w:noBreakHyphen/>
        <w:t>1, nos termos do Regulamento (CE) n.º 1829/2003 do Parlamento Europeu e do Conselho (</w:t>
      </w:r>
      <w:r w:rsidR="008278E8">
        <w:rPr>
          <w:sz w:val="24"/>
          <w:lang w:val="pt-PT"/>
        </w:rPr>
        <w:t xml:space="preserve">Textos Aprovados, </w:t>
      </w:r>
      <w:r w:rsidR="00DE2CD2" w:rsidRPr="00F02DA3">
        <w:rPr>
          <w:sz w:val="24"/>
          <w:lang w:val="pt-PT"/>
        </w:rPr>
        <w:t>P10_TA(2025)0328).</w:t>
      </w:r>
    </w:p>
  </w:footnote>
  <w:footnote w:id="5">
    <w:p w14:paraId="5F8702CD" w14:textId="2B92D018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shd w:val="clear" w:color="auto" w:fill="FFFFFF"/>
          <w:lang w:val="pt-PT"/>
        </w:rPr>
        <w:t xml:space="preserve"> </w:t>
      </w:r>
      <w:r w:rsidR="00F02DA3" w:rsidRPr="00F02DA3">
        <w:rPr>
          <w:sz w:val="24"/>
          <w:shd w:val="clear" w:color="auto" w:fill="FFFFFF"/>
          <w:lang w:val="pt-PT"/>
        </w:rPr>
        <w:tab/>
      </w:r>
      <w:r w:rsidRPr="00F02DA3">
        <w:rPr>
          <w:sz w:val="24"/>
          <w:shd w:val="clear" w:color="auto" w:fill="FFFFFF"/>
          <w:lang w:val="pt-PT"/>
        </w:rPr>
        <w:t xml:space="preserve">Ver, por exemplo, </w:t>
      </w:r>
      <w:proofErr w:type="spellStart"/>
      <w:r w:rsidRPr="00F02DA3">
        <w:rPr>
          <w:sz w:val="24"/>
          <w:shd w:val="clear" w:color="auto" w:fill="FFFFFF"/>
          <w:lang w:val="pt-PT"/>
        </w:rPr>
        <w:t>Bonny</w:t>
      </w:r>
      <w:proofErr w:type="spellEnd"/>
      <w:r w:rsidRPr="00F02DA3">
        <w:rPr>
          <w:sz w:val="24"/>
          <w:shd w:val="clear" w:color="auto" w:fill="FFFFFF"/>
          <w:lang w:val="pt-PT"/>
        </w:rPr>
        <w:t>, S., «</w:t>
      </w:r>
      <w:proofErr w:type="spellStart"/>
      <w:r w:rsidRPr="00F02DA3">
        <w:rPr>
          <w:sz w:val="24"/>
          <w:shd w:val="clear" w:color="auto" w:fill="FFFFFF"/>
          <w:lang w:val="pt-PT"/>
        </w:rPr>
        <w:t>Genetically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Modified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Herbicide‑Tolerant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Crops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, </w:t>
      </w:r>
      <w:proofErr w:type="spellStart"/>
      <w:r w:rsidRPr="00F02DA3">
        <w:rPr>
          <w:sz w:val="24"/>
          <w:shd w:val="clear" w:color="auto" w:fill="FFFFFF"/>
          <w:lang w:val="pt-PT"/>
        </w:rPr>
        <w:t>Weeds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, </w:t>
      </w:r>
      <w:proofErr w:type="spellStart"/>
      <w:r w:rsidRPr="00F02DA3">
        <w:rPr>
          <w:sz w:val="24"/>
          <w:shd w:val="clear" w:color="auto" w:fill="FFFFFF"/>
          <w:lang w:val="pt-PT"/>
        </w:rPr>
        <w:t>and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Herbicides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: </w:t>
      </w:r>
      <w:proofErr w:type="spellStart"/>
      <w:r w:rsidRPr="00F02DA3">
        <w:rPr>
          <w:sz w:val="24"/>
          <w:shd w:val="clear" w:color="auto" w:fill="FFFFFF"/>
          <w:lang w:val="pt-PT"/>
        </w:rPr>
        <w:t>Overview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and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Impact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» [Culturas geneticamente modificadas tolerantes a herbicidas, ervas daninhas e herbicidas: visão geral e efeitos], </w:t>
      </w:r>
      <w:proofErr w:type="spellStart"/>
      <w:r w:rsidRPr="00F02DA3">
        <w:rPr>
          <w:i/>
          <w:sz w:val="24"/>
          <w:shd w:val="clear" w:color="auto" w:fill="FFFFFF"/>
          <w:lang w:val="pt-PT"/>
        </w:rPr>
        <w:t>Environmental</w:t>
      </w:r>
      <w:proofErr w:type="spellEnd"/>
      <w:r w:rsidRPr="00F02DA3">
        <w:rPr>
          <w:i/>
          <w:sz w:val="24"/>
          <w:shd w:val="clear" w:color="auto" w:fill="FFFFFF"/>
          <w:lang w:val="pt-PT"/>
        </w:rPr>
        <w:t xml:space="preserve"> Management</w:t>
      </w:r>
      <w:r w:rsidRPr="00F02DA3">
        <w:rPr>
          <w:sz w:val="24"/>
          <w:shd w:val="clear" w:color="auto" w:fill="FFFFFF"/>
          <w:lang w:val="pt-PT"/>
        </w:rPr>
        <w:t>, janeiro de 2016, vol. 57, n.º 1, p</w:t>
      </w:r>
      <w:r w:rsidR="008278E8">
        <w:rPr>
          <w:sz w:val="24"/>
          <w:shd w:val="clear" w:color="auto" w:fill="FFFFFF"/>
          <w:lang w:val="pt-PT"/>
        </w:rPr>
        <w:t>p</w:t>
      </w:r>
      <w:r w:rsidRPr="00F02DA3">
        <w:rPr>
          <w:sz w:val="24"/>
          <w:shd w:val="clear" w:color="auto" w:fill="FFFFFF"/>
          <w:lang w:val="pt-PT"/>
        </w:rPr>
        <w:t xml:space="preserve">. 31‑48, </w:t>
      </w:r>
      <w:hyperlink r:id="rId14" w:history="1">
        <w:r w:rsidRPr="00F02DA3">
          <w:rPr>
            <w:rStyle w:val="Hyperlink"/>
            <w:sz w:val="24"/>
            <w:shd w:val="clear" w:color="auto" w:fill="FFFFFF"/>
            <w:lang w:val="pt-PT"/>
          </w:rPr>
          <w:t>https://doi.org/10.1007/s00267</w:t>
        </w:r>
        <w:r w:rsidRPr="00F02DA3">
          <w:rPr>
            <w:rStyle w:val="Hyperlink"/>
            <w:sz w:val="24"/>
            <w:shd w:val="clear" w:color="auto" w:fill="FFFFFF"/>
            <w:lang w:val="pt-PT"/>
          </w:rPr>
          <w:noBreakHyphen/>
          <w:t>015</w:t>
        </w:r>
        <w:r w:rsidRPr="00F02DA3">
          <w:rPr>
            <w:rStyle w:val="Hyperlink"/>
            <w:sz w:val="24"/>
            <w:shd w:val="clear" w:color="auto" w:fill="FFFFFF"/>
            <w:lang w:val="pt-PT"/>
          </w:rPr>
          <w:noBreakHyphen/>
          <w:t>0589</w:t>
        </w:r>
        <w:r w:rsidRPr="00F02DA3">
          <w:rPr>
            <w:rStyle w:val="Hyperlink"/>
            <w:sz w:val="24"/>
            <w:shd w:val="clear" w:color="auto" w:fill="FFFFFF"/>
            <w:lang w:val="pt-PT"/>
          </w:rPr>
          <w:noBreakHyphen/>
          <w:t>7</w:t>
        </w:r>
      </w:hyperlink>
      <w:r w:rsidRPr="00F02DA3">
        <w:rPr>
          <w:sz w:val="24"/>
          <w:shd w:val="clear" w:color="auto" w:fill="FFFFFF"/>
          <w:lang w:val="pt-PT"/>
        </w:rPr>
        <w:t xml:space="preserve">, e </w:t>
      </w:r>
      <w:proofErr w:type="spellStart"/>
      <w:r w:rsidRPr="00F02DA3">
        <w:rPr>
          <w:sz w:val="24"/>
          <w:shd w:val="clear" w:color="auto" w:fill="FFFFFF"/>
          <w:lang w:val="pt-PT"/>
        </w:rPr>
        <w:t>Benbrook</w:t>
      </w:r>
      <w:proofErr w:type="spellEnd"/>
      <w:r w:rsidRPr="00F02DA3">
        <w:rPr>
          <w:sz w:val="24"/>
          <w:shd w:val="clear" w:color="auto" w:fill="FFFFFF"/>
          <w:lang w:val="pt-PT"/>
        </w:rPr>
        <w:t>, C. M., «</w:t>
      </w:r>
      <w:proofErr w:type="spellStart"/>
      <w:r w:rsidRPr="00F02DA3">
        <w:rPr>
          <w:sz w:val="24"/>
          <w:shd w:val="clear" w:color="auto" w:fill="FFFFFF"/>
          <w:lang w:val="pt-PT"/>
        </w:rPr>
        <w:t>Impacts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of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genetically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engineered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crops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on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pesticide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use in </w:t>
      </w:r>
      <w:proofErr w:type="spellStart"/>
      <w:r w:rsidRPr="00F02DA3">
        <w:rPr>
          <w:sz w:val="24"/>
          <w:shd w:val="clear" w:color="auto" w:fill="FFFFFF"/>
          <w:lang w:val="pt-PT"/>
        </w:rPr>
        <w:t>the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U.S. </w:t>
      </w:r>
      <w:r w:rsidRPr="00F02DA3">
        <w:rPr>
          <w:sz w:val="24"/>
          <w:shd w:val="clear" w:color="auto" w:fill="FFFFFF"/>
          <w:lang w:val="pt-PT"/>
        </w:rPr>
        <w:noBreakHyphen/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the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first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sixteen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sz w:val="24"/>
          <w:shd w:val="clear" w:color="auto" w:fill="FFFFFF"/>
          <w:lang w:val="pt-PT"/>
        </w:rPr>
        <w:t>years</w:t>
      </w:r>
      <w:proofErr w:type="spellEnd"/>
      <w:r w:rsidRPr="00F02DA3">
        <w:rPr>
          <w:sz w:val="24"/>
          <w:shd w:val="clear" w:color="auto" w:fill="FFFFFF"/>
          <w:lang w:val="pt-PT"/>
        </w:rPr>
        <w:t>» [Impactos das culturas geneticamente modificadas no uso de pesticidas nos EUA: os primeiros 16</w:t>
      </w:r>
      <w:r w:rsidR="008278E8">
        <w:rPr>
          <w:sz w:val="24"/>
          <w:shd w:val="clear" w:color="auto" w:fill="FFFFFF"/>
          <w:lang w:val="pt-PT"/>
        </w:rPr>
        <w:t> </w:t>
      </w:r>
      <w:r w:rsidRPr="00F02DA3">
        <w:rPr>
          <w:sz w:val="24"/>
          <w:shd w:val="clear" w:color="auto" w:fill="FFFFFF"/>
          <w:lang w:val="pt-PT"/>
        </w:rPr>
        <w:t xml:space="preserve">anos], </w:t>
      </w:r>
      <w:proofErr w:type="spellStart"/>
      <w:r w:rsidRPr="00F02DA3">
        <w:rPr>
          <w:i/>
          <w:sz w:val="24"/>
          <w:shd w:val="clear" w:color="auto" w:fill="FFFFFF"/>
          <w:lang w:val="pt-PT"/>
        </w:rPr>
        <w:t>Environmental</w:t>
      </w:r>
      <w:proofErr w:type="spellEnd"/>
      <w:r w:rsidRPr="00F02DA3">
        <w:rPr>
          <w:i/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i/>
          <w:sz w:val="24"/>
          <w:shd w:val="clear" w:color="auto" w:fill="FFFFFF"/>
          <w:lang w:val="pt-PT"/>
        </w:rPr>
        <w:t>Sciences</w:t>
      </w:r>
      <w:proofErr w:type="spellEnd"/>
      <w:r w:rsidRPr="00F02DA3">
        <w:rPr>
          <w:i/>
          <w:sz w:val="24"/>
          <w:shd w:val="clear" w:color="auto" w:fill="FFFFFF"/>
          <w:lang w:val="pt-PT"/>
        </w:rPr>
        <w:t xml:space="preserve"> </w:t>
      </w:r>
      <w:proofErr w:type="spellStart"/>
      <w:r w:rsidRPr="00F02DA3">
        <w:rPr>
          <w:i/>
          <w:sz w:val="24"/>
          <w:shd w:val="clear" w:color="auto" w:fill="FFFFFF"/>
          <w:lang w:val="pt-PT"/>
        </w:rPr>
        <w:t>Europe</w:t>
      </w:r>
      <w:proofErr w:type="spellEnd"/>
      <w:r w:rsidRPr="00F02DA3">
        <w:rPr>
          <w:sz w:val="24"/>
          <w:shd w:val="clear" w:color="auto" w:fill="FFFFFF"/>
          <w:lang w:val="pt-PT"/>
        </w:rPr>
        <w:t xml:space="preserve">; 28 de setembro de 2012, vol. 24, n.º 1, </w:t>
      </w:r>
      <w:hyperlink r:id="rId15" w:history="1">
        <w:r w:rsidRPr="00F02DA3">
          <w:rPr>
            <w:rStyle w:val="Hyperlink"/>
            <w:sz w:val="24"/>
            <w:lang w:val="pt-PT"/>
          </w:rPr>
          <w:t>https://doi.org/10.1186/2190</w:t>
        </w:r>
        <w:r w:rsidRPr="00F02DA3">
          <w:rPr>
            <w:rStyle w:val="Hyperlink"/>
            <w:sz w:val="24"/>
            <w:lang w:val="pt-PT"/>
          </w:rPr>
          <w:noBreakHyphen/>
          <w:t>4715</w:t>
        </w:r>
        <w:r w:rsidRPr="00F02DA3">
          <w:rPr>
            <w:rStyle w:val="Hyperlink"/>
            <w:sz w:val="24"/>
            <w:lang w:val="pt-PT"/>
          </w:rPr>
          <w:noBreakHyphen/>
          <w:t>24</w:t>
        </w:r>
        <w:r w:rsidRPr="00F02DA3">
          <w:rPr>
            <w:rStyle w:val="Hyperlink"/>
            <w:sz w:val="24"/>
            <w:lang w:val="pt-PT"/>
          </w:rPr>
          <w:noBreakHyphen/>
          <w:t>24</w:t>
        </w:r>
      </w:hyperlink>
      <w:r w:rsidRPr="00F02DA3">
        <w:rPr>
          <w:sz w:val="24"/>
          <w:lang w:val="pt-PT"/>
        </w:rPr>
        <w:t>.</w:t>
      </w:r>
      <w:r w:rsidRPr="00F02DA3">
        <w:rPr>
          <w:sz w:val="24"/>
          <w:shd w:val="clear" w:color="auto" w:fill="FFFFFF"/>
          <w:lang w:val="pt-PT"/>
        </w:rPr>
        <w:t xml:space="preserve"> </w:t>
      </w:r>
    </w:p>
  </w:footnote>
  <w:footnote w:id="6">
    <w:p w14:paraId="59834C03" w14:textId="3C89DBAF" w:rsidR="00DE2CD2" w:rsidRPr="00F02DA3" w:rsidRDefault="00DE2CD2" w:rsidP="00F02DA3">
      <w:pPr>
        <w:pStyle w:val="FootnoteText"/>
        <w:ind w:left="567" w:hanging="567"/>
        <w:rPr>
          <w:sz w:val="24"/>
          <w:shd w:val="clear" w:color="auto" w:fill="FFFFFF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r w:rsidRPr="00F02DA3">
        <w:rPr>
          <w:sz w:val="24"/>
          <w:lang w:val="pt-PT"/>
        </w:rPr>
        <w:t xml:space="preserve">Ver, por exemplo: </w:t>
      </w:r>
      <w:hyperlink r:id="rId16" w:history="1">
        <w:r w:rsidRPr="00F02DA3">
          <w:rPr>
            <w:rStyle w:val="Hyperlink"/>
            <w:sz w:val="24"/>
            <w:lang w:val="pt-PT"/>
          </w:rPr>
          <w:t>https://doi.org/10.1002/ps.8105</w:t>
        </w:r>
      </w:hyperlink>
      <w:r w:rsidRPr="00F02DA3">
        <w:rPr>
          <w:sz w:val="24"/>
          <w:shd w:val="clear" w:color="auto" w:fill="FFFFFF"/>
          <w:lang w:val="pt-PT"/>
        </w:rPr>
        <w:t xml:space="preserve"> e </w:t>
      </w:r>
      <w:hyperlink r:id="rId17" w:history="1">
        <w:r w:rsidRPr="00F02DA3">
          <w:rPr>
            <w:rStyle w:val="Hyperlink"/>
            <w:sz w:val="24"/>
            <w:lang w:val="pt-PT"/>
          </w:rPr>
          <w:t>https://doi.org/10.1016/j.geoforum.2009.03.009</w:t>
        </w:r>
      </w:hyperlink>
      <w:r w:rsidRPr="00F02DA3">
        <w:rPr>
          <w:sz w:val="24"/>
          <w:lang w:val="pt-PT"/>
        </w:rPr>
        <w:t>.</w:t>
      </w:r>
    </w:p>
  </w:footnote>
  <w:footnote w:id="7">
    <w:p w14:paraId="1D07EB41" w14:textId="3A45FD9D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r w:rsidRPr="00F02DA3">
        <w:rPr>
          <w:sz w:val="24"/>
          <w:lang w:val="pt-PT"/>
        </w:rPr>
        <w:t xml:space="preserve">Regulamento (CE) n.º 1107/2009 do Parlamento Europeu e do Conselho, de 21 de </w:t>
      </w:r>
      <w:r w:rsidR="008278E8">
        <w:rPr>
          <w:sz w:val="24"/>
          <w:lang w:val="pt-PT"/>
        </w:rPr>
        <w:t>o</w:t>
      </w:r>
      <w:r w:rsidR="008278E8" w:rsidRPr="00F02DA3">
        <w:rPr>
          <w:sz w:val="24"/>
          <w:lang w:val="pt-PT"/>
        </w:rPr>
        <w:t xml:space="preserve">utubro </w:t>
      </w:r>
      <w:r w:rsidRPr="00F02DA3">
        <w:rPr>
          <w:sz w:val="24"/>
          <w:lang w:val="pt-PT"/>
        </w:rPr>
        <w:t>de 2009 , relativo à colocação dos produtos fitofarmacêuticos no mercado e que revoga as Diretivas 79/117/CEE e 91/414/CEE do Conselho (JO L 309 de 24.11.2009, p. 1, ELI: </w:t>
      </w:r>
      <w:hyperlink r:id="rId18" w:history="1">
        <w:r w:rsidRPr="00F02DA3">
          <w:rPr>
            <w:rStyle w:val="Hyperlink"/>
            <w:sz w:val="24"/>
            <w:lang w:val="pt-PT"/>
          </w:rPr>
          <w:t>http://data.europa.eu/eli/reg/2009/1107/oj</w:t>
        </w:r>
      </w:hyperlink>
      <w:r w:rsidRPr="00F02DA3">
        <w:rPr>
          <w:sz w:val="24"/>
          <w:lang w:val="pt-PT"/>
        </w:rPr>
        <w:t>).</w:t>
      </w:r>
    </w:p>
  </w:footnote>
  <w:footnote w:id="8">
    <w:p w14:paraId="53D8E01F" w14:textId="5FA02AC9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r w:rsidRPr="00F02DA3">
        <w:rPr>
          <w:sz w:val="24"/>
          <w:lang w:val="pt-PT"/>
        </w:rPr>
        <w:t xml:space="preserve">Ver, por exemplo: </w:t>
      </w:r>
      <w:hyperlink r:id="rId19" w:history="1">
        <w:r w:rsidRPr="00F02DA3">
          <w:rPr>
            <w:rStyle w:val="Hyperlink"/>
            <w:sz w:val="24"/>
            <w:lang w:val="pt-PT"/>
          </w:rPr>
          <w:t>https://doi.org/10.1016/j.mrrev.2019.02.001</w:t>
        </w:r>
      </w:hyperlink>
      <w:r w:rsidRPr="00F02DA3">
        <w:rPr>
          <w:sz w:val="24"/>
          <w:lang w:val="pt-PT"/>
        </w:rPr>
        <w:t xml:space="preserve">, </w:t>
      </w:r>
      <w:hyperlink r:id="rId20" w:history="1">
        <w:r w:rsidRPr="00F02DA3">
          <w:rPr>
            <w:rStyle w:val="Hyperlink"/>
            <w:sz w:val="24"/>
            <w:lang w:val="pt-PT"/>
          </w:rPr>
          <w:t>https://doi.org/10.1093/ije/dyz017</w:t>
        </w:r>
      </w:hyperlink>
      <w:r w:rsidRPr="00F02DA3">
        <w:rPr>
          <w:sz w:val="24"/>
          <w:lang w:val="pt-PT"/>
        </w:rPr>
        <w:t xml:space="preserve">, </w:t>
      </w:r>
      <w:hyperlink r:id="rId21" w:history="1">
        <w:r w:rsidRPr="00F02DA3">
          <w:rPr>
            <w:rStyle w:val="Hyperlink"/>
            <w:sz w:val="24"/>
            <w:lang w:val="pt-PT"/>
          </w:rPr>
          <w:t>https://doi.org/10.1371/journal.pone.0219610</w:t>
        </w:r>
      </w:hyperlink>
      <w:r w:rsidRPr="00F02DA3">
        <w:rPr>
          <w:sz w:val="24"/>
          <w:lang w:val="pt-PT"/>
        </w:rPr>
        <w:t xml:space="preserve"> e </w:t>
      </w:r>
      <w:hyperlink r:id="rId22" w:history="1">
        <w:r w:rsidRPr="00F02DA3">
          <w:rPr>
            <w:rStyle w:val="Hyperlink"/>
            <w:sz w:val="24"/>
            <w:lang w:val="pt-PT"/>
          </w:rPr>
          <w:t>https://doi.org/10.1186/s13045</w:t>
        </w:r>
        <w:r w:rsidRPr="00F02DA3">
          <w:rPr>
            <w:rStyle w:val="Hyperlink"/>
            <w:sz w:val="24"/>
            <w:lang w:val="pt-PT"/>
          </w:rPr>
          <w:noBreakHyphen/>
          <w:t>019</w:t>
        </w:r>
        <w:r w:rsidRPr="00F02DA3">
          <w:rPr>
            <w:rStyle w:val="Hyperlink"/>
            <w:sz w:val="24"/>
            <w:lang w:val="pt-PT"/>
          </w:rPr>
          <w:noBreakHyphen/>
          <w:t>0767</w:t>
        </w:r>
        <w:r w:rsidRPr="00F02DA3">
          <w:rPr>
            <w:rStyle w:val="Hyperlink"/>
            <w:sz w:val="24"/>
            <w:lang w:val="pt-PT"/>
          </w:rPr>
          <w:noBreakHyphen/>
          <w:t>9</w:t>
        </w:r>
      </w:hyperlink>
      <w:r w:rsidRPr="00F02DA3">
        <w:rPr>
          <w:sz w:val="24"/>
          <w:lang w:val="pt-PT"/>
        </w:rPr>
        <w:t>.</w:t>
      </w:r>
    </w:p>
  </w:footnote>
  <w:footnote w:id="9">
    <w:p w14:paraId="421AF85A" w14:textId="07E389FE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hyperlink r:id="rId23" w:history="1">
        <w:r w:rsidRPr="00F02DA3">
          <w:rPr>
            <w:rStyle w:val="Hyperlink"/>
            <w:sz w:val="24"/>
            <w:lang w:val="pt-PT"/>
          </w:rPr>
          <w:t>https://doi.org/10.1006/rtph.1999.1371</w:t>
        </w:r>
      </w:hyperlink>
      <w:r w:rsidRPr="00F02DA3">
        <w:rPr>
          <w:sz w:val="24"/>
          <w:lang w:val="pt-PT"/>
        </w:rPr>
        <w:t xml:space="preserve">. </w:t>
      </w:r>
    </w:p>
  </w:footnote>
  <w:footnote w:id="10">
    <w:p w14:paraId="1FB66E89" w14:textId="2A1F4229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r w:rsidRPr="00F02DA3">
        <w:rPr>
          <w:sz w:val="24"/>
          <w:lang w:val="pt-PT"/>
        </w:rPr>
        <w:t>Em dezembro de 2022, no âmbito da COP15, na Convenção sobre a Diversidade Biológica das Nações Unidas, foi acordado o quadro mundial para a biodiversidade, que inclui uma meta mundial de redução do risco dos pesticidas em, pelo menos, 50 % até</w:t>
      </w:r>
      <w:r w:rsidR="008278E8">
        <w:rPr>
          <w:sz w:val="24"/>
          <w:lang w:val="pt-PT"/>
        </w:rPr>
        <w:t> </w:t>
      </w:r>
      <w:r w:rsidRPr="00F02DA3">
        <w:rPr>
          <w:sz w:val="24"/>
          <w:lang w:val="pt-PT"/>
        </w:rPr>
        <w:t>2030 (ver:</w:t>
      </w:r>
      <w:r w:rsidRPr="00F02DA3">
        <w:rPr>
          <w:color w:val="000000" w:themeColor="text1"/>
          <w:sz w:val="24"/>
          <w:lang w:val="pt-PT"/>
        </w:rPr>
        <w:t xml:space="preserve"> </w:t>
      </w:r>
      <w:hyperlink r:id="rId24" w:history="1">
        <w:r w:rsidRPr="00F02DA3">
          <w:rPr>
            <w:rStyle w:val="Hyperlink"/>
            <w:sz w:val="24"/>
            <w:lang w:val="pt-PT"/>
          </w:rPr>
          <w:t>https://ec.europa.eu/commission/presscorner/detail/pt/ip_22_7834</w:t>
        </w:r>
      </w:hyperlink>
      <w:r w:rsidRPr="00F02DA3">
        <w:rPr>
          <w:sz w:val="24"/>
          <w:lang w:val="pt-PT"/>
        </w:rPr>
        <w:t>).</w:t>
      </w:r>
    </w:p>
  </w:footnote>
  <w:footnote w:id="11">
    <w:p w14:paraId="34BB4F71" w14:textId="66B37481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hyperlink r:id="rId25" w:history="1">
        <w:r w:rsidRPr="00F02DA3">
          <w:rPr>
            <w:rStyle w:val="Hyperlink"/>
            <w:sz w:val="24"/>
            <w:lang w:val="pt-PT"/>
          </w:rPr>
          <w:t>https://commission.europa.eu/strategy</w:t>
        </w:r>
        <w:r w:rsidRPr="00F02DA3">
          <w:rPr>
            <w:rStyle w:val="Hyperlink"/>
            <w:sz w:val="24"/>
            <w:lang w:val="pt-PT"/>
          </w:rPr>
          <w:noBreakHyphen/>
          <w:t>and</w:t>
        </w:r>
        <w:r w:rsidRPr="00F02DA3">
          <w:rPr>
            <w:rStyle w:val="Hyperlink"/>
            <w:sz w:val="24"/>
            <w:lang w:val="pt-PT"/>
          </w:rPr>
          <w:noBreakHyphen/>
          <w:t>policy/priorities</w:t>
        </w:r>
        <w:r w:rsidRPr="00F02DA3">
          <w:rPr>
            <w:rStyle w:val="Hyperlink"/>
            <w:sz w:val="24"/>
            <w:lang w:val="pt-PT"/>
          </w:rPr>
          <w:noBreakHyphen/>
          <w:t>2019</w:t>
        </w:r>
        <w:r w:rsidRPr="00F02DA3">
          <w:rPr>
            <w:rStyle w:val="Hyperlink"/>
            <w:sz w:val="24"/>
            <w:lang w:val="pt-PT"/>
          </w:rPr>
          <w:noBreakHyphen/>
          <w:t>2024/european</w:t>
        </w:r>
        <w:r w:rsidRPr="00F02DA3">
          <w:rPr>
            <w:rStyle w:val="Hyperlink"/>
            <w:sz w:val="24"/>
            <w:lang w:val="pt-PT"/>
          </w:rPr>
          <w:noBreakHyphen/>
          <w:t>green</w:t>
        </w:r>
        <w:r w:rsidRPr="00F02DA3">
          <w:rPr>
            <w:rStyle w:val="Hyperlink"/>
            <w:sz w:val="24"/>
            <w:lang w:val="pt-PT"/>
          </w:rPr>
          <w:noBreakHyphen/>
          <w:t>deal/agriculture</w:t>
        </w:r>
        <w:r w:rsidRPr="00F02DA3">
          <w:rPr>
            <w:rStyle w:val="Hyperlink"/>
            <w:sz w:val="24"/>
            <w:lang w:val="pt-PT"/>
          </w:rPr>
          <w:noBreakHyphen/>
          <w:t>and</w:t>
        </w:r>
        <w:r w:rsidRPr="00F02DA3">
          <w:rPr>
            <w:rStyle w:val="Hyperlink"/>
            <w:sz w:val="24"/>
            <w:lang w:val="pt-PT"/>
          </w:rPr>
          <w:noBreakHyphen/>
          <w:t>green</w:t>
        </w:r>
        <w:r w:rsidRPr="00F02DA3">
          <w:rPr>
            <w:rStyle w:val="Hyperlink"/>
            <w:sz w:val="24"/>
            <w:lang w:val="pt-PT"/>
          </w:rPr>
          <w:noBreakHyphen/>
          <w:t>deal/strategic</w:t>
        </w:r>
        <w:r w:rsidRPr="00F02DA3">
          <w:rPr>
            <w:rStyle w:val="Hyperlink"/>
            <w:sz w:val="24"/>
            <w:lang w:val="pt-PT"/>
          </w:rPr>
          <w:noBreakHyphen/>
          <w:t>dialogue</w:t>
        </w:r>
        <w:r w:rsidRPr="00F02DA3">
          <w:rPr>
            <w:rStyle w:val="Hyperlink"/>
            <w:sz w:val="24"/>
            <w:lang w:val="pt-PT"/>
          </w:rPr>
          <w:noBreakHyphen/>
          <w:t>future</w:t>
        </w:r>
        <w:r w:rsidRPr="00F02DA3">
          <w:rPr>
            <w:rStyle w:val="Hyperlink"/>
            <w:sz w:val="24"/>
            <w:lang w:val="pt-PT"/>
          </w:rPr>
          <w:noBreakHyphen/>
          <w:t>eu</w:t>
        </w:r>
        <w:r w:rsidRPr="00F02DA3">
          <w:rPr>
            <w:rStyle w:val="Hyperlink"/>
            <w:sz w:val="24"/>
            <w:lang w:val="pt-PT"/>
          </w:rPr>
          <w:noBreakHyphen/>
          <w:t>agriculture_pt</w:t>
        </w:r>
      </w:hyperlink>
      <w:r w:rsidRPr="00F02DA3">
        <w:rPr>
          <w:rStyle w:val="Hyperlink"/>
          <w:sz w:val="24"/>
          <w:lang w:val="pt-PT"/>
        </w:rPr>
        <w:t>.</w:t>
      </w:r>
      <w:r w:rsidRPr="00F02DA3">
        <w:rPr>
          <w:sz w:val="24"/>
          <w:lang w:val="pt-PT"/>
        </w:rPr>
        <w:t xml:space="preserve"> </w:t>
      </w:r>
    </w:p>
  </w:footnote>
  <w:footnote w:id="12">
    <w:p w14:paraId="10E37B72" w14:textId="0C39D55F" w:rsidR="00DE2CD2" w:rsidRPr="00F02DA3" w:rsidRDefault="00DE2CD2" w:rsidP="00F02DA3">
      <w:pPr>
        <w:pStyle w:val="FootnoteText"/>
        <w:ind w:left="567" w:hanging="567"/>
        <w:rPr>
          <w:sz w:val="24"/>
          <w:lang w:val="pt-PT"/>
        </w:rPr>
      </w:pPr>
      <w:r w:rsidRPr="00F02DA3">
        <w:rPr>
          <w:rStyle w:val="FootnoteReference"/>
          <w:sz w:val="24"/>
          <w:lang w:val="pt-PT"/>
        </w:rPr>
        <w:footnoteRef/>
      </w:r>
      <w:r w:rsidR="00F02DA3" w:rsidRPr="00F02DA3">
        <w:rPr>
          <w:sz w:val="24"/>
          <w:lang w:val="pt-PT"/>
        </w:rPr>
        <w:t xml:space="preserve"> </w:t>
      </w:r>
      <w:r w:rsidR="00F02DA3" w:rsidRPr="00F02DA3">
        <w:rPr>
          <w:sz w:val="24"/>
          <w:lang w:val="pt-PT"/>
        </w:rPr>
        <w:tab/>
      </w:r>
      <w:r w:rsidRPr="00F02DA3">
        <w:rPr>
          <w:sz w:val="24"/>
          <w:lang w:val="pt-PT"/>
        </w:rPr>
        <w:t xml:space="preserve">Regulamento (CE) n.º 178/2002 do Parlamento Europeu e do Conselho, de 28 de </w:t>
      </w:r>
      <w:r w:rsidR="008278E8">
        <w:rPr>
          <w:sz w:val="24"/>
          <w:lang w:val="pt-PT"/>
        </w:rPr>
        <w:t>j</w:t>
      </w:r>
      <w:r w:rsidRPr="00F02DA3">
        <w:rPr>
          <w:sz w:val="24"/>
          <w:lang w:val="pt-PT"/>
        </w:rPr>
        <w:t>aneiro de 2002, que determina os princípios e normas gerais da legislação alimentar, cria a Autoridade Europeia para a Segurança dos Alimentos e estabelece procedimentos em matéria de segurança dos géneros alimentícios (JO L 31 de 1.2.2002, p. 1, ELI:</w:t>
      </w:r>
      <w:r w:rsidRPr="00F02DA3">
        <w:rPr>
          <w:color w:val="000000" w:themeColor="text1"/>
          <w:sz w:val="24"/>
          <w:lang w:val="pt-PT"/>
        </w:rPr>
        <w:t> </w:t>
      </w:r>
      <w:hyperlink r:id="rId26" w:tgtFrame="Gives access to this document through its ELI URI." w:history="1">
        <w:r w:rsidRPr="00F02DA3">
          <w:rPr>
            <w:rStyle w:val="Hyperlink"/>
            <w:color w:val="0070C0"/>
            <w:sz w:val="24"/>
            <w:lang w:val="pt-PT"/>
          </w:rPr>
          <w:t>https://eur</w:t>
        </w:r>
        <w:r w:rsidRPr="00F02DA3">
          <w:rPr>
            <w:rStyle w:val="Hyperlink"/>
            <w:color w:val="0070C0"/>
            <w:sz w:val="24"/>
            <w:lang w:val="pt-PT"/>
          </w:rPr>
          <w:noBreakHyphen/>
          <w:t>lex.europa.eu/legal</w:t>
        </w:r>
        <w:r w:rsidRPr="00F02DA3">
          <w:rPr>
            <w:rStyle w:val="Hyperlink"/>
            <w:color w:val="0070C0"/>
            <w:sz w:val="24"/>
            <w:lang w:val="pt-PT"/>
          </w:rPr>
          <w:noBreakHyphen/>
          <w:t>content/PT/TXT/?uri=CELEX:32002R0178</w:t>
        </w:r>
      </w:hyperlink>
      <w:r w:rsidRPr="00F02DA3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F57C" w14:textId="77777777" w:rsidR="00064002" w:rsidRPr="00F02D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303F7" w14:textId="77777777" w:rsidR="00064002" w:rsidRPr="00F02D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DB208" w14:textId="77777777" w:rsidR="00064002" w:rsidRPr="00F02D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4646299">
    <w:abstractNumId w:val="9"/>
  </w:num>
  <w:num w:numId="2" w16cid:durableId="915675939">
    <w:abstractNumId w:val="9"/>
  </w:num>
  <w:num w:numId="3" w16cid:durableId="553809224">
    <w:abstractNumId w:val="7"/>
  </w:num>
  <w:num w:numId="4" w16cid:durableId="1111321939">
    <w:abstractNumId w:val="7"/>
  </w:num>
  <w:num w:numId="5" w16cid:durableId="543372427">
    <w:abstractNumId w:val="6"/>
  </w:num>
  <w:num w:numId="6" w16cid:durableId="984238804">
    <w:abstractNumId w:val="6"/>
  </w:num>
  <w:num w:numId="7" w16cid:durableId="912423425">
    <w:abstractNumId w:val="5"/>
  </w:num>
  <w:num w:numId="8" w16cid:durableId="357006490">
    <w:abstractNumId w:val="5"/>
  </w:num>
  <w:num w:numId="9" w16cid:durableId="1316450984">
    <w:abstractNumId w:val="4"/>
  </w:num>
  <w:num w:numId="10" w16cid:durableId="868954278">
    <w:abstractNumId w:val="4"/>
  </w:num>
  <w:num w:numId="11" w16cid:durableId="679039482">
    <w:abstractNumId w:val="8"/>
  </w:num>
  <w:num w:numId="12" w16cid:durableId="2090615308">
    <w:abstractNumId w:val="8"/>
  </w:num>
  <w:num w:numId="13" w16cid:durableId="973371261">
    <w:abstractNumId w:val="3"/>
  </w:num>
  <w:num w:numId="14" w16cid:durableId="351617372">
    <w:abstractNumId w:val="3"/>
  </w:num>
  <w:num w:numId="15" w16cid:durableId="736053386">
    <w:abstractNumId w:val="2"/>
  </w:num>
  <w:num w:numId="16" w16cid:durableId="1494490474">
    <w:abstractNumId w:val="2"/>
  </w:num>
  <w:num w:numId="17" w16cid:durableId="1230313129">
    <w:abstractNumId w:val="1"/>
  </w:num>
  <w:num w:numId="18" w16cid:durableId="2044403826">
    <w:abstractNumId w:val="1"/>
  </w:num>
  <w:num w:numId="19" w16cid:durableId="694816362">
    <w:abstractNumId w:val="0"/>
  </w:num>
  <w:num w:numId="20" w16cid:durableId="308172684">
    <w:abstractNumId w:val="0"/>
  </w:num>
  <w:num w:numId="21" w16cid:durableId="813907130">
    <w:abstractNumId w:val="9"/>
  </w:num>
  <w:num w:numId="22" w16cid:durableId="684863829">
    <w:abstractNumId w:val="7"/>
  </w:num>
  <w:num w:numId="23" w16cid:durableId="1607424192">
    <w:abstractNumId w:val="6"/>
  </w:num>
  <w:num w:numId="24" w16cid:durableId="993879548">
    <w:abstractNumId w:val="5"/>
  </w:num>
  <w:num w:numId="25" w16cid:durableId="998462320">
    <w:abstractNumId w:val="4"/>
  </w:num>
  <w:num w:numId="26" w16cid:durableId="28341464">
    <w:abstractNumId w:val="8"/>
  </w:num>
  <w:num w:numId="27" w16cid:durableId="1757095494">
    <w:abstractNumId w:val="3"/>
  </w:num>
  <w:num w:numId="28" w16cid:durableId="213780031">
    <w:abstractNumId w:val="2"/>
  </w:num>
  <w:num w:numId="29" w16cid:durableId="185482778">
    <w:abstractNumId w:val="1"/>
  </w:num>
  <w:num w:numId="30" w16cid:durableId="933976432">
    <w:abstractNumId w:val="0"/>
  </w:num>
  <w:num w:numId="31" w16cid:durableId="274681275">
    <w:abstractNumId w:val="9"/>
  </w:num>
  <w:num w:numId="32" w16cid:durableId="1391264475">
    <w:abstractNumId w:val="7"/>
  </w:num>
  <w:num w:numId="33" w16cid:durableId="1162744060">
    <w:abstractNumId w:val="6"/>
  </w:num>
  <w:num w:numId="34" w16cid:durableId="361126090">
    <w:abstractNumId w:val="5"/>
  </w:num>
  <w:num w:numId="35" w16cid:durableId="1162813789">
    <w:abstractNumId w:val="4"/>
  </w:num>
  <w:num w:numId="36" w16cid:durableId="27414279">
    <w:abstractNumId w:val="8"/>
  </w:num>
  <w:num w:numId="37" w16cid:durableId="651982559">
    <w:abstractNumId w:val="3"/>
  </w:num>
  <w:num w:numId="38" w16cid:durableId="288710757">
    <w:abstractNumId w:val="2"/>
  </w:num>
  <w:num w:numId="39" w16cid:durableId="1971469404">
    <w:abstractNumId w:val="1"/>
  </w:num>
  <w:num w:numId="40" w16cid:durableId="709690025">
    <w:abstractNumId w:val="0"/>
  </w:num>
  <w:num w:numId="41" w16cid:durableId="1950771908">
    <w:abstractNumId w:val="10"/>
  </w:num>
  <w:num w:numId="42" w16cid:durableId="775058851">
    <w:abstractNumId w:val="10"/>
  </w:num>
  <w:num w:numId="43" w16cid:durableId="1426413795">
    <w:abstractNumId w:val="10"/>
  </w:num>
  <w:num w:numId="44" w16cid:durableId="1770158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7/2026"/>
    <w:docVar w:name="dvlangue" w:val="PT"/>
    <w:docVar w:name="dvnumam" w:val="0"/>
    <w:docVar w:name="dvpe" w:val="782.192"/>
    <w:docVar w:name="dvtitre" w:val="Resolução do Parlamento Europeu, de ... de ... de 2026,_x000d__x000a_ sobre o projeto de decisão de execução da Comissão que autoriza a colocação no mercado de produtos que contenham, sejam constituídos por ou sejam produzidos a partir de soja geneticamente modificada DBN_x001e_09004_x001e_6, nos termos do Regulamento (CE) n.º 1829/2003 do Parlamento Europeu e do Conselho (D111472/02 – 2026/2523(RSP))"/>
  </w:docVars>
  <w:rsids>
    <w:rsidRoot w:val="00347D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D69"/>
    <w:rsid w:val="00361C00"/>
    <w:rsid w:val="00395FA1"/>
    <w:rsid w:val="003E15D4"/>
    <w:rsid w:val="00411CCE"/>
    <w:rsid w:val="0041666E"/>
    <w:rsid w:val="00421060"/>
    <w:rsid w:val="00434C5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664"/>
    <w:rsid w:val="00762C74"/>
    <w:rsid w:val="00786EC0"/>
    <w:rsid w:val="007D1690"/>
    <w:rsid w:val="007E22AD"/>
    <w:rsid w:val="00817416"/>
    <w:rsid w:val="008278E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F7B"/>
    <w:rsid w:val="00C941CB"/>
    <w:rsid w:val="00CC2357"/>
    <w:rsid w:val="00CD374E"/>
    <w:rsid w:val="00CF071A"/>
    <w:rsid w:val="00D058B8"/>
    <w:rsid w:val="00D56C11"/>
    <w:rsid w:val="00D834A0"/>
    <w:rsid w:val="00D872DF"/>
    <w:rsid w:val="00D91E21"/>
    <w:rsid w:val="00DA7FCD"/>
    <w:rsid w:val="00DE2CD2"/>
    <w:rsid w:val="00E365E1"/>
    <w:rsid w:val="00E820A4"/>
    <w:rsid w:val="00EB006A"/>
    <w:rsid w:val="00EB4772"/>
    <w:rsid w:val="00ED169E"/>
    <w:rsid w:val="00ED4235"/>
    <w:rsid w:val="00F02DA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81F84"/>
  <w15:chartTrackingRefBased/>
  <w15:docId w15:val="{4D84CA17-0AD6-4A12-8549-A7EA19E2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DE2CD2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DE2CD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E2CD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E2CD2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8278E8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T/TXT/?uri=CELEX:52024IP0042(01)" TargetMode="External"/><Relationship Id="rId13" Type="http://schemas.openxmlformats.org/officeDocument/2006/relationships/hyperlink" Target="https://eur-lex.europa.eu/legal-content/PT/TXT/?uri=CELEX:52025IP0015" TargetMode="External"/><Relationship Id="rId18" Type="http://schemas.openxmlformats.org/officeDocument/2006/relationships/hyperlink" Target="https://eur-lex.europa.eu/legal-content/PT/TXT/?uri=CELEX:32009R1107" TargetMode="External"/><Relationship Id="rId26" Type="http://schemas.openxmlformats.org/officeDocument/2006/relationships/hyperlink" Target="https://eur-lex.europa.eu/legal-content/PT/TXT/?uri=CELEX:32002R0178" TargetMode="External"/><Relationship Id="rId3" Type="http://schemas.openxmlformats.org/officeDocument/2006/relationships/hyperlink" Target="https://doi.org/10.2903/j.efsa.2025.9503" TargetMode="External"/><Relationship Id="rId21" Type="http://schemas.openxmlformats.org/officeDocument/2006/relationships/hyperlink" Target="https://doi.org/10.1371/journal.pone.0219610" TargetMode="External"/><Relationship Id="rId7" Type="http://schemas.openxmlformats.org/officeDocument/2006/relationships/hyperlink" Target="https://eur-lex.europa.eu/legal-content/PT/TXT/?uri=CELEX:52024IP0041(01)" TargetMode="External"/><Relationship Id="rId12" Type="http://schemas.openxmlformats.org/officeDocument/2006/relationships/hyperlink" Target="https://eur-lex.europa.eu/legal-content/PT/TXT/?uri=CELEX:52025IP0014" TargetMode="External"/><Relationship Id="rId17" Type="http://schemas.openxmlformats.org/officeDocument/2006/relationships/hyperlink" Target="https://doi.org/10.1016/j.geoforum.2009.03.009" TargetMode="External"/><Relationship Id="rId25" Type="http://schemas.openxmlformats.org/officeDocument/2006/relationships/hyperlink" Target="https://commission.europa.eu/strategyandpolicy/priorities20192024/europeangreendeal/agricultureandgreendeal/strategicdialoguefutureeuagriculture_pt" TargetMode="External"/><Relationship Id="rId2" Type="http://schemas.openxmlformats.org/officeDocument/2006/relationships/hyperlink" Target="https://eur-lex.europa.eu/legal-content/PT/TXT/?uri=CELEX:32011R0182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doi.org/10.1093/ije/dyz017" TargetMode="External"/><Relationship Id="rId1" Type="http://schemas.openxmlformats.org/officeDocument/2006/relationships/hyperlink" Target="https://eur-lex.europa.eu/legal-content/PT/TXT/?uri=CELEX:32003R1829" TargetMode="External"/><Relationship Id="rId6" Type="http://schemas.openxmlformats.org/officeDocument/2006/relationships/hyperlink" Target="https://eur-lex.europa.eu/legal-content/PT/TXT/?uri=CELEX:52024IP0040(01)" TargetMode="External"/><Relationship Id="rId11" Type="http://schemas.openxmlformats.org/officeDocument/2006/relationships/hyperlink" Target="https://eur-lex.europa.eu/legal-content/PT/TXT/?uri=CELEX:52024IP0045(01)" TargetMode="External"/><Relationship Id="rId24" Type="http://schemas.openxmlformats.org/officeDocument/2006/relationships/hyperlink" Target="https://ec.europa.eu/commission/presscorner/detail/pt/ip_22_7834" TargetMode="External"/><Relationship Id="rId5" Type="http://schemas.openxmlformats.org/officeDocument/2006/relationships/hyperlink" Target="https://eur-lex.europa.eu/legal-content/PT/TXT/?uri=CELEX:52024IP0039(01)" TargetMode="External"/><Relationship Id="rId15" Type="http://schemas.openxmlformats.org/officeDocument/2006/relationships/hyperlink" Target="https://doi.org/10.1186/2190-4715-24-24" TargetMode="External"/><Relationship Id="rId23" Type="http://schemas.openxmlformats.org/officeDocument/2006/relationships/hyperlink" Target="https://doi.org/10.1006/rtph.1999.1371" TargetMode="External"/><Relationship Id="rId10" Type="http://schemas.openxmlformats.org/officeDocument/2006/relationships/hyperlink" Target="https://eur-lex.europa.eu/legal-content/PT/TXT/?uri=CELEX:52024IP0044(01)" TargetMode="External"/><Relationship Id="rId19" Type="http://schemas.openxmlformats.org/officeDocument/2006/relationships/hyperlink" Target="https://doi.org/10.1016/j.mrrev.2019.02.001" TargetMode="External"/><Relationship Id="rId4" Type="http://schemas.openxmlformats.org/officeDocument/2006/relationships/hyperlink" Target="https://eur-lex.europa.eu/legal-content/PT/TXT/?uri=CELEX:52024IP0038(01)" TargetMode="External"/><Relationship Id="rId9" Type="http://schemas.openxmlformats.org/officeDocument/2006/relationships/hyperlink" Target="https://eur-lex.europa.eu/legal-content/PT/TXT/?uri=CELEX:52024IP0043(01)" TargetMode="External"/><Relationship Id="rId14" Type="http://schemas.openxmlformats.org/officeDocument/2006/relationships/hyperlink" Target="https://doi.org/10.1007/s00267-015-0589-7" TargetMode="External"/><Relationship Id="rId22" Type="http://schemas.openxmlformats.org/officeDocument/2006/relationships/hyperlink" Target="https://doi.org/10.1186/s13045-019-0767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1858</Words>
  <Characters>10141</Characters>
  <Application>Microsoft Office Word</Application>
  <DocSecurity>0</DocSecurity>
  <Lines>198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GARCIA RODRIGUEZ Viviana</cp:lastModifiedBy>
  <cp:revision>2</cp:revision>
  <cp:lastPrinted>2004-11-19T15:42:00Z</cp:lastPrinted>
  <dcterms:created xsi:type="dcterms:W3CDTF">2026-03-19T14:39:00Z</dcterms:created>
  <dcterms:modified xsi:type="dcterms:W3CDTF">2026-03-19T14:39:00Z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B10-0107/2026</vt:lpwstr>
  </property>
  <property fmtid="{D5CDD505-2E9C-101B-9397-08002B2CF9AE}" pid="4" name="&lt;Type&gt;">
    <vt:lpwstr>RR</vt:lpwstr>
  </property>
</Properties>
</file>