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39A" w14:paraId="04BED93E" w14:textId="77777777" w:rsidTr="0010095E">
        <w:trPr>
          <w:trHeight w:hRule="exact" w:val="1418"/>
        </w:trPr>
        <w:tc>
          <w:tcPr>
            <w:tcW w:w="6804" w:type="dxa"/>
            <w:shd w:val="clear" w:color="auto" w:fill="auto"/>
            <w:vAlign w:val="center"/>
          </w:tcPr>
          <w:p w14:paraId="16D79E33" w14:textId="77777777" w:rsidR="00751A4A" w:rsidRPr="00B3139A" w:rsidRDefault="008C7899" w:rsidP="0010095E">
            <w:pPr>
              <w:pStyle w:val="EPName"/>
            </w:pPr>
            <w:r w:rsidRPr="00B3139A">
              <w:t>Parlamentul European</w:t>
            </w:r>
          </w:p>
          <w:p w14:paraId="68DCBEFA" w14:textId="77777777" w:rsidR="00751A4A" w:rsidRPr="00B3139A" w:rsidRDefault="005F1B17" w:rsidP="005F1B17">
            <w:pPr>
              <w:pStyle w:val="EPTerm"/>
              <w:rPr>
                <w:rStyle w:val="HideTWBExt"/>
                <w:noProof w:val="0"/>
                <w:vanish w:val="0"/>
                <w:color w:val="auto"/>
              </w:rPr>
            </w:pPr>
            <w:r w:rsidRPr="00B3139A">
              <w:t>2024</w:t>
            </w:r>
            <w:r w:rsidR="00817416" w:rsidRPr="00B3139A">
              <w:t>-202</w:t>
            </w:r>
            <w:r w:rsidRPr="00B3139A">
              <w:t>9</w:t>
            </w:r>
          </w:p>
        </w:tc>
        <w:tc>
          <w:tcPr>
            <w:tcW w:w="2268" w:type="dxa"/>
            <w:shd w:val="clear" w:color="auto" w:fill="auto"/>
          </w:tcPr>
          <w:p w14:paraId="77975C5A" w14:textId="77777777" w:rsidR="00751A4A" w:rsidRPr="00B3139A" w:rsidRDefault="00187494" w:rsidP="0010095E">
            <w:pPr>
              <w:pStyle w:val="EPLogo"/>
            </w:pPr>
            <w:r w:rsidRPr="00B3139A">
              <w:rPr>
                <w:noProof/>
                <w:lang w:eastAsia="ja-JP"/>
              </w:rPr>
              <w:drawing>
                <wp:inline distT="0" distB="0" distL="0" distR="0" wp14:anchorId="2C649AC0" wp14:editId="2A9182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A0CC68" w14:textId="77777777" w:rsidR="00D058B8" w:rsidRPr="00B3139A" w:rsidRDefault="00D058B8" w:rsidP="004C5D52">
      <w:pPr>
        <w:pStyle w:val="LineTop"/>
      </w:pPr>
    </w:p>
    <w:p w14:paraId="3BCE840E" w14:textId="77777777" w:rsidR="00680577" w:rsidRPr="00B3139A" w:rsidRDefault="008C7899" w:rsidP="00680577">
      <w:pPr>
        <w:pStyle w:val="EPBodyTA1"/>
      </w:pPr>
      <w:r w:rsidRPr="00B3139A">
        <w:t>TEXTE ADOPTATE</w:t>
      </w:r>
    </w:p>
    <w:p w14:paraId="7CACD17E" w14:textId="77777777" w:rsidR="00D058B8" w:rsidRPr="00B3139A" w:rsidRDefault="00D058B8" w:rsidP="00D058B8">
      <w:pPr>
        <w:pStyle w:val="LineBottom"/>
      </w:pPr>
    </w:p>
    <w:p w14:paraId="0CEDC8C3" w14:textId="5A91B463" w:rsidR="008C7899" w:rsidRPr="00B3139A" w:rsidRDefault="008C7899" w:rsidP="008C7899">
      <w:pPr>
        <w:pStyle w:val="ATHeading1"/>
      </w:pPr>
      <w:bookmarkStart w:id="0" w:name="TANumber"/>
      <w:r w:rsidRPr="00B3139A">
        <w:t>P10_TA(2026)00</w:t>
      </w:r>
      <w:r w:rsidR="00B3139A">
        <w:t>41</w:t>
      </w:r>
      <w:bookmarkEnd w:id="0"/>
    </w:p>
    <w:p w14:paraId="193B893B" w14:textId="76148A90" w:rsidR="008C7899" w:rsidRPr="00B3139A" w:rsidRDefault="00275098" w:rsidP="008C7899">
      <w:pPr>
        <w:pStyle w:val="ATHeading2"/>
      </w:pPr>
      <w:bookmarkStart w:id="1" w:name="title"/>
      <w:r w:rsidRPr="00B3139A">
        <w:t>S</w:t>
      </w:r>
      <w:r w:rsidR="008C7899" w:rsidRPr="00B3139A">
        <w:t>oia modificată genetic DBN-09004-6</w:t>
      </w:r>
      <w:bookmarkEnd w:id="1"/>
    </w:p>
    <w:p w14:paraId="1C0C4C3E" w14:textId="77777777" w:rsidR="008C7899" w:rsidRPr="00B3139A" w:rsidRDefault="008C7899" w:rsidP="008C7899">
      <w:pPr>
        <w:rPr>
          <w:i/>
          <w:vanish/>
        </w:rPr>
      </w:pPr>
      <w:r w:rsidRPr="00B3139A">
        <w:rPr>
          <w:i/>
        </w:rPr>
        <w:fldChar w:fldCharType="begin"/>
      </w:r>
      <w:r w:rsidRPr="00B3139A">
        <w:rPr>
          <w:i/>
        </w:rPr>
        <w:instrText xml:space="preserve"> TC"(</w:instrText>
      </w:r>
      <w:bookmarkStart w:id="2" w:name="DocNumber"/>
      <w:r w:rsidRPr="00B3139A">
        <w:rPr>
          <w:i/>
        </w:rPr>
        <w:instrText>B10-0107/2026</w:instrText>
      </w:r>
      <w:bookmarkEnd w:id="2"/>
      <w:r w:rsidRPr="00B3139A">
        <w:rPr>
          <w:i/>
        </w:rPr>
        <w:instrText xml:space="preserve">)"\l3 \n&gt; \* MERGEFORMAT </w:instrText>
      </w:r>
      <w:r w:rsidRPr="00B3139A">
        <w:rPr>
          <w:i/>
        </w:rPr>
        <w:fldChar w:fldCharType="end"/>
      </w:r>
    </w:p>
    <w:p w14:paraId="1ED595A8" w14:textId="77777777" w:rsidR="008C7899" w:rsidRPr="00B3139A" w:rsidRDefault="008C7899" w:rsidP="008C7899">
      <w:pPr>
        <w:rPr>
          <w:vanish/>
        </w:rPr>
      </w:pPr>
      <w:bookmarkStart w:id="3" w:name="PE"/>
      <w:r w:rsidRPr="00B3139A">
        <w:rPr>
          <w:vanish/>
        </w:rPr>
        <w:t>PE782.192</w:t>
      </w:r>
      <w:bookmarkEnd w:id="3"/>
    </w:p>
    <w:p w14:paraId="02DB0B2D" w14:textId="01A8FEAF" w:rsidR="008C7899" w:rsidRPr="00B3139A" w:rsidRDefault="008C7899" w:rsidP="008C7899">
      <w:pPr>
        <w:pStyle w:val="ATHeading3"/>
      </w:pPr>
      <w:bookmarkStart w:id="4" w:name="Sujet"/>
      <w:r w:rsidRPr="00B3139A">
        <w:t xml:space="preserve">Rezoluția Parlamentului European din </w:t>
      </w:r>
      <w:r w:rsidR="00275098" w:rsidRPr="00B3139A">
        <w:t>11</w:t>
      </w:r>
      <w:r w:rsidRPr="00B3139A">
        <w:t xml:space="preserve"> februarie 2026 referitoare la proiectul de decizie de punere în aplicare a Comisiei de autorizare a introducerii pe piață a produselor care conțin, constau în sau sunt fabricate din soia modificată genetic DBN-09004-6, în temeiul Regulamentului (CE) nr. 1829/2003 al Parlamentului European și al Consiliului </w:t>
      </w:r>
      <w:bookmarkStart w:id="5" w:name="References"/>
      <w:bookmarkEnd w:id="4"/>
      <w:r w:rsidRPr="00B3139A">
        <w:t>(D111472/02 – 2026/2523(RSP))</w:t>
      </w:r>
      <w:bookmarkEnd w:id="5"/>
    </w:p>
    <w:p w14:paraId="17F44C6A" w14:textId="77777777" w:rsidR="006A498F" w:rsidRPr="00B3139A" w:rsidRDefault="006A498F" w:rsidP="006A498F">
      <w:pPr>
        <w:pStyle w:val="EPComma"/>
      </w:pPr>
      <w:bookmarkStart w:id="6" w:name="TextBodyBegin"/>
      <w:bookmarkEnd w:id="6"/>
      <w:r w:rsidRPr="00B3139A">
        <w:rPr>
          <w:i/>
          <w:iCs/>
        </w:rPr>
        <w:t>Parlamentul European</w:t>
      </w:r>
      <w:r w:rsidRPr="00B3139A">
        <w:t>,</w:t>
      </w:r>
    </w:p>
    <w:p w14:paraId="12243CC7" w14:textId="77777777" w:rsidR="006A498F" w:rsidRPr="00B3139A" w:rsidRDefault="006A498F" w:rsidP="006A498F">
      <w:pPr>
        <w:pStyle w:val="NormalHanging12a"/>
      </w:pPr>
      <w:r w:rsidRPr="00B3139A">
        <w:t>–</w:t>
      </w:r>
      <w:r w:rsidRPr="00B3139A">
        <w:tab/>
        <w:t>având în vedere proiectul de decizie de punere în aplicare a Comisiei de autorizare a introducerii pe piață a produselor care conțin, constau în sau sunt fabricate din soia modificată genetic DBN-09004-6, în temeiul Regulamentului (CE) nr. 1829/2003 al Parlamentului European și al Consiliului (D111472/02),</w:t>
      </w:r>
    </w:p>
    <w:p w14:paraId="133C4F99" w14:textId="77777777" w:rsidR="006A498F" w:rsidRPr="00B3139A" w:rsidRDefault="006A498F" w:rsidP="006A498F">
      <w:pPr>
        <w:pStyle w:val="NormalHanging12a"/>
      </w:pPr>
      <w:r w:rsidRPr="00B3139A">
        <w:t>–</w:t>
      </w:r>
      <w:r w:rsidRPr="00B3139A">
        <w:tab/>
        <w:t>având în vedere Regulamentul (CE) nr. 1829/2003 al Parlamentului European și al Consiliului din 22 septembrie 2003 privind produsele alimentare și furajele modificate genetic</w:t>
      </w:r>
      <w:r w:rsidRPr="00B3139A">
        <w:rPr>
          <w:rStyle w:val="FootnoteReference"/>
        </w:rPr>
        <w:footnoteReference w:id="1"/>
      </w:r>
      <w:r w:rsidRPr="00B3139A">
        <w:t>, în special articolul 7 alineatul (3) și articolul 19 alineatul (3),</w:t>
      </w:r>
    </w:p>
    <w:p w14:paraId="0BC667FE" w14:textId="3A2B9610" w:rsidR="006A498F" w:rsidRPr="00B3139A" w:rsidRDefault="006A498F" w:rsidP="006A498F">
      <w:pPr>
        <w:pStyle w:val="NormalHanging12a"/>
      </w:pPr>
      <w:r w:rsidRPr="00B3139A">
        <w:t>–</w:t>
      </w:r>
      <w:r w:rsidRPr="00B3139A">
        <w:tab/>
        <w:t>având în vedere votul din 12 decembrie 2025 al Comitetului permanent pentru plante, animale, produse alimentare și hrană pentru animale, menționat la articolul 35 din Regulamentul (CE) nr. 1829/2003, în urma căruia nu s-a emis niciun aviz</w:t>
      </w:r>
      <w:bookmarkStart w:id="7" w:name="_Hlk219206484"/>
      <w:r w:rsidRPr="00B3139A">
        <w:t>,</w:t>
      </w:r>
      <w:bookmarkEnd w:id="7"/>
      <w:r w:rsidR="00275098" w:rsidRPr="00B3139A">
        <w:t xml:space="preserve"> și votul Comitetului de apel din 27 ianuarie 202</w:t>
      </w:r>
      <w:r w:rsidR="00470B32" w:rsidRPr="00B3139A">
        <w:t>6</w:t>
      </w:r>
      <w:r w:rsidR="00275098" w:rsidRPr="00B3139A">
        <w:t>, în urma căruia, din nou, nu a fost emis niciun aviz,</w:t>
      </w:r>
    </w:p>
    <w:p w14:paraId="559032B8" w14:textId="77777777" w:rsidR="006A498F" w:rsidRPr="00B3139A" w:rsidRDefault="006A498F" w:rsidP="006A498F">
      <w:pPr>
        <w:pStyle w:val="NormalHanging12a"/>
      </w:pPr>
      <w:r w:rsidRPr="00B3139A">
        <w:t>–</w:t>
      </w:r>
      <w:r w:rsidRPr="00B3139A">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B3139A">
        <w:rPr>
          <w:rStyle w:val="FootnoteReference"/>
        </w:rPr>
        <w:footnoteReference w:id="2"/>
      </w:r>
      <w:r w:rsidRPr="00B3139A">
        <w:t>,</w:t>
      </w:r>
    </w:p>
    <w:p w14:paraId="17F6A692" w14:textId="77777777" w:rsidR="006A498F" w:rsidRPr="00B3139A" w:rsidRDefault="006A498F" w:rsidP="006A498F">
      <w:pPr>
        <w:pStyle w:val="NormalHanging12a"/>
      </w:pPr>
      <w:r w:rsidRPr="00B3139A">
        <w:t>–</w:t>
      </w:r>
      <w:r w:rsidRPr="00B3139A">
        <w:tab/>
        <w:t>având în vedere avizul adoptat de Autoritatea Europeană pentru Siguranța Alimentară (EFSA) la 21 mai 2025 și publicat la 7 iulie 2025</w:t>
      </w:r>
      <w:r w:rsidRPr="00B3139A">
        <w:rPr>
          <w:vertAlign w:val="superscript"/>
        </w:rPr>
        <w:footnoteReference w:id="3"/>
      </w:r>
      <w:r w:rsidRPr="00B3139A">
        <w:t>,</w:t>
      </w:r>
    </w:p>
    <w:p w14:paraId="6C60EDD4" w14:textId="77777777" w:rsidR="006A498F" w:rsidRPr="00B3139A" w:rsidRDefault="006A498F" w:rsidP="006A498F">
      <w:pPr>
        <w:pStyle w:val="NormalHanging12a"/>
      </w:pPr>
      <w:r w:rsidRPr="00B3139A">
        <w:t>–</w:t>
      </w:r>
      <w:r w:rsidRPr="00B3139A">
        <w:tab/>
        <w:t xml:space="preserve">având în vedere rezoluțiile sale anterioare în care se opune autorizării organismelor </w:t>
      </w:r>
      <w:r w:rsidRPr="00B3139A">
        <w:lastRenderedPageBreak/>
        <w:t>modificate genetic („OMG”)</w:t>
      </w:r>
      <w:r w:rsidRPr="00B3139A">
        <w:rPr>
          <w:vertAlign w:val="superscript"/>
        </w:rPr>
        <w:footnoteReference w:id="4"/>
      </w:r>
      <w:r w:rsidRPr="00B3139A">
        <w:t>,</w:t>
      </w:r>
    </w:p>
    <w:p w14:paraId="5D90C018" w14:textId="77777777" w:rsidR="006A498F" w:rsidRPr="00B3139A" w:rsidRDefault="006A498F" w:rsidP="006A498F">
      <w:pPr>
        <w:pStyle w:val="NormalHanging12a"/>
      </w:pPr>
      <w:r w:rsidRPr="00B3139A">
        <w:lastRenderedPageBreak/>
        <w:t>–</w:t>
      </w:r>
      <w:r w:rsidRPr="00B3139A">
        <w:tab/>
        <w:t>având în vedere articolul 115 alineatele (2) și (3) din Regulamentul său de procedură,</w:t>
      </w:r>
    </w:p>
    <w:p w14:paraId="15265015" w14:textId="77777777" w:rsidR="006A498F" w:rsidRPr="00B3139A" w:rsidRDefault="006A498F" w:rsidP="006A498F">
      <w:pPr>
        <w:pStyle w:val="NormalHanging12a"/>
      </w:pPr>
      <w:r w:rsidRPr="00B3139A">
        <w:t>–</w:t>
      </w:r>
      <w:r w:rsidRPr="00B3139A">
        <w:tab/>
        <w:t>având în vedere propunerea de rezoluție a Comisiei pentru mediu, climă și siguranță alimentară,</w:t>
      </w:r>
    </w:p>
    <w:p w14:paraId="79DAF6AA" w14:textId="77777777" w:rsidR="006A498F" w:rsidRPr="00B3139A" w:rsidRDefault="006A498F" w:rsidP="006A498F">
      <w:pPr>
        <w:pStyle w:val="NormalHanging12a"/>
        <w:ind w:hanging="570"/>
      </w:pPr>
      <w:r w:rsidRPr="00B3139A">
        <w:t>A.</w:t>
      </w:r>
      <w:r w:rsidRPr="00B3139A">
        <w:tab/>
        <w:t xml:space="preserve">întrucât la 20 decembrie 2019, </w:t>
      </w:r>
      <w:proofErr w:type="spellStart"/>
      <w:r w:rsidRPr="00B3139A">
        <w:t>Perseus</w:t>
      </w:r>
      <w:proofErr w:type="spellEnd"/>
      <w:r w:rsidRPr="00B3139A">
        <w:t xml:space="preserve"> BV, cu sediul în Belgia, a transmis, în numele Beijing </w:t>
      </w:r>
      <w:proofErr w:type="spellStart"/>
      <w:r w:rsidRPr="00B3139A">
        <w:t>DaBeiNong</w:t>
      </w:r>
      <w:proofErr w:type="spellEnd"/>
      <w:r w:rsidRPr="00B3139A">
        <w:t xml:space="preserve"> </w:t>
      </w:r>
      <w:proofErr w:type="spellStart"/>
      <w:r w:rsidRPr="00B3139A">
        <w:t>Biotechnology</w:t>
      </w:r>
      <w:proofErr w:type="spellEnd"/>
      <w:r w:rsidRPr="00B3139A">
        <w:t xml:space="preserve"> Co., Ltd., cu sediul în China, </w:t>
      </w:r>
      <w:r w:rsidRPr="00B3139A">
        <w:rPr>
          <w:snapToGrid w:val="0"/>
        </w:rPr>
        <w:t>o cerere adresată autorității naționale competente din Belgia pentru</w:t>
      </w:r>
      <w:r w:rsidRPr="00B3139A">
        <w:t xml:space="preserve"> introducerea pe piață a unor produse alimentare, a unor ingrediente alimentare și a unor furaje care conțin, constau în sau sunt fabricate din soia modificată genetic DBN-09004-6 (denumită în continuare „soia modificată genetic”), în concordanță cu articolele 5 și 17 din Regulamentul (CE) nr. 1829/2003; întrucât cererea viza, de asemenea, introducerea pe piață a unor produse care conțin sau constau în soia modificată genetic, destinate altor utilizări decât pentru alimente și furaje, cu excepția cultivării;</w:t>
      </w:r>
    </w:p>
    <w:p w14:paraId="6035CB12" w14:textId="77777777" w:rsidR="006A498F" w:rsidRPr="00B3139A" w:rsidRDefault="006A498F" w:rsidP="006A498F">
      <w:pPr>
        <w:pStyle w:val="NormalHanging12a"/>
        <w:ind w:hanging="570"/>
      </w:pPr>
      <w:bookmarkStart w:id="8" w:name="_Hlk218675754"/>
      <w:r w:rsidRPr="00B3139A">
        <w:t>B.</w:t>
      </w:r>
      <w:r w:rsidRPr="00B3139A">
        <w:tab/>
        <w:t>întrucât, la 7 iulie 2025, EFSA a emis un aviz științific favorabil, în conformitate cu articolele 6 și 18 din Regulamentul (CE) nr. 1829/2003, în care a concluzionat că soia modificată genetic, astfel cum este descrisă în cerere, este la fel de sigură ca varianta sa convențională și ca varietățile de soia de referință nemodificate genetic testate, în ceea ce privește efectele potențiale asupra sănătății umane și animale și asupra mediului; întrucât avizul respectiv nu a abordat mai multe efecte mai ample de natură ambientală, socioeconomice și cumulative, despre care EFSA consideră că se află în afara sferei sale de competență;</w:t>
      </w:r>
    </w:p>
    <w:p w14:paraId="0ABC605D" w14:textId="77777777" w:rsidR="006A498F" w:rsidRPr="00B3139A" w:rsidRDefault="006A498F" w:rsidP="006A498F">
      <w:pPr>
        <w:pStyle w:val="NormalHanging12a"/>
        <w:ind w:hanging="570"/>
      </w:pPr>
      <w:r w:rsidRPr="00B3139A">
        <w:t>C.</w:t>
      </w:r>
      <w:r w:rsidRPr="00B3139A">
        <w:tab/>
        <w:t xml:space="preserve">întrucât soia modificată genetic a fost dezvoltată pentru a-i conferi toleranță la </w:t>
      </w:r>
      <w:proofErr w:type="spellStart"/>
      <w:r w:rsidRPr="00B3139A">
        <w:t>glufosinat</w:t>
      </w:r>
      <w:proofErr w:type="spellEnd"/>
      <w:r w:rsidRPr="00B3139A">
        <w:t xml:space="preserve"> și </w:t>
      </w:r>
      <w:proofErr w:type="spellStart"/>
      <w:r w:rsidRPr="00B3139A">
        <w:t>glifosat</w:t>
      </w:r>
      <w:proofErr w:type="spellEnd"/>
      <w:r w:rsidRPr="00B3139A">
        <w:t>;</w:t>
      </w:r>
    </w:p>
    <w:bookmarkEnd w:id="8"/>
    <w:p w14:paraId="77C975B2" w14:textId="77777777" w:rsidR="006A498F" w:rsidRPr="00B3139A" w:rsidRDefault="006A498F" w:rsidP="006A498F">
      <w:pPr>
        <w:pStyle w:val="NormalHanging12a"/>
      </w:pPr>
      <w:r w:rsidRPr="00B3139A">
        <w:t>D.</w:t>
      </w:r>
      <w:r w:rsidRPr="00B3139A">
        <w:tab/>
        <w:t>întrucât evaluarea riscurilor efectuată de EFSA nu a inclus studii toxicologice pe termen lung și nici nu a analizat în detaliu efectele cumulative și combinate, inclusiv posibilele interacțiuni cu reziduuri de pesticide utilizate în mod obișnuit la cultivarea de soia;</w:t>
      </w:r>
    </w:p>
    <w:p w14:paraId="06B52A6C" w14:textId="77777777" w:rsidR="006A498F" w:rsidRPr="00B3139A" w:rsidRDefault="006A498F" w:rsidP="006A498F">
      <w:pPr>
        <w:pStyle w:val="NormalHanging12a"/>
        <w:rPr>
          <w:color w:val="000000" w:themeColor="text1"/>
          <w:szCs w:val="24"/>
        </w:rPr>
      </w:pPr>
      <w:r w:rsidRPr="00B3139A">
        <w:rPr>
          <w:color w:val="000000" w:themeColor="text1"/>
        </w:rPr>
        <w:t>E.</w:t>
      </w:r>
      <w:r w:rsidRPr="00B3139A">
        <w:rPr>
          <w:color w:val="000000" w:themeColor="text1"/>
        </w:rPr>
        <w:tab/>
      </w:r>
      <w:r w:rsidRPr="00B3139A">
        <w:t xml:space="preserve">întrucât marea majoritate a culturilor modificate genetic, inclusiv soia modificată genetic, au fost modificate genetic astfel încât să fie tolerante la unul sau mai multe erbicide „complementare” care pot fi utilizate pe tot parcursul cultivării culturii modificate genetic, fără ca aceasta să fie distrusă, așa cum s-ar întâmpla în cazul unei culturi netolerante la erbicide; </w:t>
      </w:r>
      <w:r w:rsidRPr="00B3139A">
        <w:rPr>
          <w:color w:val="000000" w:themeColor="text1"/>
        </w:rPr>
        <w:t xml:space="preserve">întrucât o serie de studii arată că în cazul culturilor </w:t>
      </w:r>
      <w:r w:rsidRPr="00B3139A">
        <w:rPr>
          <w:color w:val="000000" w:themeColor="text1"/>
        </w:rPr>
        <w:lastRenderedPageBreak/>
        <w:t>modificate genetic tolerante la erbicide se utilizează cantități mai mari de erbicide „complementare”, în mare parte din cauza apariției unor buruieni tolerante la erbicide</w:t>
      </w:r>
      <w:r w:rsidRPr="00B3139A">
        <w:rPr>
          <w:rStyle w:val="FootnoteReference"/>
          <w:color w:val="000000" w:themeColor="text1"/>
          <w:szCs w:val="24"/>
        </w:rPr>
        <w:footnoteReference w:id="5"/>
      </w:r>
      <w:r w:rsidRPr="00B3139A">
        <w:rPr>
          <w:color w:val="000000" w:themeColor="text1"/>
        </w:rPr>
        <w:t>;</w:t>
      </w:r>
    </w:p>
    <w:p w14:paraId="6F293557" w14:textId="77777777" w:rsidR="006A498F" w:rsidRPr="00B3139A" w:rsidRDefault="006A498F" w:rsidP="006A498F">
      <w:pPr>
        <w:spacing w:after="240"/>
        <w:ind w:left="567" w:hanging="567"/>
        <w:rPr>
          <w:color w:val="000000" w:themeColor="text1"/>
          <w:szCs w:val="24"/>
        </w:rPr>
      </w:pPr>
      <w:r w:rsidRPr="00B3139A">
        <w:t>F.</w:t>
      </w:r>
      <w:r w:rsidRPr="00B3139A">
        <w:tab/>
        <w:t>întrucât culturile modificate genetic tolerante la erbicide fac ca agricultorii să rămână blocați într-un sistem de gestionare a buruienilor care depinde în mare parte sau în totalitate de erbicide, deoarece semințele modificate genetic au un preț mai mare, care poate fi justificat doar dacă agricultorii care cumpără aceste semințe pulverizează pe câmp și erbicidele complementare;</w:t>
      </w:r>
      <w:r w:rsidRPr="00B3139A">
        <w:rPr>
          <w:color w:val="000000" w:themeColor="text1"/>
        </w:rPr>
        <w:t xml:space="preserve"> întrucât dependența mai mare de erbicidele complementare în fermele care plantează soia modificată genetic vor accelera apariția și răspândirea unor buruieni rezistente la erbicidele respective, făcând astfel să crească și mai mult cantitatea de erbicid utilizată, un cerc vicios cunoscut sub numele de „spirala erbicidelor”; întrucât, în consecință, efectele dăunătoare ale dependenței excesive de erbicide asupra sănătății solului, calității apei și biodiversității din sol și de la suprafața solului se vor agrava și vor amplifica expunerea oamenilor și a animalelor, eventual și prin creșterea cantității de reziduuri de erbicide în alimente și furaje</w:t>
      </w:r>
      <w:r w:rsidRPr="00B3139A">
        <w:rPr>
          <w:rStyle w:val="FootnoteReference"/>
          <w:color w:val="000000" w:themeColor="text1"/>
          <w:szCs w:val="24"/>
        </w:rPr>
        <w:footnoteReference w:id="6"/>
      </w:r>
      <w:r w:rsidRPr="00B3139A">
        <w:rPr>
          <w:color w:val="000000" w:themeColor="text1"/>
        </w:rPr>
        <w:t>;</w:t>
      </w:r>
    </w:p>
    <w:p w14:paraId="1AF04F15" w14:textId="77777777" w:rsidR="006A498F" w:rsidRPr="00B3139A" w:rsidRDefault="006A498F" w:rsidP="006A498F">
      <w:pPr>
        <w:pStyle w:val="NormalWeb"/>
        <w:widowControl w:val="0"/>
        <w:spacing w:before="0" w:beforeAutospacing="0" w:after="240" w:afterAutospacing="0"/>
        <w:ind w:left="567" w:hanging="567"/>
      </w:pPr>
      <w:r w:rsidRPr="00B3139A">
        <w:t>G.</w:t>
      </w:r>
      <w:r w:rsidRPr="00B3139A">
        <w:tab/>
        <w:t xml:space="preserve">întrucât </w:t>
      </w:r>
      <w:proofErr w:type="spellStart"/>
      <w:r w:rsidRPr="00B3139A">
        <w:t>glufosinatul</w:t>
      </w:r>
      <w:proofErr w:type="spellEnd"/>
      <w:r w:rsidRPr="00B3139A">
        <w:t xml:space="preserve"> este clasificat drept toxic pentru reproducere în categoria 1B și, prin urmare, îndeplinește criteriile de excludere prevăzute în Regulamentul (CE) nr. 1107/2009 al Parlamentului European și al Consiliului</w:t>
      </w:r>
      <w:r w:rsidRPr="00B3139A">
        <w:rPr>
          <w:rStyle w:val="FootnoteReference"/>
        </w:rPr>
        <w:footnoteReference w:id="7"/>
      </w:r>
      <w:r w:rsidRPr="00B3139A">
        <w:t xml:space="preserve">; întrucât autorizarea utilizării </w:t>
      </w:r>
      <w:proofErr w:type="spellStart"/>
      <w:r w:rsidRPr="00B3139A">
        <w:t>glufosinatului</w:t>
      </w:r>
      <w:proofErr w:type="spellEnd"/>
      <w:r w:rsidRPr="00B3139A">
        <w:t xml:space="preserve"> în Uniune a expirat la 31 iulie 2018;</w:t>
      </w:r>
    </w:p>
    <w:p w14:paraId="10169181" w14:textId="77777777" w:rsidR="006A498F" w:rsidRPr="00B3139A" w:rsidRDefault="006A498F" w:rsidP="006A498F">
      <w:pPr>
        <w:pStyle w:val="NormalHanging12a"/>
      </w:pPr>
      <w:r w:rsidRPr="00B3139A">
        <w:t>H.</w:t>
      </w:r>
      <w:r w:rsidRPr="00B3139A">
        <w:tab/>
        <w:t xml:space="preserve">întrucât există în continuare incertitudini serioase în legătură cu potențialul cancerigen al </w:t>
      </w:r>
      <w:proofErr w:type="spellStart"/>
      <w:r w:rsidRPr="00B3139A">
        <w:t>glifosatului</w:t>
      </w:r>
      <w:proofErr w:type="spellEnd"/>
      <w:r w:rsidRPr="00B3139A">
        <w:t xml:space="preserve">; întrucât, în noiembrie 2015, EFSA a ajuns la concluzia că este puțin probabil ca </w:t>
      </w:r>
      <w:proofErr w:type="spellStart"/>
      <w:r w:rsidRPr="00B3139A">
        <w:t>glifosatul</w:t>
      </w:r>
      <w:proofErr w:type="spellEnd"/>
      <w:r w:rsidRPr="00B3139A">
        <w:t xml:space="preserve"> să fie cancerigen, iar Agenția Europeană pentru Produse Chimice a concluzionat, în martie 2017, că nu se justifică nicio clasificare a acestei substanțe ca atare; întrucât, dimpotrivă, în 2015, Agenția Internațională pentru Cercetare în Domeniul Cancerului, agenția specializată în domeniul cancerului a Organizației Mondiale a Sănătății, a clasificat </w:t>
      </w:r>
      <w:proofErr w:type="spellStart"/>
      <w:r w:rsidRPr="00B3139A">
        <w:t>glifosatul</w:t>
      </w:r>
      <w:proofErr w:type="spellEnd"/>
      <w:r w:rsidRPr="00B3139A">
        <w:t xml:space="preserve"> drept substanță probabil cancerigenă pentru oameni; întrucât o serie de studii științifice recente, evaluate </w:t>
      </w:r>
      <w:r w:rsidRPr="00B3139A">
        <w:rPr>
          <w:i/>
          <w:iCs/>
        </w:rPr>
        <w:t>inter </w:t>
      </w:r>
      <w:proofErr w:type="spellStart"/>
      <w:r w:rsidRPr="00B3139A">
        <w:rPr>
          <w:i/>
          <w:iCs/>
        </w:rPr>
        <w:t>pares</w:t>
      </w:r>
      <w:proofErr w:type="spellEnd"/>
      <w:r w:rsidRPr="00B3139A">
        <w:t xml:space="preserve">, confirmă că </w:t>
      </w:r>
      <w:proofErr w:type="spellStart"/>
      <w:r w:rsidRPr="00B3139A">
        <w:t>glifosatul</w:t>
      </w:r>
      <w:proofErr w:type="spellEnd"/>
      <w:r w:rsidRPr="00B3139A">
        <w:t xml:space="preserve"> are un potențial cancerigen</w:t>
      </w:r>
      <w:r w:rsidRPr="00B3139A">
        <w:rPr>
          <w:rStyle w:val="FootnoteReference"/>
        </w:rPr>
        <w:footnoteReference w:id="8"/>
      </w:r>
      <w:r w:rsidRPr="00B3139A">
        <w:t xml:space="preserve">; întrucât revista </w:t>
      </w:r>
      <w:proofErr w:type="spellStart"/>
      <w:r w:rsidRPr="00B3139A">
        <w:rPr>
          <w:i/>
          <w:iCs/>
        </w:rPr>
        <w:t>Regulatory</w:t>
      </w:r>
      <w:proofErr w:type="spellEnd"/>
      <w:r w:rsidRPr="00B3139A">
        <w:rPr>
          <w:i/>
          <w:iCs/>
        </w:rPr>
        <w:t xml:space="preserve"> </w:t>
      </w:r>
      <w:proofErr w:type="spellStart"/>
      <w:r w:rsidRPr="00B3139A">
        <w:rPr>
          <w:i/>
          <w:iCs/>
        </w:rPr>
        <w:t>Toxicology</w:t>
      </w:r>
      <w:proofErr w:type="spellEnd"/>
      <w:r w:rsidRPr="00B3139A">
        <w:rPr>
          <w:i/>
          <w:iCs/>
        </w:rPr>
        <w:t xml:space="preserve"> </w:t>
      </w:r>
      <w:proofErr w:type="spellStart"/>
      <w:r w:rsidRPr="00B3139A">
        <w:rPr>
          <w:i/>
          <w:iCs/>
        </w:rPr>
        <w:t>and</w:t>
      </w:r>
      <w:proofErr w:type="spellEnd"/>
      <w:r w:rsidRPr="00B3139A">
        <w:rPr>
          <w:i/>
          <w:iCs/>
        </w:rPr>
        <w:t xml:space="preserve"> </w:t>
      </w:r>
      <w:proofErr w:type="spellStart"/>
      <w:r w:rsidRPr="00B3139A">
        <w:rPr>
          <w:i/>
          <w:iCs/>
        </w:rPr>
        <w:t>Pharmacology</w:t>
      </w:r>
      <w:proofErr w:type="spellEnd"/>
      <w:r w:rsidRPr="00B3139A">
        <w:t xml:space="preserve"> a retras oficial documentul științific intitulat „</w:t>
      </w:r>
      <w:proofErr w:type="spellStart"/>
      <w:r w:rsidRPr="00B3139A">
        <w:t>Safety</w:t>
      </w:r>
      <w:proofErr w:type="spellEnd"/>
      <w:r w:rsidRPr="00B3139A">
        <w:t xml:space="preserve"> </w:t>
      </w:r>
      <w:proofErr w:type="spellStart"/>
      <w:r w:rsidRPr="00B3139A">
        <w:t>Evaluation</w:t>
      </w:r>
      <w:proofErr w:type="spellEnd"/>
      <w:r w:rsidRPr="00B3139A">
        <w:t xml:space="preserve"> </w:t>
      </w:r>
      <w:proofErr w:type="spellStart"/>
      <w:r w:rsidRPr="00B3139A">
        <w:t>and</w:t>
      </w:r>
      <w:proofErr w:type="spellEnd"/>
      <w:r w:rsidRPr="00B3139A">
        <w:t xml:space="preserve"> </w:t>
      </w:r>
      <w:proofErr w:type="spellStart"/>
      <w:r w:rsidRPr="00B3139A">
        <w:t>Risk</w:t>
      </w:r>
      <w:proofErr w:type="spellEnd"/>
      <w:r w:rsidRPr="00B3139A">
        <w:t xml:space="preserve"> </w:t>
      </w:r>
      <w:proofErr w:type="spellStart"/>
      <w:r w:rsidRPr="00B3139A">
        <w:t>Assessment</w:t>
      </w:r>
      <w:proofErr w:type="spellEnd"/>
      <w:r w:rsidRPr="00B3139A">
        <w:t xml:space="preserve"> of </w:t>
      </w:r>
      <w:proofErr w:type="spellStart"/>
      <w:r w:rsidRPr="00B3139A">
        <w:t>the</w:t>
      </w:r>
      <w:proofErr w:type="spellEnd"/>
      <w:r w:rsidRPr="00B3139A">
        <w:t xml:space="preserve"> </w:t>
      </w:r>
      <w:proofErr w:type="spellStart"/>
      <w:r w:rsidRPr="00B3139A">
        <w:t>Herbicide</w:t>
      </w:r>
      <w:proofErr w:type="spellEnd"/>
      <w:r w:rsidRPr="00B3139A">
        <w:t xml:space="preserve"> </w:t>
      </w:r>
      <w:proofErr w:type="spellStart"/>
      <w:r w:rsidRPr="00B3139A">
        <w:t>Roundup</w:t>
      </w:r>
      <w:proofErr w:type="spellEnd"/>
      <w:r w:rsidRPr="00B3139A">
        <w:t xml:space="preserve"> </w:t>
      </w:r>
      <w:proofErr w:type="spellStart"/>
      <w:r w:rsidRPr="00B3139A">
        <w:t>and</w:t>
      </w:r>
      <w:proofErr w:type="spellEnd"/>
      <w:r w:rsidRPr="00B3139A">
        <w:t xml:space="preserve"> </w:t>
      </w:r>
      <w:proofErr w:type="spellStart"/>
      <w:r w:rsidRPr="00B3139A">
        <w:t>Its</w:t>
      </w:r>
      <w:proofErr w:type="spellEnd"/>
      <w:r w:rsidRPr="00B3139A">
        <w:t xml:space="preserve"> Active Ingredient, </w:t>
      </w:r>
      <w:proofErr w:type="spellStart"/>
      <w:r w:rsidRPr="00B3139A">
        <w:t>Glyphosate</w:t>
      </w:r>
      <w:proofErr w:type="spellEnd"/>
      <w:r w:rsidRPr="00B3139A">
        <w:t xml:space="preserve">, for </w:t>
      </w:r>
      <w:proofErr w:type="spellStart"/>
      <w:r w:rsidRPr="00B3139A">
        <w:t>Humans</w:t>
      </w:r>
      <w:proofErr w:type="spellEnd"/>
      <w:r w:rsidRPr="00B3139A">
        <w:t xml:space="preserve">” (Evaluarea siguranței și a riscurilor pe care le prezintă pentru oameni erbicidul </w:t>
      </w:r>
      <w:proofErr w:type="spellStart"/>
      <w:r w:rsidRPr="00B3139A">
        <w:t>Roundup</w:t>
      </w:r>
      <w:proofErr w:type="spellEnd"/>
      <w:r w:rsidRPr="00B3139A">
        <w:t xml:space="preserve"> și ingredientul său activ, </w:t>
      </w:r>
      <w:proofErr w:type="spellStart"/>
      <w:r w:rsidRPr="00B3139A">
        <w:t>glifosatul</w:t>
      </w:r>
      <w:proofErr w:type="spellEnd"/>
      <w:r w:rsidRPr="00B3139A">
        <w:t xml:space="preserve">), publicat în 2000, care a fost </w:t>
      </w:r>
      <w:r w:rsidRPr="00B3139A">
        <w:lastRenderedPageBreak/>
        <w:t xml:space="preserve">utilizat pentru a susține, în numeroase evaluări ale riscurilor, că </w:t>
      </w:r>
      <w:proofErr w:type="spellStart"/>
      <w:r w:rsidRPr="00B3139A">
        <w:t>glifosatul</w:t>
      </w:r>
      <w:proofErr w:type="spellEnd"/>
      <w:r w:rsidRPr="00B3139A">
        <w:t xml:space="preserve"> poate fi utilizat în condiții de siguranță, deoarece „au fost exprimate preocupări cu privire la paternitatea acestuia, la validitatea rezultatelor cercetării în contextul prezentării eronate a contribuțiilor de către autori și sponsorul studiului și la potențialele conflicte de interese ale autorilor”</w:t>
      </w:r>
      <w:r w:rsidRPr="00B3139A">
        <w:rPr>
          <w:rStyle w:val="FootnoteReference"/>
        </w:rPr>
        <w:footnoteReference w:id="9"/>
      </w:r>
      <w:r w:rsidRPr="00B3139A">
        <w:t>;</w:t>
      </w:r>
    </w:p>
    <w:p w14:paraId="4CD8B02B" w14:textId="77777777" w:rsidR="006A498F" w:rsidRPr="00B3139A" w:rsidRDefault="006A498F" w:rsidP="006A498F">
      <w:pPr>
        <w:pStyle w:val="NormalHanging12a"/>
      </w:pPr>
      <w:r w:rsidRPr="00B3139A">
        <w:t>I.</w:t>
      </w:r>
      <w:r w:rsidRPr="00B3139A">
        <w:tab/>
        <w:t>întrucât monitorizarea și supravegherea independentă a potențialelor efecte adverse asupra biodiversității, sănătății solului, polenizatorilor și organismelor nevizate rămân insuficient garantate;</w:t>
      </w:r>
    </w:p>
    <w:p w14:paraId="2FEB4534" w14:textId="77777777" w:rsidR="006A498F" w:rsidRPr="00B3139A" w:rsidRDefault="006A498F" w:rsidP="006A498F">
      <w:pPr>
        <w:spacing w:after="240"/>
        <w:ind w:left="567" w:hanging="567"/>
      </w:pPr>
      <w:r w:rsidRPr="00B3139A">
        <w:t>J.</w:t>
      </w:r>
      <w:r w:rsidRPr="00B3139A">
        <w:tab/>
        <w:t>întrucât principiul precauției, consacrat la articolul 191 din Tratatul privind funcționarea Uniunii Europene, ar trebui să se aplice în cazurile de incertitudine științifică;</w:t>
      </w:r>
    </w:p>
    <w:p w14:paraId="6FCA9EB9" w14:textId="77777777" w:rsidR="006A498F" w:rsidRPr="00B3139A" w:rsidRDefault="006A498F" w:rsidP="006A498F">
      <w:pPr>
        <w:spacing w:after="240"/>
        <w:ind w:left="567" w:hanging="567"/>
      </w:pPr>
      <w:r w:rsidRPr="00B3139A">
        <w:t>K.</w:t>
      </w:r>
      <w:r w:rsidRPr="00B3139A">
        <w:tab/>
        <w:t>întrucât Regulamentul (CE) nr. 1829/2003 impune ca produsele alimentare și furajele modificate genetic să nu aibă efecte adverse asupra sănătății umane și animale sau asupra mediului;</w:t>
      </w:r>
    </w:p>
    <w:p w14:paraId="4B38204F" w14:textId="77777777" w:rsidR="006A498F" w:rsidRPr="00B3139A" w:rsidRDefault="006A498F" w:rsidP="006A498F">
      <w:pPr>
        <w:pStyle w:val="NormalWeb"/>
        <w:widowControl w:val="0"/>
        <w:spacing w:before="0" w:beforeAutospacing="0" w:after="240" w:afterAutospacing="0"/>
        <w:ind w:left="567" w:hanging="567"/>
      </w:pPr>
      <w:r w:rsidRPr="00B3139A">
        <w:t>L.</w:t>
      </w:r>
      <w:r w:rsidRPr="00B3139A">
        <w:tab/>
        <w:t>întrucât autorizarea de către Uniune a culturilor de soia modificată genetic nu ar fi în concordanță cu angajamentele internaționale privind reducerea utilizării pesticidelor</w:t>
      </w:r>
      <w:r w:rsidRPr="00B3139A">
        <w:rPr>
          <w:vertAlign w:val="superscript"/>
        </w:rPr>
        <w:footnoteReference w:id="10"/>
      </w:r>
      <w:r w:rsidRPr="00B3139A">
        <w:t xml:space="preserve">, având în vedere expunerea sporită a oamenilor, a animalelor și a mediului la </w:t>
      </w:r>
      <w:proofErr w:type="spellStart"/>
      <w:r w:rsidRPr="00B3139A">
        <w:t>glifosat</w:t>
      </w:r>
      <w:proofErr w:type="spellEnd"/>
      <w:r w:rsidRPr="00B3139A">
        <w:t xml:space="preserve"> și </w:t>
      </w:r>
      <w:proofErr w:type="spellStart"/>
      <w:r w:rsidRPr="00B3139A">
        <w:t>glufosinat</w:t>
      </w:r>
      <w:proofErr w:type="spellEnd"/>
      <w:r w:rsidRPr="00B3139A">
        <w:t xml:space="preserve"> în țările în care se cultivă această plantă modificată genetic tolerantă la erbicide, precum și consecințele potențial grave asupra sănătății asociate acestei expuneri;</w:t>
      </w:r>
    </w:p>
    <w:p w14:paraId="433C4F57" w14:textId="77777777" w:rsidR="006A498F" w:rsidRPr="00B3139A" w:rsidRDefault="006A498F" w:rsidP="006A498F">
      <w:pPr>
        <w:spacing w:after="240"/>
        <w:ind w:left="567" w:hanging="567"/>
      </w:pPr>
      <w:r w:rsidRPr="00B3139A">
        <w:t>M.</w:t>
      </w:r>
      <w:r w:rsidRPr="00B3139A">
        <w:tab/>
        <w:t>întrucât proiectul de decizie de punere în aplicare a Comisiei ar permite importuri în Uniune care nu respectă standardele aplicate de fermierii din Uniune, punându-i astfel într-o situație de dezavantaj concurențial;</w:t>
      </w:r>
    </w:p>
    <w:p w14:paraId="7BBC91DF" w14:textId="77777777" w:rsidR="006A498F" w:rsidRPr="00B3139A" w:rsidRDefault="006A498F" w:rsidP="006A498F">
      <w:pPr>
        <w:spacing w:after="240"/>
        <w:ind w:left="567" w:hanging="567"/>
      </w:pPr>
      <w:r w:rsidRPr="00B3139A">
        <w:t>N.</w:t>
      </w:r>
      <w:r w:rsidRPr="00B3139A">
        <w:tab/>
        <w:t>întrucât, în concluziile dialogului strategic privind viitorul agriculturii UE</w:t>
      </w:r>
      <w:r w:rsidRPr="00B3139A">
        <w:rPr>
          <w:rStyle w:val="FootnoteReference"/>
        </w:rPr>
        <w:footnoteReference w:id="11"/>
      </w:r>
      <w:r w:rsidRPr="00B3139A">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instituirea unor relații comerciale mai echitabile, la nivel mondial, în concordanță cu obiectivele pentru un mediu sănătos;</w:t>
      </w:r>
    </w:p>
    <w:p w14:paraId="0C350CFA" w14:textId="77777777" w:rsidR="006A498F" w:rsidRPr="00B3139A" w:rsidRDefault="006A498F" w:rsidP="006A498F">
      <w:pPr>
        <w:spacing w:after="240"/>
        <w:ind w:left="567" w:hanging="567"/>
      </w:pPr>
      <w:r w:rsidRPr="00B3139A">
        <w:t>O.</w:t>
      </w:r>
      <w:r w:rsidRPr="00B3139A">
        <w:tab/>
        <w:t>întrucât Parlamentul a subliniat în repetate rânduri că Comisia nu ar trebui să autorizeze OMG-uri în cazurile în care statele membre nu întrunesc o majoritate calificată în cadrul Comitetului permanent pentru plante, animale, produse alimentare și hrană pentru animale sau în cadrul Comitetului de apel, pentru a remedia deficitul de democrație persistent;</w:t>
      </w:r>
    </w:p>
    <w:p w14:paraId="6A3F9B20" w14:textId="77777777" w:rsidR="006A498F" w:rsidRPr="00B3139A" w:rsidRDefault="006A498F" w:rsidP="006A498F">
      <w:pPr>
        <w:pStyle w:val="NormalWeb"/>
        <w:widowControl w:val="0"/>
        <w:shd w:val="clear" w:color="auto" w:fill="FFFFFF"/>
        <w:spacing w:before="0" w:beforeAutospacing="0" w:after="240" w:afterAutospacing="0"/>
        <w:ind w:left="567" w:hanging="567"/>
        <w:rPr>
          <w:color w:val="000000" w:themeColor="text1"/>
        </w:rPr>
      </w:pPr>
      <w:r w:rsidRPr="00B3139A">
        <w:rPr>
          <w:color w:val="000000" w:themeColor="text1"/>
        </w:rPr>
        <w:t>P.</w:t>
      </w:r>
      <w:r w:rsidRPr="00B3139A">
        <w:rPr>
          <w:color w:val="000000" w:themeColor="text1"/>
        </w:rPr>
        <w:tab/>
        <w:t xml:space="preserve">întrucât, în pofida faptului că ea însăși recunoaște existența unui deficit de democrație, </w:t>
      </w:r>
      <w:r w:rsidRPr="00B3139A">
        <w:rPr>
          <w:color w:val="000000" w:themeColor="text1"/>
        </w:rPr>
        <w:lastRenderedPageBreak/>
        <w:t>lipsa de sprijin din partea statelor membre și obiecțiile Parlamentului, Comisia continuă să autorizeze OMG-uri;</w:t>
      </w:r>
    </w:p>
    <w:p w14:paraId="252EFF55" w14:textId="77777777" w:rsidR="006A498F" w:rsidRPr="00B3139A" w:rsidRDefault="006A498F" w:rsidP="006A498F">
      <w:pPr>
        <w:spacing w:after="240"/>
        <w:ind w:left="567" w:hanging="567"/>
      </w:pPr>
      <w:r w:rsidRPr="00B3139A">
        <w:t>Q.</w:t>
      </w:r>
      <w:r w:rsidRPr="00B3139A">
        <w:tab/>
        <w:t>întrucât abordarea de tip „O singură sănătate” presupune să se țină seama de interdependența dintre sănătatea umană, animală, a plantelor și a mediului atunci când se evaluează sustenabilitatea și siguranța pe termen lung a OMG-urilor,</w:t>
      </w:r>
    </w:p>
    <w:p w14:paraId="17061827" w14:textId="10162C79" w:rsidR="006A498F" w:rsidRPr="00B3139A" w:rsidRDefault="006A498F" w:rsidP="006A498F">
      <w:pPr>
        <w:spacing w:after="240"/>
        <w:ind w:left="567" w:hanging="567"/>
      </w:pPr>
      <w:r w:rsidRPr="00B3139A">
        <w:t>R.</w:t>
      </w:r>
      <w:r w:rsidRPr="00B3139A">
        <w:tab/>
        <w:t xml:space="preserve">întrucât prezenta rezoluție va fi </w:t>
      </w:r>
      <w:r w:rsidR="00275098" w:rsidRPr="00B3139A">
        <w:t>aproape cea de</w:t>
      </w:r>
      <w:r w:rsidR="001B77CF" w:rsidRPr="00B3139A">
        <w:t>-</w:t>
      </w:r>
      <w:r w:rsidRPr="00B3139A">
        <w:t xml:space="preserve">a 100-a rezoluție adoptată de Parlamentul European prin care acesta formulează obiecții față de autorizarea importurilor de OMG-uri, </w:t>
      </w:r>
    </w:p>
    <w:p w14:paraId="5FD95374" w14:textId="77777777" w:rsidR="006A498F" w:rsidRPr="00B3139A" w:rsidRDefault="006A498F" w:rsidP="006A498F">
      <w:pPr>
        <w:pStyle w:val="NormalHanging12a"/>
      </w:pPr>
      <w:r w:rsidRPr="00B3139A">
        <w:t>1.</w:t>
      </w:r>
      <w:r w:rsidRPr="00B3139A">
        <w:tab/>
        <w:t>consideră că proiectul de decizie de punere în aplicare a Comisiei depășește competențele de executare prevăzute în Regulamentul (CE) nr. 1829/2003;</w:t>
      </w:r>
    </w:p>
    <w:p w14:paraId="2F636754" w14:textId="77777777" w:rsidR="006A498F" w:rsidRPr="00B3139A" w:rsidRDefault="006A498F" w:rsidP="006A498F">
      <w:pPr>
        <w:pStyle w:val="NormalHanging12a"/>
      </w:pPr>
      <w:bookmarkStart w:id="9" w:name="_Hlk218675825"/>
      <w:r w:rsidRPr="00B3139A">
        <w:t>2.</w:t>
      </w:r>
      <w:r w:rsidRPr="00B3139A">
        <w:tab/>
        <w:t>consideră că proiectul de decizie de punere în aplicare a Comisiei nu este în concordanță cu dreptul Uniunii, întrucât este incompatibil cu obiectivul Regulamentului (CE) nr. 1829/2003, care, în conformitate cu principiile generale prevăzute de Regulamentul (CE) nr. 178/2002 al Parlamentului European și al Consiliului</w:t>
      </w:r>
      <w:r w:rsidRPr="00B3139A">
        <w:rPr>
          <w:vertAlign w:val="superscript"/>
        </w:rPr>
        <w:footnoteReference w:id="12"/>
      </w:r>
      <w:r w:rsidRPr="00B3139A">
        <w:t xml:space="preserve">, este de a furniza baza pentru asigurarea unui nivel ridicat de protecție a vieții și sănătății umane, a sănătății și bunăstării animalelor, a mediului și a intereselor consumatorilor în raport cu produsele alimentare și furajele modificate genetic, asigurând totodată funcționarea eficace a pieței interne; </w:t>
      </w:r>
    </w:p>
    <w:bookmarkEnd w:id="9"/>
    <w:p w14:paraId="137FC15C" w14:textId="77777777" w:rsidR="006A498F" w:rsidRPr="00B3139A" w:rsidRDefault="006A498F" w:rsidP="006A498F">
      <w:pPr>
        <w:pStyle w:val="NormalHanging12a"/>
      </w:pPr>
      <w:r w:rsidRPr="00B3139A">
        <w:t>3.</w:t>
      </w:r>
      <w:r w:rsidRPr="00B3139A">
        <w:tab/>
        <w:t>solicită Comisiei să își retragă proiectul de decizie de punere în aplicare;</w:t>
      </w:r>
    </w:p>
    <w:p w14:paraId="2729909C" w14:textId="77777777" w:rsidR="006A498F" w:rsidRPr="00B3139A" w:rsidRDefault="006A498F" w:rsidP="006A498F">
      <w:pPr>
        <w:spacing w:after="240"/>
        <w:ind w:left="567" w:hanging="567"/>
      </w:pPr>
      <w:r w:rsidRPr="00B3139A">
        <w:t>4.</w:t>
      </w:r>
      <w:r w:rsidRPr="00B3139A">
        <w:tab/>
        <w:t>îndeamnă Comisia să nu autorizeze soia modificată genetic deoarece nu există date suficiente privind impactul pe termen lung asupra biodiversității, a siguranței alimentare, a mijloacelor de subzistență ale fermierilor și a sănătății animalelor, în conformitate cu abordarea de tip „O singură sănătate”;</w:t>
      </w:r>
    </w:p>
    <w:p w14:paraId="009D6E44" w14:textId="77777777" w:rsidR="006A498F" w:rsidRPr="00B3139A" w:rsidRDefault="006A498F" w:rsidP="006A498F">
      <w:pPr>
        <w:spacing w:after="240"/>
        <w:ind w:left="567" w:hanging="567"/>
      </w:pPr>
      <w:bookmarkStart w:id="10" w:name="_Hlk210900300"/>
      <w:r w:rsidRPr="00B3139A">
        <w:t>5.</w:t>
      </w:r>
      <w:r w:rsidRPr="00B3139A">
        <w:tab/>
        <w:t>îndeamnă Comisia să prezinte, fără întârziere, o propunere legislativă de reformare a procedurii decizionale privind OMG-urile, pentru a răspunde obiecțiilor constante ale Parlamentului și lipsei sprijinului unei majorități calificate în rândul statelor membre</w:t>
      </w:r>
      <w:bookmarkEnd w:id="10"/>
      <w:r w:rsidRPr="00B3139A">
        <w:t>;</w:t>
      </w:r>
    </w:p>
    <w:p w14:paraId="329BE605" w14:textId="77777777" w:rsidR="006A498F" w:rsidRPr="00B3139A" w:rsidRDefault="006A498F" w:rsidP="006A498F">
      <w:pPr>
        <w:spacing w:after="240"/>
        <w:ind w:left="567" w:hanging="567"/>
      </w:pPr>
      <w:bookmarkStart w:id="11" w:name="_Hlk210900241"/>
      <w:r w:rsidRPr="00B3139A">
        <w:t>6.</w:t>
      </w:r>
      <w:r w:rsidRPr="00B3139A">
        <w:tab/>
        <w:t xml:space="preserve">subliniază, în acest sens, că autorizarea importului, pentru utilizări în produse alimentare, furaje sau produse, al oricărei plante modificate genetic care a devenit tolerantă la erbicide interzise în Uniune, cum ar fi </w:t>
      </w:r>
      <w:proofErr w:type="spellStart"/>
      <w:r w:rsidRPr="00B3139A">
        <w:t>glufosinatul</w:t>
      </w:r>
      <w:proofErr w:type="spellEnd"/>
      <w:r w:rsidRPr="00B3139A">
        <w:t xml:space="preserve">, este incompatibilă cu angajamentele internaționale asumate de Uniune în conformitate cu, printre altele, Convenția Organizației Națiunilor Unite (ONU) privind diversitatea biologică și Obiectivele de dezvoltare durabilă ale ONU, inclusiv Cadrul de la </w:t>
      </w:r>
      <w:proofErr w:type="spellStart"/>
      <w:r w:rsidRPr="00B3139A">
        <w:t>Kunming</w:t>
      </w:r>
      <w:proofErr w:type="spellEnd"/>
      <w:r w:rsidRPr="00B3139A">
        <w:t>-Montreal, și creează condiții de concurență inechitabile pentru fermierii din Uniune;</w:t>
      </w:r>
      <w:bookmarkEnd w:id="11"/>
    </w:p>
    <w:p w14:paraId="21D413F4" w14:textId="5355AA26" w:rsidR="00C349F8" w:rsidRPr="00B3139A" w:rsidRDefault="006A498F" w:rsidP="00C349F8">
      <w:pPr>
        <w:pStyle w:val="NormalHanging12a"/>
      </w:pPr>
      <w:r w:rsidRPr="00B3139A">
        <w:t>7.</w:t>
      </w:r>
      <w:r w:rsidRPr="00B3139A">
        <w:tab/>
        <w:t>încredințează Președintei sarcina de a transmite prezenta rezoluție Consiliului și Comisiei, precum și guvernelor și parlamentelor statelor membre.</w:t>
      </w:r>
    </w:p>
    <w:p w14:paraId="7D3C544C" w14:textId="389031E2" w:rsidR="00E365E1" w:rsidRPr="00B3139A" w:rsidRDefault="00E365E1" w:rsidP="008C7899"/>
    <w:sectPr w:rsidR="00E365E1" w:rsidRPr="00B3139A" w:rsidSect="00C349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D10F1" w14:textId="77777777" w:rsidR="008C7899" w:rsidRPr="00C349F8" w:rsidRDefault="008C7899">
      <w:r w:rsidRPr="00C349F8">
        <w:separator/>
      </w:r>
    </w:p>
  </w:endnote>
  <w:endnote w:type="continuationSeparator" w:id="0">
    <w:p w14:paraId="4BFD4F1A" w14:textId="77777777" w:rsidR="008C7899" w:rsidRPr="00C349F8" w:rsidRDefault="008C7899">
      <w:r w:rsidRPr="00C34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84C8" w14:textId="77777777" w:rsidR="00064002" w:rsidRPr="00C349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D63D" w14:textId="77777777" w:rsidR="00064002" w:rsidRPr="00C349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292A" w14:textId="77777777" w:rsidR="00064002" w:rsidRPr="00C349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C3369" w14:textId="77777777" w:rsidR="008C7899" w:rsidRPr="00C349F8" w:rsidRDefault="008C7899">
      <w:r w:rsidRPr="00C349F8">
        <w:separator/>
      </w:r>
    </w:p>
  </w:footnote>
  <w:footnote w:type="continuationSeparator" w:id="0">
    <w:p w14:paraId="64D6D2CE" w14:textId="77777777" w:rsidR="008C7899" w:rsidRPr="00C349F8" w:rsidRDefault="008C7899">
      <w:r w:rsidRPr="00C349F8">
        <w:continuationSeparator/>
      </w:r>
    </w:p>
  </w:footnote>
  <w:footnote w:id="1">
    <w:p w14:paraId="1C692AB0" w14:textId="02A90DD8"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JO L 268, 18.10.2003, p. 1, ELI: </w:t>
      </w:r>
      <w:hyperlink r:id="rId1" w:history="1">
        <w:r w:rsidRPr="00C349F8">
          <w:rPr>
            <w:rStyle w:val="Hyperlink"/>
            <w:sz w:val="24"/>
            <w:lang w:val="ro-RO"/>
          </w:rPr>
          <w:t>http://data.europa.eu/eli/reg/2003/1829/oj</w:t>
        </w:r>
      </w:hyperlink>
      <w:r w:rsidRPr="00C349F8">
        <w:rPr>
          <w:sz w:val="24"/>
          <w:u w:val="single"/>
          <w:lang w:val="ro-RO"/>
        </w:rPr>
        <w:t>.</w:t>
      </w:r>
    </w:p>
  </w:footnote>
  <w:footnote w:id="2">
    <w:p w14:paraId="09975ABD" w14:textId="1BE5A26E"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JO L 55, 28.2.2011, p. 13, ELI: </w:t>
      </w:r>
      <w:hyperlink r:id="rId2" w:history="1">
        <w:r w:rsidRPr="00C349F8">
          <w:rPr>
            <w:rStyle w:val="Hyperlink"/>
            <w:sz w:val="24"/>
            <w:lang w:val="ro-RO"/>
          </w:rPr>
          <w:t>http://data.europa.eu/eli/reg/2011/182/oj</w:t>
        </w:r>
      </w:hyperlink>
      <w:r w:rsidRPr="00C349F8">
        <w:rPr>
          <w:rStyle w:val="Hyperlink"/>
          <w:sz w:val="24"/>
          <w:lang w:val="ro-RO"/>
        </w:rPr>
        <w:t>.</w:t>
      </w:r>
    </w:p>
  </w:footnote>
  <w:footnote w:id="3">
    <w:p w14:paraId="0E80AC00" w14:textId="7934FABC"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Avizul științific al Grupului EFSA pentru organisme modificate genetic intitulat „</w:t>
      </w:r>
      <w:proofErr w:type="spellStart"/>
      <w:r w:rsidRPr="00C349F8">
        <w:rPr>
          <w:sz w:val="24"/>
          <w:lang w:val="ro-RO"/>
        </w:rPr>
        <w:t>Assessment</w:t>
      </w:r>
      <w:proofErr w:type="spellEnd"/>
      <w:r w:rsidRPr="00C349F8">
        <w:rPr>
          <w:sz w:val="24"/>
          <w:lang w:val="ro-RO"/>
        </w:rPr>
        <w:t xml:space="preserve"> of </w:t>
      </w:r>
      <w:proofErr w:type="spellStart"/>
      <w:r w:rsidRPr="00C349F8">
        <w:rPr>
          <w:sz w:val="24"/>
          <w:lang w:val="ro-RO"/>
        </w:rPr>
        <w:t>genetically</w:t>
      </w:r>
      <w:proofErr w:type="spellEnd"/>
      <w:r w:rsidRPr="00C349F8">
        <w:rPr>
          <w:sz w:val="24"/>
          <w:lang w:val="ro-RO"/>
        </w:rPr>
        <w:t xml:space="preserve"> </w:t>
      </w:r>
      <w:proofErr w:type="spellStart"/>
      <w:r w:rsidRPr="00C349F8">
        <w:rPr>
          <w:sz w:val="24"/>
          <w:lang w:val="ro-RO"/>
        </w:rPr>
        <w:t>modified</w:t>
      </w:r>
      <w:proofErr w:type="spellEnd"/>
      <w:r w:rsidRPr="00C349F8">
        <w:rPr>
          <w:sz w:val="24"/>
          <w:lang w:val="ro-RO"/>
        </w:rPr>
        <w:t xml:space="preserve"> </w:t>
      </w:r>
      <w:proofErr w:type="spellStart"/>
      <w:r w:rsidRPr="00C349F8">
        <w:rPr>
          <w:sz w:val="24"/>
          <w:lang w:val="ro-RO"/>
        </w:rPr>
        <w:t>soybean</w:t>
      </w:r>
      <w:proofErr w:type="spellEnd"/>
      <w:r w:rsidRPr="00C349F8">
        <w:rPr>
          <w:sz w:val="24"/>
          <w:lang w:val="ro-RO"/>
        </w:rPr>
        <w:t xml:space="preserve"> DBN9004 (application EFSA-GMO-BE-2019-165)”, </w:t>
      </w:r>
      <w:r w:rsidRPr="00C349F8">
        <w:rPr>
          <w:i/>
          <w:iCs/>
          <w:sz w:val="24"/>
          <w:lang w:val="ro-RO"/>
        </w:rPr>
        <w:t>EFSA Journal</w:t>
      </w:r>
      <w:r w:rsidRPr="00C349F8">
        <w:rPr>
          <w:sz w:val="24"/>
          <w:lang w:val="ro-RO"/>
        </w:rPr>
        <w:t xml:space="preserve"> 2025; 23(7):e9503, </w:t>
      </w:r>
      <w:hyperlink r:id="rId3" w:history="1">
        <w:r w:rsidRPr="00C349F8">
          <w:rPr>
            <w:rStyle w:val="Hyperlink"/>
            <w:sz w:val="24"/>
            <w:lang w:val="ro-RO"/>
          </w:rPr>
          <w:t>https://doi.org/10.2903/j.efsa.2025.9503</w:t>
        </w:r>
      </w:hyperlink>
      <w:r w:rsidRPr="00C349F8">
        <w:rPr>
          <w:sz w:val="24"/>
          <w:lang w:val="ro-RO"/>
        </w:rPr>
        <w:t xml:space="preserve">. </w:t>
      </w:r>
    </w:p>
  </w:footnote>
  <w:footnote w:id="4">
    <w:p w14:paraId="79533D56" w14:textId="048E82CD" w:rsidR="006A498F" w:rsidRPr="00C349F8" w:rsidRDefault="006A498F" w:rsidP="00C349F8">
      <w:pPr>
        <w:pStyle w:val="FootnoteText"/>
        <w:ind w:left="567" w:hanging="567"/>
        <w:rPr>
          <w:sz w:val="24"/>
          <w:vertAlign w:val="superscript"/>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În cea de a opta legislatură, Parlamentul a adoptat 36 de rezoluții, iar în cea de a noua legislatură, 38 de rezoluții în care se opune autorizării OMG-urilor. În plus, în cea de a zecea legislatură, Parlamentul a adoptat următoarele rezoluții:</w:t>
      </w:r>
    </w:p>
    <w:p w14:paraId="0964F512" w14:textId="362CB0A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4" w:history="1">
        <w:r w:rsidR="006A498F" w:rsidRPr="00C349F8">
          <w:rPr>
            <w:rStyle w:val="Hyperlink"/>
            <w:sz w:val="24"/>
            <w:lang w:val="ro-RO"/>
          </w:rPr>
          <w:t>http://data.europa.eu/eli/C/2025/1797/oj</w:t>
        </w:r>
      </w:hyperlink>
      <w:r w:rsidR="006A498F" w:rsidRPr="00C349F8">
        <w:rPr>
          <w:sz w:val="24"/>
          <w:lang w:val="ro-RO"/>
        </w:rPr>
        <w:t>).</w:t>
      </w:r>
    </w:p>
    <w:p w14:paraId="011A6B84" w14:textId="4893EDC0" w:rsidR="006A498F" w:rsidRPr="00C349F8" w:rsidRDefault="00C349F8" w:rsidP="00C349F8">
      <w:pPr>
        <w:pStyle w:val="FootnoteText"/>
        <w:keepN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6A498F" w:rsidRPr="00C349F8">
          <w:rPr>
            <w:rStyle w:val="Hyperlink"/>
            <w:sz w:val="24"/>
            <w:lang w:val="ro-RO"/>
          </w:rPr>
          <w:t>http://data.europa.eu/eli/C/2025/1798/oj</w:t>
        </w:r>
      </w:hyperlink>
      <w:r w:rsidR="006A498F" w:rsidRPr="00C349F8">
        <w:rPr>
          <w:sz w:val="24"/>
          <w:lang w:val="ro-RO"/>
        </w:rPr>
        <w:t>).</w:t>
      </w:r>
    </w:p>
    <w:p w14:paraId="6D9B4E5D" w14:textId="2F08275A"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proofErr w:type="spellStart"/>
      <w:r w:rsidR="006A498F" w:rsidRPr="00C349F8">
        <w:rPr>
          <w:sz w:val="24"/>
          <w:lang w:val="ro-RO"/>
        </w:rPr>
        <w:t>subcombinațiile</w:t>
      </w:r>
      <w:proofErr w:type="spellEnd"/>
      <w:r w:rsidR="006A498F" w:rsidRPr="00C349F8">
        <w:rPr>
          <w:sz w:val="24"/>
          <w:lang w:val="ro-RO"/>
        </w:rPr>
        <w:t xml:space="preserve"> acestuia, în temeiul Regulamentului (CE) nr. 1829/2003 al Parlamentului European și al Consiliului (JO C, C/2025/1799, 4.4.2025, ELI: </w:t>
      </w:r>
      <w:hyperlink r:id="rId6" w:history="1">
        <w:r w:rsidR="006A498F" w:rsidRPr="00C349F8">
          <w:rPr>
            <w:rStyle w:val="Hyperlink"/>
            <w:sz w:val="24"/>
            <w:lang w:val="ro-RO"/>
          </w:rPr>
          <w:t>http://data.europa.eu/eli/C/2025/1799/oj</w:t>
        </w:r>
      </w:hyperlink>
      <w:r w:rsidR="006A498F" w:rsidRPr="00C349F8">
        <w:rPr>
          <w:sz w:val="24"/>
          <w:lang w:val="ro-RO"/>
        </w:rPr>
        <w:t>).</w:t>
      </w:r>
    </w:p>
    <w:p w14:paraId="7A1A3474" w14:textId="665AC57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6A498F" w:rsidRPr="00C349F8">
          <w:rPr>
            <w:rStyle w:val="Hyperlink"/>
            <w:sz w:val="24"/>
            <w:lang w:val="ro-RO"/>
          </w:rPr>
          <w:t>http://data.europa.eu/eli/C/2025/1800/oj</w:t>
        </w:r>
      </w:hyperlink>
      <w:r w:rsidR="006A498F" w:rsidRPr="00C349F8">
        <w:rPr>
          <w:sz w:val="24"/>
          <w:lang w:val="ro-RO"/>
        </w:rPr>
        <w:t>).</w:t>
      </w:r>
    </w:p>
    <w:p w14:paraId="5A5B3675" w14:textId="3EFB73C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6A498F" w:rsidRPr="00C349F8">
          <w:rPr>
            <w:rStyle w:val="Hyperlink"/>
            <w:sz w:val="24"/>
            <w:lang w:val="ro-RO"/>
          </w:rPr>
          <w:t>http://data.europa.eu/eli/C/2025/1801/oj</w:t>
        </w:r>
      </w:hyperlink>
      <w:r w:rsidR="006A498F" w:rsidRPr="00C349F8">
        <w:rPr>
          <w:sz w:val="24"/>
          <w:lang w:val="ro-RO"/>
        </w:rPr>
        <w:t>).</w:t>
      </w:r>
    </w:p>
    <w:p w14:paraId="78450B21" w14:textId="128E2BB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6A498F" w:rsidRPr="00C349F8">
          <w:rPr>
            <w:rStyle w:val="Hyperlink"/>
            <w:sz w:val="24"/>
            <w:lang w:val="ro-RO"/>
          </w:rPr>
          <w:t>http://data.europa.eu/eli/C/2025/1802/oj</w:t>
        </w:r>
      </w:hyperlink>
      <w:r w:rsidR="006A498F" w:rsidRPr="00C349F8">
        <w:rPr>
          <w:sz w:val="24"/>
          <w:lang w:val="ro-RO"/>
        </w:rPr>
        <w:t>).</w:t>
      </w:r>
    </w:p>
    <w:p w14:paraId="0BC8EF05" w14:textId="6A3BB990"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6A498F" w:rsidRPr="00C349F8">
          <w:rPr>
            <w:rStyle w:val="Hyperlink"/>
            <w:sz w:val="24"/>
            <w:lang w:val="ro-RO"/>
          </w:rPr>
          <w:t>http://data.europa.eu/eli/C/2025/1803/oj</w:t>
        </w:r>
      </w:hyperlink>
      <w:r w:rsidR="006A498F" w:rsidRPr="00C349F8">
        <w:rPr>
          <w:sz w:val="24"/>
          <w:lang w:val="ro-RO"/>
        </w:rPr>
        <w:t>).</w:t>
      </w:r>
    </w:p>
    <w:p w14:paraId="36865A60" w14:textId="1CC3456D"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6A498F" w:rsidRPr="00C349F8">
          <w:rPr>
            <w:rStyle w:val="Hyperlink"/>
            <w:sz w:val="24"/>
            <w:lang w:val="ro-RO"/>
          </w:rPr>
          <w:t>http://data.europa.eu/eli/C/2025/1804/oj</w:t>
        </w:r>
      </w:hyperlink>
      <w:r w:rsidR="006A498F" w:rsidRPr="00C349F8">
        <w:rPr>
          <w:sz w:val="24"/>
          <w:lang w:val="ro-RO"/>
        </w:rPr>
        <w:t>).</w:t>
      </w:r>
    </w:p>
    <w:p w14:paraId="5B45DA42" w14:textId="7F704E58"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tooltip="Oferă acces la acest document prin intermediul identificatorului uniform de resurse ELI." w:history="1">
        <w:r w:rsidR="006A498F" w:rsidRPr="00C349F8">
          <w:rPr>
            <w:rStyle w:val="Hyperlink"/>
            <w:sz w:val="24"/>
            <w:lang w:val="ro-RO"/>
          </w:rPr>
          <w:t>http://data.europa.eu/eli/C/2025/2246/oj</w:t>
        </w:r>
      </w:hyperlink>
      <w:r w:rsidR="006A498F" w:rsidRPr="00C349F8">
        <w:rPr>
          <w:sz w:val="24"/>
          <w:lang w:val="ro-RO"/>
        </w:rPr>
        <w:t>).</w:t>
      </w:r>
    </w:p>
    <w:p w14:paraId="21D2F776" w14:textId="02770C5B"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history="1">
        <w:r w:rsidR="006A498F" w:rsidRPr="00C349F8">
          <w:rPr>
            <w:rStyle w:val="Hyperlink"/>
            <w:sz w:val="24"/>
            <w:lang w:val="ro-RO"/>
          </w:rPr>
          <w:t>http://data.europa.eu/eli/C/2025/2247/oj</w:t>
        </w:r>
      </w:hyperlink>
      <w:r w:rsidR="006A498F" w:rsidRPr="00C349F8">
        <w:rPr>
          <w:sz w:val="24"/>
          <w:lang w:val="ro-RO"/>
        </w:rPr>
        <w:t>).</w:t>
      </w:r>
    </w:p>
    <w:p w14:paraId="356C2968" w14:textId="394DF183"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w:t>
      </w:r>
      <w:r w:rsidR="00184EDC">
        <w:rPr>
          <w:sz w:val="24"/>
          <w:lang w:val="ro-RO"/>
        </w:rPr>
        <w:t xml:space="preserve">Texte adoptate, </w:t>
      </w:r>
      <w:r w:rsidR="006A498F" w:rsidRPr="00C349F8">
        <w:rPr>
          <w:sz w:val="24"/>
          <w:lang w:val="ro-RO"/>
        </w:rPr>
        <w:t>P10_TA(2025)0106).</w:t>
      </w:r>
    </w:p>
    <w:p w14:paraId="117D55D3" w14:textId="7E73689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w:t>
      </w:r>
      <w:r w:rsidR="00184EDC">
        <w:rPr>
          <w:sz w:val="24"/>
          <w:lang w:val="ro-RO"/>
        </w:rPr>
        <w:t xml:space="preserve">Texte adoptate, </w:t>
      </w:r>
      <w:r w:rsidR="006A498F" w:rsidRPr="00C349F8">
        <w:rPr>
          <w:sz w:val="24"/>
          <w:lang w:val="ro-RO"/>
        </w:rPr>
        <w:t>P10_TA(2025)0222).</w:t>
      </w:r>
    </w:p>
    <w:p w14:paraId="1052275E" w14:textId="0A30DD2E"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w:t>
      </w:r>
      <w:r w:rsidR="00184EDC">
        <w:rPr>
          <w:sz w:val="24"/>
          <w:lang w:val="ro-RO"/>
        </w:rPr>
        <w:t xml:space="preserve">Texte adoptate, </w:t>
      </w:r>
      <w:r w:rsidR="006A498F" w:rsidRPr="00C349F8">
        <w:rPr>
          <w:sz w:val="24"/>
          <w:lang w:val="ro-RO"/>
        </w:rPr>
        <w:t>P10_TA(2025)0288).</w:t>
      </w:r>
    </w:p>
    <w:p w14:paraId="3ABCFEF7" w14:textId="26B029E5"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w:t>
      </w:r>
      <w:r w:rsidR="00184EDC">
        <w:rPr>
          <w:sz w:val="24"/>
          <w:lang w:val="ro-RO"/>
        </w:rPr>
        <w:t xml:space="preserve">Texte adoptate, </w:t>
      </w:r>
      <w:r w:rsidR="006A498F" w:rsidRPr="00C349F8">
        <w:rPr>
          <w:sz w:val="24"/>
          <w:lang w:val="ro-RO"/>
        </w:rPr>
        <w:t>P10_TA(2025)0289).</w:t>
      </w:r>
    </w:p>
    <w:p w14:paraId="7F8E1DF2" w14:textId="283C2781"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w:t>
      </w:r>
      <w:r w:rsidR="00184EDC">
        <w:rPr>
          <w:sz w:val="24"/>
          <w:lang w:val="ro-RO"/>
        </w:rPr>
        <w:t xml:space="preserve">Texte adoptate, </w:t>
      </w:r>
      <w:r w:rsidR="006A498F" w:rsidRPr="00C349F8">
        <w:rPr>
          <w:sz w:val="24"/>
          <w:lang w:val="ro-RO"/>
        </w:rPr>
        <w:t>P10_TA(2025)0290).</w:t>
      </w:r>
    </w:p>
    <w:p w14:paraId="0A1FD36A" w14:textId="0C466080"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w:t>
      </w:r>
      <w:r w:rsidR="00184EDC">
        <w:rPr>
          <w:sz w:val="24"/>
          <w:lang w:val="ro-RO"/>
        </w:rPr>
        <w:t xml:space="preserve">Texte adoptate, </w:t>
      </w:r>
      <w:r w:rsidR="006A498F" w:rsidRPr="00C349F8">
        <w:rPr>
          <w:sz w:val="24"/>
          <w:lang w:val="ro-RO"/>
        </w:rPr>
        <w:t>P10_TA(2025)0291).</w:t>
      </w:r>
    </w:p>
    <w:p w14:paraId="01FE3EC9" w14:textId="653EADA6"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porumb modificat genetic MON 87427, în temeiul Regulamentului (CE) nr. 1829/2003 al Parlamentului European și al Consiliului (</w:t>
      </w:r>
      <w:r w:rsidR="00184EDC">
        <w:rPr>
          <w:sz w:val="24"/>
          <w:lang w:val="ro-RO"/>
        </w:rPr>
        <w:t xml:space="preserve">Texte adoptate, </w:t>
      </w:r>
      <w:r w:rsidR="006A498F" w:rsidRPr="00C349F8">
        <w:rPr>
          <w:sz w:val="24"/>
          <w:lang w:val="ro-RO"/>
        </w:rPr>
        <w:t>P10_TA(2025)0292).</w:t>
      </w:r>
    </w:p>
    <w:p w14:paraId="11BB5E1E" w14:textId="40E2A4E6" w:rsidR="006A498F" w:rsidRPr="00C349F8" w:rsidRDefault="00C349F8" w:rsidP="00C349F8">
      <w:pPr>
        <w:pStyle w:val="FootnoteText"/>
        <w:ind w:left="567" w:hanging="567"/>
        <w:rPr>
          <w:sz w:val="24"/>
          <w:vertAlign w:val="superscript"/>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16 decembrie 2025 referitoare la proiectul de decizie de punere în aplicare a Comisiei de reînnoire a autorizației de introducere pe piață a produselor care conțin, sunt compuse sau fabricate din porumb modificat genetic NK603, în temeiul Regulamentului (CE) nr. 1829/2003 al Parlamentului European și al Consiliului (</w:t>
      </w:r>
      <w:r w:rsidR="00184EDC">
        <w:rPr>
          <w:sz w:val="24"/>
          <w:lang w:val="ro-RO"/>
        </w:rPr>
        <w:t xml:space="preserve">Texte adoptate, </w:t>
      </w:r>
      <w:r w:rsidR="006A498F" w:rsidRPr="00C349F8">
        <w:rPr>
          <w:sz w:val="24"/>
          <w:lang w:val="ro-RO"/>
        </w:rPr>
        <w:t>P10_TA(2025)0327).</w:t>
      </w:r>
    </w:p>
    <w:p w14:paraId="5C16681C" w14:textId="498385A3" w:rsidR="006A498F" w:rsidRPr="00C349F8" w:rsidRDefault="00C349F8" w:rsidP="00C349F8">
      <w:pPr>
        <w:pStyle w:val="FootnoteText"/>
        <w:ind w:left="567" w:hanging="567"/>
        <w:rPr>
          <w:sz w:val="24"/>
          <w:lang w:val="ro-RO"/>
        </w:rPr>
      </w:pPr>
      <w:r w:rsidRPr="00C349F8">
        <w:rPr>
          <w:sz w:val="24"/>
          <w:lang w:val="ro-RO"/>
        </w:rPr>
        <w:t xml:space="preserve"> </w:t>
      </w:r>
      <w:r w:rsidRPr="00C349F8">
        <w:rPr>
          <w:sz w:val="24"/>
          <w:lang w:val="ro-RO"/>
        </w:rPr>
        <w:tab/>
      </w:r>
      <w:r w:rsidR="006A498F" w:rsidRPr="00C349F8">
        <w:rPr>
          <w:sz w:val="24"/>
          <w:lang w:val="ro-RO"/>
        </w:rPr>
        <w:t>–</w:t>
      </w:r>
      <w:r w:rsidR="006A498F" w:rsidRPr="00C349F8">
        <w:rPr>
          <w:sz w:val="24"/>
          <w:lang w:val="ro-RO"/>
        </w:rPr>
        <w:tab/>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w:t>
      </w:r>
      <w:r w:rsidR="00184EDC">
        <w:rPr>
          <w:sz w:val="24"/>
          <w:lang w:val="ro-RO"/>
        </w:rPr>
        <w:t xml:space="preserve">Texte adoptate, </w:t>
      </w:r>
      <w:r w:rsidR="006A498F" w:rsidRPr="00C349F8">
        <w:rPr>
          <w:sz w:val="24"/>
          <w:lang w:val="ro-RO"/>
        </w:rPr>
        <w:t>P10_TA(2025)0328).</w:t>
      </w:r>
    </w:p>
  </w:footnote>
  <w:footnote w:id="5">
    <w:p w14:paraId="62A4E864" w14:textId="66DB13FD"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shd w:val="clear" w:color="auto" w:fill="FFFFFF"/>
          <w:lang w:val="ro-RO"/>
        </w:rPr>
        <w:t xml:space="preserve"> </w:t>
      </w:r>
      <w:r w:rsidR="00C349F8" w:rsidRPr="00C349F8">
        <w:rPr>
          <w:sz w:val="24"/>
          <w:shd w:val="clear" w:color="auto" w:fill="FFFFFF"/>
          <w:lang w:val="ro-RO"/>
        </w:rPr>
        <w:tab/>
      </w:r>
      <w:r w:rsidRPr="00C349F8">
        <w:rPr>
          <w:sz w:val="24"/>
          <w:shd w:val="clear" w:color="auto" w:fill="FFFFFF"/>
          <w:lang w:val="ro-RO"/>
        </w:rPr>
        <w:t xml:space="preserve">A se vedea, de exemplu, </w:t>
      </w:r>
      <w:proofErr w:type="spellStart"/>
      <w:r w:rsidRPr="00C349F8">
        <w:rPr>
          <w:sz w:val="24"/>
          <w:shd w:val="clear" w:color="auto" w:fill="FFFFFF"/>
          <w:lang w:val="ro-RO"/>
        </w:rPr>
        <w:t>Bonny</w:t>
      </w:r>
      <w:proofErr w:type="spellEnd"/>
      <w:r w:rsidRPr="00C349F8">
        <w:rPr>
          <w:sz w:val="24"/>
          <w:shd w:val="clear" w:color="auto" w:fill="FFFFFF"/>
          <w:lang w:val="ro-RO"/>
        </w:rPr>
        <w:t>, S., „</w:t>
      </w:r>
      <w:proofErr w:type="spellStart"/>
      <w:r w:rsidRPr="00C349F8">
        <w:rPr>
          <w:sz w:val="24"/>
          <w:shd w:val="clear" w:color="auto" w:fill="FFFFFF"/>
          <w:lang w:val="ro-RO"/>
        </w:rPr>
        <w:t>Genetically</w:t>
      </w:r>
      <w:proofErr w:type="spellEnd"/>
      <w:r w:rsidRPr="00C349F8">
        <w:rPr>
          <w:sz w:val="24"/>
          <w:shd w:val="clear" w:color="auto" w:fill="FFFFFF"/>
          <w:lang w:val="ro-RO"/>
        </w:rPr>
        <w:t xml:space="preserve"> </w:t>
      </w:r>
      <w:proofErr w:type="spellStart"/>
      <w:r w:rsidRPr="00C349F8">
        <w:rPr>
          <w:sz w:val="24"/>
          <w:shd w:val="clear" w:color="auto" w:fill="FFFFFF"/>
          <w:lang w:val="ro-RO"/>
        </w:rPr>
        <w:t>Modified</w:t>
      </w:r>
      <w:proofErr w:type="spellEnd"/>
      <w:r w:rsidRPr="00C349F8">
        <w:rPr>
          <w:sz w:val="24"/>
          <w:shd w:val="clear" w:color="auto" w:fill="FFFFFF"/>
          <w:lang w:val="ro-RO"/>
        </w:rPr>
        <w:t xml:space="preserve"> </w:t>
      </w:r>
      <w:proofErr w:type="spellStart"/>
      <w:r w:rsidRPr="00C349F8">
        <w:rPr>
          <w:sz w:val="24"/>
          <w:shd w:val="clear" w:color="auto" w:fill="FFFFFF"/>
          <w:lang w:val="ro-RO"/>
        </w:rPr>
        <w:t>Herbicide</w:t>
      </w:r>
      <w:proofErr w:type="spellEnd"/>
      <w:r w:rsidRPr="00C349F8">
        <w:rPr>
          <w:sz w:val="24"/>
          <w:shd w:val="clear" w:color="auto" w:fill="FFFFFF"/>
          <w:lang w:val="ro-RO"/>
        </w:rPr>
        <w:t xml:space="preserve">-Tolerant </w:t>
      </w:r>
      <w:proofErr w:type="spellStart"/>
      <w:r w:rsidRPr="00C349F8">
        <w:rPr>
          <w:sz w:val="24"/>
          <w:shd w:val="clear" w:color="auto" w:fill="FFFFFF"/>
          <w:lang w:val="ro-RO"/>
        </w:rPr>
        <w:t>Crops</w:t>
      </w:r>
      <w:proofErr w:type="spellEnd"/>
      <w:r w:rsidRPr="00C349F8">
        <w:rPr>
          <w:sz w:val="24"/>
          <w:shd w:val="clear" w:color="auto" w:fill="FFFFFF"/>
          <w:lang w:val="ro-RO"/>
        </w:rPr>
        <w:t xml:space="preserve">, </w:t>
      </w:r>
      <w:proofErr w:type="spellStart"/>
      <w:r w:rsidRPr="00C349F8">
        <w:rPr>
          <w:sz w:val="24"/>
          <w:shd w:val="clear" w:color="auto" w:fill="FFFFFF"/>
          <w:lang w:val="ro-RO"/>
        </w:rPr>
        <w:t>Weeds</w:t>
      </w:r>
      <w:proofErr w:type="spellEnd"/>
      <w:r w:rsidRPr="00C349F8">
        <w:rPr>
          <w:sz w:val="24"/>
          <w:shd w:val="clear" w:color="auto" w:fill="FFFFFF"/>
          <w:lang w:val="ro-RO"/>
        </w:rPr>
        <w:t xml:space="preserve">, </w:t>
      </w:r>
      <w:proofErr w:type="spellStart"/>
      <w:r w:rsidRPr="00C349F8">
        <w:rPr>
          <w:sz w:val="24"/>
          <w:shd w:val="clear" w:color="auto" w:fill="FFFFFF"/>
          <w:lang w:val="ro-RO"/>
        </w:rPr>
        <w:t>and</w:t>
      </w:r>
      <w:proofErr w:type="spellEnd"/>
      <w:r w:rsidRPr="00C349F8">
        <w:rPr>
          <w:sz w:val="24"/>
          <w:shd w:val="clear" w:color="auto" w:fill="FFFFFF"/>
          <w:lang w:val="ro-RO"/>
        </w:rPr>
        <w:t xml:space="preserve"> </w:t>
      </w:r>
      <w:proofErr w:type="spellStart"/>
      <w:r w:rsidRPr="00C349F8">
        <w:rPr>
          <w:sz w:val="24"/>
          <w:shd w:val="clear" w:color="auto" w:fill="FFFFFF"/>
          <w:lang w:val="ro-RO"/>
        </w:rPr>
        <w:t>Herbicides</w:t>
      </w:r>
      <w:proofErr w:type="spellEnd"/>
      <w:r w:rsidRPr="00C349F8">
        <w:rPr>
          <w:sz w:val="24"/>
          <w:shd w:val="clear" w:color="auto" w:fill="FFFFFF"/>
          <w:lang w:val="ro-RO"/>
        </w:rPr>
        <w:t xml:space="preserve">: </w:t>
      </w:r>
      <w:proofErr w:type="spellStart"/>
      <w:r w:rsidRPr="00C349F8">
        <w:rPr>
          <w:sz w:val="24"/>
          <w:shd w:val="clear" w:color="auto" w:fill="FFFFFF"/>
          <w:lang w:val="ro-RO"/>
        </w:rPr>
        <w:t>Overview</w:t>
      </w:r>
      <w:proofErr w:type="spellEnd"/>
      <w:r w:rsidRPr="00C349F8">
        <w:rPr>
          <w:sz w:val="24"/>
          <w:shd w:val="clear" w:color="auto" w:fill="FFFFFF"/>
          <w:lang w:val="ro-RO"/>
        </w:rPr>
        <w:t xml:space="preserve"> </w:t>
      </w:r>
      <w:proofErr w:type="spellStart"/>
      <w:r w:rsidRPr="00C349F8">
        <w:rPr>
          <w:sz w:val="24"/>
          <w:shd w:val="clear" w:color="auto" w:fill="FFFFFF"/>
          <w:lang w:val="ro-RO"/>
        </w:rPr>
        <w:t>and</w:t>
      </w:r>
      <w:proofErr w:type="spellEnd"/>
      <w:r w:rsidRPr="00C349F8">
        <w:rPr>
          <w:sz w:val="24"/>
          <w:shd w:val="clear" w:color="auto" w:fill="FFFFFF"/>
          <w:lang w:val="ro-RO"/>
        </w:rPr>
        <w:t xml:space="preserve"> Impact” (Culturile modificate genetic tolerante la erbicide, buruienile și erbicidele: prezentare generală și impact), </w:t>
      </w:r>
      <w:proofErr w:type="spellStart"/>
      <w:r w:rsidRPr="00C349F8">
        <w:rPr>
          <w:i/>
          <w:iCs/>
          <w:sz w:val="24"/>
          <w:shd w:val="clear" w:color="auto" w:fill="FFFFFF"/>
          <w:lang w:val="ro-RO"/>
        </w:rPr>
        <w:t>Environmental</w:t>
      </w:r>
      <w:proofErr w:type="spellEnd"/>
      <w:r w:rsidRPr="00C349F8">
        <w:rPr>
          <w:i/>
          <w:iCs/>
          <w:sz w:val="24"/>
          <w:shd w:val="clear" w:color="auto" w:fill="FFFFFF"/>
          <w:lang w:val="ro-RO"/>
        </w:rPr>
        <w:t xml:space="preserve"> Management</w:t>
      </w:r>
      <w:r w:rsidRPr="00C349F8">
        <w:rPr>
          <w:sz w:val="24"/>
          <w:shd w:val="clear" w:color="auto" w:fill="FFFFFF"/>
          <w:lang w:val="ro-RO"/>
        </w:rPr>
        <w:t xml:space="preserve">, ianuarie 2016, 57(1), p. 31-48, </w:t>
      </w:r>
      <w:hyperlink r:id="rId14" w:history="1">
        <w:r w:rsidRPr="00C349F8">
          <w:rPr>
            <w:rStyle w:val="Hyperlink"/>
            <w:sz w:val="24"/>
            <w:shd w:val="clear" w:color="auto" w:fill="FFFFFF"/>
            <w:lang w:val="ro-RO"/>
          </w:rPr>
          <w:t>https://doi.org/10.1007/s00267-015-0589-7</w:t>
        </w:r>
      </w:hyperlink>
      <w:r w:rsidRPr="00C349F8">
        <w:rPr>
          <w:sz w:val="24"/>
          <w:shd w:val="clear" w:color="auto" w:fill="FFFFFF"/>
          <w:lang w:val="ro-RO"/>
        </w:rPr>
        <w:t xml:space="preserve"> și </w:t>
      </w:r>
      <w:proofErr w:type="spellStart"/>
      <w:r w:rsidRPr="00C349F8">
        <w:rPr>
          <w:sz w:val="24"/>
          <w:shd w:val="clear" w:color="auto" w:fill="FFFFFF"/>
          <w:lang w:val="ro-RO"/>
        </w:rPr>
        <w:t>Benbrook</w:t>
      </w:r>
      <w:proofErr w:type="spellEnd"/>
      <w:r w:rsidRPr="00C349F8">
        <w:rPr>
          <w:sz w:val="24"/>
          <w:shd w:val="clear" w:color="auto" w:fill="FFFFFF"/>
          <w:lang w:val="ro-RO"/>
        </w:rPr>
        <w:t>, C.M., „</w:t>
      </w:r>
      <w:proofErr w:type="spellStart"/>
      <w:r w:rsidRPr="00C349F8">
        <w:rPr>
          <w:sz w:val="24"/>
          <w:shd w:val="clear" w:color="auto" w:fill="FFFFFF"/>
          <w:lang w:val="ro-RO"/>
        </w:rPr>
        <w:t>Impacts</w:t>
      </w:r>
      <w:proofErr w:type="spellEnd"/>
      <w:r w:rsidRPr="00C349F8">
        <w:rPr>
          <w:sz w:val="24"/>
          <w:shd w:val="clear" w:color="auto" w:fill="FFFFFF"/>
          <w:lang w:val="ro-RO"/>
        </w:rPr>
        <w:t xml:space="preserve"> of </w:t>
      </w:r>
      <w:proofErr w:type="spellStart"/>
      <w:r w:rsidRPr="00C349F8">
        <w:rPr>
          <w:sz w:val="24"/>
          <w:shd w:val="clear" w:color="auto" w:fill="FFFFFF"/>
          <w:lang w:val="ro-RO"/>
        </w:rPr>
        <w:t>genetically</w:t>
      </w:r>
      <w:proofErr w:type="spellEnd"/>
      <w:r w:rsidRPr="00C349F8">
        <w:rPr>
          <w:sz w:val="24"/>
          <w:shd w:val="clear" w:color="auto" w:fill="FFFFFF"/>
          <w:lang w:val="ro-RO"/>
        </w:rPr>
        <w:t xml:space="preserve"> </w:t>
      </w:r>
      <w:proofErr w:type="spellStart"/>
      <w:r w:rsidRPr="00C349F8">
        <w:rPr>
          <w:sz w:val="24"/>
          <w:shd w:val="clear" w:color="auto" w:fill="FFFFFF"/>
          <w:lang w:val="ro-RO"/>
        </w:rPr>
        <w:t>engineered</w:t>
      </w:r>
      <w:proofErr w:type="spellEnd"/>
      <w:r w:rsidRPr="00C349F8">
        <w:rPr>
          <w:sz w:val="24"/>
          <w:shd w:val="clear" w:color="auto" w:fill="FFFFFF"/>
          <w:lang w:val="ro-RO"/>
        </w:rPr>
        <w:t xml:space="preserve"> </w:t>
      </w:r>
      <w:proofErr w:type="spellStart"/>
      <w:r w:rsidRPr="00C349F8">
        <w:rPr>
          <w:sz w:val="24"/>
          <w:shd w:val="clear" w:color="auto" w:fill="FFFFFF"/>
          <w:lang w:val="ro-RO"/>
        </w:rPr>
        <w:t>crops</w:t>
      </w:r>
      <w:proofErr w:type="spellEnd"/>
      <w:r w:rsidRPr="00C349F8">
        <w:rPr>
          <w:sz w:val="24"/>
          <w:shd w:val="clear" w:color="auto" w:fill="FFFFFF"/>
          <w:lang w:val="ro-RO"/>
        </w:rPr>
        <w:t xml:space="preserve"> on pesticide </w:t>
      </w:r>
      <w:proofErr w:type="spellStart"/>
      <w:r w:rsidRPr="00C349F8">
        <w:rPr>
          <w:sz w:val="24"/>
          <w:shd w:val="clear" w:color="auto" w:fill="FFFFFF"/>
          <w:lang w:val="ro-RO"/>
        </w:rPr>
        <w:t>use</w:t>
      </w:r>
      <w:proofErr w:type="spellEnd"/>
      <w:r w:rsidRPr="00C349F8">
        <w:rPr>
          <w:sz w:val="24"/>
          <w:shd w:val="clear" w:color="auto" w:fill="FFFFFF"/>
          <w:lang w:val="ro-RO"/>
        </w:rPr>
        <w:t xml:space="preserve"> in </w:t>
      </w:r>
      <w:proofErr w:type="spellStart"/>
      <w:r w:rsidRPr="00C349F8">
        <w:rPr>
          <w:sz w:val="24"/>
          <w:shd w:val="clear" w:color="auto" w:fill="FFFFFF"/>
          <w:lang w:val="ro-RO"/>
        </w:rPr>
        <w:t>the</w:t>
      </w:r>
      <w:proofErr w:type="spellEnd"/>
      <w:r w:rsidRPr="00C349F8">
        <w:rPr>
          <w:sz w:val="24"/>
          <w:shd w:val="clear" w:color="auto" w:fill="FFFFFF"/>
          <w:lang w:val="ro-RO"/>
        </w:rPr>
        <w:t xml:space="preserve"> U.S. – </w:t>
      </w:r>
      <w:proofErr w:type="spellStart"/>
      <w:r w:rsidRPr="00C349F8">
        <w:rPr>
          <w:sz w:val="24"/>
          <w:shd w:val="clear" w:color="auto" w:fill="FFFFFF"/>
          <w:lang w:val="ro-RO"/>
        </w:rPr>
        <w:t>the</w:t>
      </w:r>
      <w:proofErr w:type="spellEnd"/>
      <w:r w:rsidRPr="00C349F8">
        <w:rPr>
          <w:sz w:val="24"/>
          <w:shd w:val="clear" w:color="auto" w:fill="FFFFFF"/>
          <w:lang w:val="ro-RO"/>
        </w:rPr>
        <w:t xml:space="preserve"> </w:t>
      </w:r>
      <w:proofErr w:type="spellStart"/>
      <w:r w:rsidRPr="00C349F8">
        <w:rPr>
          <w:sz w:val="24"/>
          <w:shd w:val="clear" w:color="auto" w:fill="FFFFFF"/>
          <w:lang w:val="ro-RO"/>
        </w:rPr>
        <w:t>first</w:t>
      </w:r>
      <w:proofErr w:type="spellEnd"/>
      <w:r w:rsidRPr="00C349F8">
        <w:rPr>
          <w:sz w:val="24"/>
          <w:shd w:val="clear" w:color="auto" w:fill="FFFFFF"/>
          <w:lang w:val="ro-RO"/>
        </w:rPr>
        <w:t xml:space="preserve"> </w:t>
      </w:r>
      <w:proofErr w:type="spellStart"/>
      <w:r w:rsidRPr="00C349F8">
        <w:rPr>
          <w:sz w:val="24"/>
          <w:shd w:val="clear" w:color="auto" w:fill="FFFFFF"/>
          <w:lang w:val="ro-RO"/>
        </w:rPr>
        <w:t>sixteen</w:t>
      </w:r>
      <w:proofErr w:type="spellEnd"/>
      <w:r w:rsidRPr="00C349F8">
        <w:rPr>
          <w:sz w:val="24"/>
          <w:shd w:val="clear" w:color="auto" w:fill="FFFFFF"/>
          <w:lang w:val="ro-RO"/>
        </w:rPr>
        <w:t xml:space="preserve"> </w:t>
      </w:r>
      <w:proofErr w:type="spellStart"/>
      <w:r w:rsidRPr="00C349F8">
        <w:rPr>
          <w:sz w:val="24"/>
          <w:shd w:val="clear" w:color="auto" w:fill="FFFFFF"/>
          <w:lang w:val="ro-RO"/>
        </w:rPr>
        <w:t>years</w:t>
      </w:r>
      <w:proofErr w:type="spellEnd"/>
      <w:r w:rsidRPr="00C349F8">
        <w:rPr>
          <w:sz w:val="24"/>
          <w:shd w:val="clear" w:color="auto" w:fill="FFFFFF"/>
          <w:lang w:val="ro-RO"/>
        </w:rPr>
        <w:t xml:space="preserve">” (Impactul culturilor modificate genetic asupra utilizării pesticidelor în SUA – primii 16 ani), </w:t>
      </w:r>
      <w:proofErr w:type="spellStart"/>
      <w:r w:rsidRPr="00C349F8">
        <w:rPr>
          <w:i/>
          <w:iCs/>
          <w:sz w:val="24"/>
          <w:shd w:val="clear" w:color="auto" w:fill="FFFFFF"/>
          <w:lang w:val="ro-RO"/>
        </w:rPr>
        <w:t>Environmental</w:t>
      </w:r>
      <w:proofErr w:type="spellEnd"/>
      <w:r w:rsidRPr="00C349F8">
        <w:rPr>
          <w:i/>
          <w:iCs/>
          <w:sz w:val="24"/>
          <w:shd w:val="clear" w:color="auto" w:fill="FFFFFF"/>
          <w:lang w:val="ro-RO"/>
        </w:rPr>
        <w:t xml:space="preserve"> </w:t>
      </w:r>
      <w:proofErr w:type="spellStart"/>
      <w:r w:rsidRPr="00C349F8">
        <w:rPr>
          <w:i/>
          <w:iCs/>
          <w:sz w:val="24"/>
          <w:shd w:val="clear" w:color="auto" w:fill="FFFFFF"/>
          <w:lang w:val="ro-RO"/>
        </w:rPr>
        <w:t>Sciences</w:t>
      </w:r>
      <w:proofErr w:type="spellEnd"/>
      <w:r w:rsidRPr="00C349F8">
        <w:rPr>
          <w:i/>
          <w:iCs/>
          <w:sz w:val="24"/>
          <w:shd w:val="clear" w:color="auto" w:fill="FFFFFF"/>
          <w:lang w:val="ro-RO"/>
        </w:rPr>
        <w:t xml:space="preserve"> Europe</w:t>
      </w:r>
      <w:r w:rsidRPr="00C349F8">
        <w:rPr>
          <w:sz w:val="24"/>
          <w:shd w:val="clear" w:color="auto" w:fill="FFFFFF"/>
          <w:lang w:val="ro-RO"/>
        </w:rPr>
        <w:t xml:space="preserve">; 28 septembrie 2012, vol. 24(1), </w:t>
      </w:r>
      <w:hyperlink r:id="rId15" w:history="1">
        <w:r w:rsidRPr="00C349F8">
          <w:rPr>
            <w:rStyle w:val="Hyperlink"/>
            <w:sz w:val="24"/>
            <w:lang w:val="ro-RO"/>
          </w:rPr>
          <w:t>https://doi.org/10.1186/2190-4715-24-24</w:t>
        </w:r>
      </w:hyperlink>
      <w:r w:rsidRPr="00C349F8">
        <w:rPr>
          <w:sz w:val="24"/>
          <w:lang w:val="ro-RO"/>
        </w:rPr>
        <w:t>.</w:t>
      </w:r>
      <w:r w:rsidRPr="00C349F8">
        <w:rPr>
          <w:sz w:val="24"/>
          <w:shd w:val="clear" w:color="auto" w:fill="FFFFFF"/>
          <w:lang w:val="ro-RO"/>
        </w:rPr>
        <w:t xml:space="preserve"> </w:t>
      </w:r>
    </w:p>
  </w:footnote>
  <w:footnote w:id="6">
    <w:p w14:paraId="6B742595" w14:textId="43441FF9" w:rsidR="006A498F" w:rsidRPr="00C349F8" w:rsidRDefault="006A498F" w:rsidP="00C349F8">
      <w:pPr>
        <w:pStyle w:val="FootnoteText"/>
        <w:ind w:left="567" w:hanging="567"/>
        <w:rPr>
          <w:sz w:val="24"/>
          <w:shd w:val="clear" w:color="auto" w:fill="FFFFFF"/>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 xml:space="preserve">A se vedea, de exemplu, </w:t>
      </w:r>
      <w:hyperlink r:id="rId16" w:history="1">
        <w:r w:rsidRPr="00C349F8">
          <w:rPr>
            <w:rStyle w:val="Hyperlink"/>
            <w:sz w:val="24"/>
            <w:lang w:val="ro-RO"/>
          </w:rPr>
          <w:t>https://doi.org/10.1002/ps.8105</w:t>
        </w:r>
      </w:hyperlink>
      <w:r w:rsidRPr="00C349F8">
        <w:rPr>
          <w:sz w:val="24"/>
          <w:shd w:val="clear" w:color="auto" w:fill="FFFFFF"/>
          <w:lang w:val="ro-RO"/>
        </w:rPr>
        <w:t xml:space="preserve"> și </w:t>
      </w:r>
      <w:hyperlink r:id="rId17" w:history="1">
        <w:r w:rsidRPr="00C349F8">
          <w:rPr>
            <w:rStyle w:val="Hyperlink"/>
            <w:sz w:val="24"/>
            <w:lang w:val="ro-RO"/>
          </w:rPr>
          <w:t>https://doi.org/10.1016/j.geoforum.2009.03.009</w:t>
        </w:r>
      </w:hyperlink>
      <w:r w:rsidRPr="00C349F8">
        <w:rPr>
          <w:sz w:val="24"/>
          <w:lang w:val="ro-RO"/>
        </w:rPr>
        <w:t>.</w:t>
      </w:r>
    </w:p>
  </w:footnote>
  <w:footnote w:id="7">
    <w:p w14:paraId="61D2BC7D" w14:textId="6B6C0FA7"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1, ELI: </w:t>
      </w:r>
      <w:hyperlink r:id="rId18" w:history="1">
        <w:r w:rsidRPr="00C349F8">
          <w:rPr>
            <w:rStyle w:val="Hyperlink"/>
            <w:sz w:val="24"/>
            <w:lang w:val="ro-RO"/>
          </w:rPr>
          <w:t>http://data.europa.eu/eli/reg/2009/1107/oj</w:t>
        </w:r>
      </w:hyperlink>
      <w:r w:rsidRPr="00C349F8">
        <w:rPr>
          <w:sz w:val="24"/>
          <w:lang w:val="ro-RO"/>
        </w:rPr>
        <w:t>).</w:t>
      </w:r>
    </w:p>
  </w:footnote>
  <w:footnote w:id="8">
    <w:p w14:paraId="6C95EEE2" w14:textId="2AF89154"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 xml:space="preserve">A se vedea, de exemplu, </w:t>
      </w:r>
      <w:hyperlink r:id="rId19" w:history="1">
        <w:r w:rsidRPr="00C349F8">
          <w:rPr>
            <w:rStyle w:val="Hyperlink"/>
            <w:sz w:val="24"/>
            <w:lang w:val="ro-RO"/>
          </w:rPr>
          <w:t>https://doi.org/10.1016/j.mrrev.2019.02.001</w:t>
        </w:r>
      </w:hyperlink>
      <w:r w:rsidRPr="00C349F8">
        <w:rPr>
          <w:sz w:val="24"/>
          <w:lang w:val="ro-RO"/>
        </w:rPr>
        <w:t xml:space="preserve">, </w:t>
      </w:r>
      <w:hyperlink r:id="rId20" w:history="1">
        <w:r w:rsidRPr="00C349F8">
          <w:rPr>
            <w:rStyle w:val="Hyperlink"/>
            <w:sz w:val="24"/>
            <w:lang w:val="ro-RO"/>
          </w:rPr>
          <w:t>https://doi.org/10.1093/ije/dyz017</w:t>
        </w:r>
      </w:hyperlink>
      <w:r w:rsidRPr="00C349F8">
        <w:rPr>
          <w:sz w:val="24"/>
          <w:lang w:val="ro-RO"/>
        </w:rPr>
        <w:t xml:space="preserve">, </w:t>
      </w:r>
      <w:hyperlink r:id="rId21" w:history="1">
        <w:r w:rsidRPr="00C349F8">
          <w:rPr>
            <w:rStyle w:val="Hyperlink"/>
            <w:sz w:val="24"/>
            <w:lang w:val="ro-RO"/>
          </w:rPr>
          <w:t>https://doi.org/10.1371/journal.pone.0219610</w:t>
        </w:r>
      </w:hyperlink>
      <w:r w:rsidRPr="00C349F8">
        <w:rPr>
          <w:sz w:val="24"/>
          <w:lang w:val="ro-RO"/>
        </w:rPr>
        <w:t xml:space="preserve"> și </w:t>
      </w:r>
      <w:hyperlink r:id="rId22" w:history="1">
        <w:r w:rsidRPr="00C349F8">
          <w:rPr>
            <w:rStyle w:val="Hyperlink"/>
            <w:sz w:val="24"/>
            <w:lang w:val="ro-RO"/>
          </w:rPr>
          <w:t>https://doi.org/10.1186/s13045-019-0767-9</w:t>
        </w:r>
      </w:hyperlink>
      <w:r w:rsidRPr="00C349F8">
        <w:rPr>
          <w:sz w:val="24"/>
          <w:lang w:val="ro-RO"/>
        </w:rPr>
        <w:t>.</w:t>
      </w:r>
    </w:p>
  </w:footnote>
  <w:footnote w:id="9">
    <w:p w14:paraId="4EFA4E62" w14:textId="295CFBAA"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hyperlink r:id="rId23" w:history="1">
        <w:r w:rsidRPr="00C349F8">
          <w:rPr>
            <w:rStyle w:val="Hyperlink"/>
            <w:sz w:val="24"/>
            <w:lang w:val="ro-RO"/>
          </w:rPr>
          <w:t>https://doi.org/10.1006/rtph.1999.1371</w:t>
        </w:r>
      </w:hyperlink>
      <w:r w:rsidRPr="00C349F8">
        <w:rPr>
          <w:sz w:val="24"/>
          <w:lang w:val="ro-RO"/>
        </w:rPr>
        <w:t xml:space="preserve">. </w:t>
      </w:r>
    </w:p>
  </w:footnote>
  <w:footnote w:id="10">
    <w:p w14:paraId="739DF039" w14:textId="07D558E6"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În decembrie 2022, la COP15 a Convenției Organizației Națiunilor Unite privind diversitatea biologică, a fost convenit un cadru mondial privind biodiversitatea care include un obiectiv global de reducere a riscului asociat pesticidelor cu cel puțin 50 % până în 2030 (a se vedea:</w:t>
      </w:r>
      <w:r w:rsidRPr="00C349F8">
        <w:rPr>
          <w:color w:val="000000" w:themeColor="text1"/>
          <w:sz w:val="24"/>
          <w:lang w:val="ro-RO"/>
        </w:rPr>
        <w:t xml:space="preserve"> </w:t>
      </w:r>
      <w:hyperlink r:id="rId24" w:history="1">
        <w:r w:rsidRPr="00C349F8">
          <w:rPr>
            <w:rStyle w:val="Hyperlink"/>
            <w:sz w:val="24"/>
            <w:lang w:val="ro-RO"/>
          </w:rPr>
          <w:t>https://ec.europa.eu/commission/presscorner/detail/ro/ip_22_7834</w:t>
        </w:r>
      </w:hyperlink>
      <w:r w:rsidRPr="00C349F8">
        <w:rPr>
          <w:sz w:val="24"/>
          <w:lang w:val="ro-RO"/>
        </w:rPr>
        <w:t>).</w:t>
      </w:r>
    </w:p>
  </w:footnote>
  <w:footnote w:id="11">
    <w:p w14:paraId="0D15A6C2" w14:textId="07D879A5"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hyperlink r:id="rId25" w:history="1">
        <w:r w:rsidRPr="00C349F8">
          <w:rPr>
            <w:rStyle w:val="Hyperlink"/>
            <w:sz w:val="24"/>
            <w:lang w:val="ro-RO"/>
          </w:rPr>
          <w:t>https://commission.europa.eu/topics/agriculture-and-rural-development/strategic-dialogue-future-eu-agriculture_ro</w:t>
        </w:r>
      </w:hyperlink>
      <w:r w:rsidRPr="00C349F8">
        <w:rPr>
          <w:rStyle w:val="Hyperlink"/>
          <w:sz w:val="24"/>
          <w:lang w:val="ro-RO"/>
        </w:rPr>
        <w:t>.</w:t>
      </w:r>
      <w:r w:rsidRPr="00C349F8">
        <w:rPr>
          <w:sz w:val="24"/>
          <w:lang w:val="ro-RO"/>
        </w:rPr>
        <w:t xml:space="preserve"> </w:t>
      </w:r>
    </w:p>
  </w:footnote>
  <w:footnote w:id="12">
    <w:p w14:paraId="12AB1142" w14:textId="47964642" w:rsidR="006A498F" w:rsidRPr="00C349F8" w:rsidRDefault="006A498F" w:rsidP="00C349F8">
      <w:pPr>
        <w:pStyle w:val="FootnoteText"/>
        <w:ind w:left="567" w:hanging="567"/>
        <w:rPr>
          <w:sz w:val="24"/>
          <w:lang w:val="ro-RO"/>
        </w:rPr>
      </w:pPr>
      <w:r w:rsidRPr="00C349F8">
        <w:rPr>
          <w:rStyle w:val="FootnoteReference"/>
          <w:sz w:val="24"/>
          <w:lang w:val="ro-RO"/>
        </w:rPr>
        <w:footnoteRef/>
      </w:r>
      <w:r w:rsidR="00C349F8" w:rsidRPr="00C349F8">
        <w:rPr>
          <w:sz w:val="24"/>
          <w:lang w:val="ro-RO"/>
        </w:rPr>
        <w:t xml:space="preserve"> </w:t>
      </w:r>
      <w:r w:rsidR="00C349F8" w:rsidRPr="00C349F8">
        <w:rPr>
          <w:sz w:val="24"/>
          <w:lang w:val="ro-RO"/>
        </w:rPr>
        <w:tab/>
      </w:r>
      <w:r w:rsidRPr="00C349F8">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w:t>
      </w:r>
      <w:r w:rsidRPr="00C349F8">
        <w:rPr>
          <w:color w:val="000000" w:themeColor="text1"/>
          <w:sz w:val="24"/>
          <w:lang w:val="ro-RO"/>
        </w:rPr>
        <w:t> </w:t>
      </w:r>
      <w:hyperlink r:id="rId26" w:tgtFrame="Gives access to this document through its ELI URI." w:history="1">
        <w:r w:rsidRPr="00C349F8">
          <w:rPr>
            <w:rStyle w:val="Hyperlink"/>
            <w:color w:val="0070C0"/>
            <w:sz w:val="24"/>
            <w:lang w:val="ro-RO"/>
          </w:rPr>
          <w:t>http://data.europa.eu/eli/reg/2002/178/oj</w:t>
        </w:r>
      </w:hyperlink>
      <w:r w:rsidRPr="00C349F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E6E" w14:textId="77777777" w:rsidR="00064002" w:rsidRPr="00C349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5270" w14:textId="77777777" w:rsidR="00064002" w:rsidRPr="00C349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4DB4A" w14:textId="77777777" w:rsidR="00064002" w:rsidRPr="00C349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155020">
    <w:abstractNumId w:val="9"/>
  </w:num>
  <w:num w:numId="2" w16cid:durableId="1909916379">
    <w:abstractNumId w:val="9"/>
  </w:num>
  <w:num w:numId="3" w16cid:durableId="273294174">
    <w:abstractNumId w:val="7"/>
  </w:num>
  <w:num w:numId="4" w16cid:durableId="1613827597">
    <w:abstractNumId w:val="7"/>
  </w:num>
  <w:num w:numId="5" w16cid:durableId="1406026150">
    <w:abstractNumId w:val="6"/>
  </w:num>
  <w:num w:numId="6" w16cid:durableId="2108888534">
    <w:abstractNumId w:val="6"/>
  </w:num>
  <w:num w:numId="7" w16cid:durableId="765034258">
    <w:abstractNumId w:val="5"/>
  </w:num>
  <w:num w:numId="8" w16cid:durableId="1796210753">
    <w:abstractNumId w:val="5"/>
  </w:num>
  <w:num w:numId="9" w16cid:durableId="473330480">
    <w:abstractNumId w:val="4"/>
  </w:num>
  <w:num w:numId="10" w16cid:durableId="1371104077">
    <w:abstractNumId w:val="4"/>
  </w:num>
  <w:num w:numId="11" w16cid:durableId="1524170953">
    <w:abstractNumId w:val="8"/>
  </w:num>
  <w:num w:numId="12" w16cid:durableId="113211513">
    <w:abstractNumId w:val="8"/>
  </w:num>
  <w:num w:numId="13" w16cid:durableId="1022166959">
    <w:abstractNumId w:val="3"/>
  </w:num>
  <w:num w:numId="14" w16cid:durableId="685905543">
    <w:abstractNumId w:val="3"/>
  </w:num>
  <w:num w:numId="15" w16cid:durableId="514074683">
    <w:abstractNumId w:val="2"/>
  </w:num>
  <w:num w:numId="16" w16cid:durableId="1065181033">
    <w:abstractNumId w:val="2"/>
  </w:num>
  <w:num w:numId="17" w16cid:durableId="589656167">
    <w:abstractNumId w:val="1"/>
  </w:num>
  <w:num w:numId="18" w16cid:durableId="661857542">
    <w:abstractNumId w:val="1"/>
  </w:num>
  <w:num w:numId="19" w16cid:durableId="350762435">
    <w:abstractNumId w:val="0"/>
  </w:num>
  <w:num w:numId="20" w16cid:durableId="278614133">
    <w:abstractNumId w:val="0"/>
  </w:num>
  <w:num w:numId="21" w16cid:durableId="1982076310">
    <w:abstractNumId w:val="9"/>
  </w:num>
  <w:num w:numId="22" w16cid:durableId="1893155297">
    <w:abstractNumId w:val="7"/>
  </w:num>
  <w:num w:numId="23" w16cid:durableId="633948188">
    <w:abstractNumId w:val="6"/>
  </w:num>
  <w:num w:numId="24" w16cid:durableId="904417158">
    <w:abstractNumId w:val="5"/>
  </w:num>
  <w:num w:numId="25" w16cid:durableId="887226591">
    <w:abstractNumId w:val="4"/>
  </w:num>
  <w:num w:numId="26" w16cid:durableId="81341068">
    <w:abstractNumId w:val="8"/>
  </w:num>
  <w:num w:numId="27" w16cid:durableId="706105009">
    <w:abstractNumId w:val="3"/>
  </w:num>
  <w:num w:numId="28" w16cid:durableId="1615480151">
    <w:abstractNumId w:val="2"/>
  </w:num>
  <w:num w:numId="29" w16cid:durableId="1863938271">
    <w:abstractNumId w:val="1"/>
  </w:num>
  <w:num w:numId="30" w16cid:durableId="738525293">
    <w:abstractNumId w:val="0"/>
  </w:num>
  <w:num w:numId="31" w16cid:durableId="1280988575">
    <w:abstractNumId w:val="9"/>
  </w:num>
  <w:num w:numId="32" w16cid:durableId="1777821429">
    <w:abstractNumId w:val="7"/>
  </w:num>
  <w:num w:numId="33" w16cid:durableId="1556433263">
    <w:abstractNumId w:val="6"/>
  </w:num>
  <w:num w:numId="34" w16cid:durableId="947855988">
    <w:abstractNumId w:val="5"/>
  </w:num>
  <w:num w:numId="35" w16cid:durableId="1989165749">
    <w:abstractNumId w:val="4"/>
  </w:num>
  <w:num w:numId="36" w16cid:durableId="714426951">
    <w:abstractNumId w:val="8"/>
  </w:num>
  <w:num w:numId="37" w16cid:durableId="337274498">
    <w:abstractNumId w:val="3"/>
  </w:num>
  <w:num w:numId="38" w16cid:durableId="479079968">
    <w:abstractNumId w:val="2"/>
  </w:num>
  <w:num w:numId="39" w16cid:durableId="371267099">
    <w:abstractNumId w:val="1"/>
  </w:num>
  <w:num w:numId="40" w16cid:durableId="1523086883">
    <w:abstractNumId w:val="0"/>
  </w:num>
  <w:num w:numId="41" w16cid:durableId="1369256919">
    <w:abstractNumId w:val="10"/>
  </w:num>
  <w:num w:numId="42" w16cid:durableId="1923024597">
    <w:abstractNumId w:val="10"/>
  </w:num>
  <w:num w:numId="43" w16cid:durableId="861475178">
    <w:abstractNumId w:val="10"/>
  </w:num>
  <w:num w:numId="44" w16cid:durableId="943071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RO"/>
    <w:docVar w:name="dvnumam" w:val="0"/>
    <w:docVar w:name="dvpe" w:val="782.192"/>
    <w:docVar w:name="dvtitre" w:val="Rezoluția Parlamentului European din ... februarie 2026 referitoare la proiectul de decizie de punere în aplicare a Comisiei de autorizare a introducerii pe piață a produselor care conțin, constau în sau sunt fabricate din soia modificată genetic DBN-09004-6, în temeiul Regulamentului (CE) nr. 1829/2003 al Parlamentului European și al Consiliului (D111472/02 – 2026/2523(RSP))"/>
  </w:docVars>
  <w:rsids>
    <w:rsidRoot w:val="008C7899"/>
    <w:rsid w:val="00002272"/>
    <w:rsid w:val="00064002"/>
    <w:rsid w:val="000677B9"/>
    <w:rsid w:val="000831BA"/>
    <w:rsid w:val="000A42CC"/>
    <w:rsid w:val="000E7DD9"/>
    <w:rsid w:val="0010095E"/>
    <w:rsid w:val="00125B37"/>
    <w:rsid w:val="00134E34"/>
    <w:rsid w:val="00184EDC"/>
    <w:rsid w:val="00187494"/>
    <w:rsid w:val="001B77CF"/>
    <w:rsid w:val="001F32AE"/>
    <w:rsid w:val="00275098"/>
    <w:rsid w:val="002767FF"/>
    <w:rsid w:val="002B18FE"/>
    <w:rsid w:val="002B5493"/>
    <w:rsid w:val="00343214"/>
    <w:rsid w:val="00361C00"/>
    <w:rsid w:val="00395FA1"/>
    <w:rsid w:val="003E15D4"/>
    <w:rsid w:val="00411CCE"/>
    <w:rsid w:val="0041666E"/>
    <w:rsid w:val="00421060"/>
    <w:rsid w:val="00470B3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9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899"/>
    <w:rsid w:val="00930C23"/>
    <w:rsid w:val="0093193B"/>
    <w:rsid w:val="009509D8"/>
    <w:rsid w:val="00950B64"/>
    <w:rsid w:val="00981893"/>
    <w:rsid w:val="00A1687D"/>
    <w:rsid w:val="00A43E52"/>
    <w:rsid w:val="00A4678D"/>
    <w:rsid w:val="00A778C7"/>
    <w:rsid w:val="00AB441E"/>
    <w:rsid w:val="00AB6293"/>
    <w:rsid w:val="00AE0928"/>
    <w:rsid w:val="00AF3B82"/>
    <w:rsid w:val="00AF4830"/>
    <w:rsid w:val="00B12E95"/>
    <w:rsid w:val="00B22876"/>
    <w:rsid w:val="00B3139A"/>
    <w:rsid w:val="00B558F0"/>
    <w:rsid w:val="00BD48FE"/>
    <w:rsid w:val="00BD7BD8"/>
    <w:rsid w:val="00BE6ADC"/>
    <w:rsid w:val="00C05BFE"/>
    <w:rsid w:val="00C23CD4"/>
    <w:rsid w:val="00C349F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D70B9"/>
  <w15:chartTrackingRefBased/>
  <w15:docId w15:val="{5B282F38-A632-49DB-A241-97888A8A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A498F"/>
    <w:pPr>
      <w:spacing w:before="480" w:after="240"/>
    </w:pPr>
  </w:style>
  <w:style w:type="paragraph" w:customStyle="1" w:styleId="NormalHanging12a">
    <w:name w:val="NormalHanging12a"/>
    <w:basedOn w:val="Normal"/>
    <w:uiPriority w:val="99"/>
    <w:qFormat/>
    <w:rsid w:val="006A498F"/>
    <w:pPr>
      <w:spacing w:after="240"/>
      <w:ind w:left="567" w:hanging="567"/>
    </w:pPr>
  </w:style>
  <w:style w:type="character" w:styleId="Hyperlink">
    <w:name w:val="Hyperlink"/>
    <w:basedOn w:val="DefaultParagraphFont"/>
    <w:uiPriority w:val="99"/>
    <w:rsid w:val="006A498F"/>
    <w:rPr>
      <w:color w:val="0563C1" w:themeColor="hyperlink"/>
      <w:u w:val="single"/>
    </w:rPr>
  </w:style>
  <w:style w:type="paragraph" w:styleId="NormalWeb">
    <w:name w:val="Normal (Web)"/>
    <w:basedOn w:val="Normal"/>
    <w:uiPriority w:val="99"/>
    <w:unhideWhenUsed/>
    <w:rsid w:val="006A498F"/>
    <w:pPr>
      <w:widowControl/>
      <w:spacing w:before="100" w:beforeAutospacing="1" w:after="100" w:afterAutospacing="1"/>
    </w:pPr>
    <w:rPr>
      <w:szCs w:val="24"/>
    </w:rPr>
  </w:style>
  <w:style w:type="paragraph" w:styleId="Revision">
    <w:name w:val="Revision"/>
    <w:hidden/>
    <w:uiPriority w:val="99"/>
    <w:semiHidden/>
    <w:rsid w:val="0027509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ro"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ro/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1757</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2026-02-11T13:21:00Z</dcterms:created>
  <dcterms:modified xsi:type="dcterms:W3CDTF">2026-02-11T13:21:00Z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B10-0107/2026</vt:lpwstr>
  </property>
  <property fmtid="{D5CDD505-2E9C-101B-9397-08002B2CF9AE}" pid="4" name="&lt;Type&gt;">
    <vt:lpwstr>RR</vt:lpwstr>
  </property>
</Properties>
</file>