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45AC" w14:paraId="6C78CC90" w14:textId="77777777" w:rsidTr="0010095E">
        <w:trPr>
          <w:trHeight w:hRule="exact" w:val="1418"/>
        </w:trPr>
        <w:tc>
          <w:tcPr>
            <w:tcW w:w="6804" w:type="dxa"/>
            <w:shd w:val="clear" w:color="auto" w:fill="auto"/>
            <w:vAlign w:val="center"/>
          </w:tcPr>
          <w:p w14:paraId="4C5AF006" w14:textId="77777777" w:rsidR="00751A4A" w:rsidRPr="007A45AC" w:rsidRDefault="00130DE0" w:rsidP="0010095E">
            <w:pPr>
              <w:pStyle w:val="EPName"/>
            </w:pPr>
            <w:r w:rsidRPr="007A45AC">
              <w:t>Európsky parlament</w:t>
            </w:r>
          </w:p>
          <w:p w14:paraId="57B6EF7E" w14:textId="77777777" w:rsidR="00751A4A" w:rsidRPr="007A45AC" w:rsidRDefault="005F1B17" w:rsidP="005F1B17">
            <w:pPr>
              <w:pStyle w:val="EPTerm"/>
              <w:rPr>
                <w:rStyle w:val="HideTWBExt"/>
                <w:noProof w:val="0"/>
                <w:vanish w:val="0"/>
                <w:color w:val="auto"/>
              </w:rPr>
            </w:pPr>
            <w:r w:rsidRPr="007A45AC">
              <w:t>2024</w:t>
            </w:r>
            <w:r w:rsidR="00817416" w:rsidRPr="007A45AC">
              <w:t>-202</w:t>
            </w:r>
            <w:r w:rsidRPr="007A45AC">
              <w:t>9</w:t>
            </w:r>
          </w:p>
        </w:tc>
        <w:tc>
          <w:tcPr>
            <w:tcW w:w="2268" w:type="dxa"/>
            <w:shd w:val="clear" w:color="auto" w:fill="auto"/>
          </w:tcPr>
          <w:p w14:paraId="200EA265" w14:textId="77777777" w:rsidR="00751A4A" w:rsidRPr="007A45AC" w:rsidRDefault="00187494" w:rsidP="0010095E">
            <w:pPr>
              <w:pStyle w:val="EPLogo"/>
            </w:pPr>
            <w:r w:rsidRPr="007A45AC">
              <w:rPr>
                <w:noProof/>
                <w:lang w:eastAsia="ja-JP"/>
              </w:rPr>
              <w:drawing>
                <wp:inline distT="0" distB="0" distL="0" distR="0" wp14:anchorId="7031C5CE" wp14:editId="407E5B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4CA247" w14:textId="77777777" w:rsidR="00D058B8" w:rsidRPr="007A45AC" w:rsidRDefault="00D058B8" w:rsidP="004C5D52">
      <w:pPr>
        <w:pStyle w:val="LineTop"/>
      </w:pPr>
    </w:p>
    <w:p w14:paraId="23FA6246" w14:textId="77777777" w:rsidR="00680577" w:rsidRPr="007A45AC" w:rsidRDefault="00130DE0" w:rsidP="00680577">
      <w:pPr>
        <w:pStyle w:val="EPBodyTA1"/>
      </w:pPr>
      <w:r w:rsidRPr="007A45AC">
        <w:t>PRIJATÉ TEXTY</w:t>
      </w:r>
    </w:p>
    <w:p w14:paraId="5798E13C" w14:textId="77777777" w:rsidR="00D058B8" w:rsidRPr="007A45AC" w:rsidRDefault="00D058B8" w:rsidP="00D058B8">
      <w:pPr>
        <w:pStyle w:val="LineBottom"/>
      </w:pPr>
    </w:p>
    <w:p w14:paraId="1F05916B" w14:textId="6192211B" w:rsidR="00130DE0" w:rsidRPr="007A45AC" w:rsidRDefault="00130DE0" w:rsidP="00130DE0">
      <w:pPr>
        <w:pStyle w:val="ATHeading1"/>
      </w:pPr>
      <w:bookmarkStart w:id="0" w:name="TANumber"/>
      <w:r w:rsidRPr="007A45AC">
        <w:t>P10_TA(2026)00</w:t>
      </w:r>
      <w:r w:rsidR="007A45AC" w:rsidRPr="007A45AC">
        <w:t>41</w:t>
      </w:r>
      <w:bookmarkEnd w:id="0"/>
    </w:p>
    <w:p w14:paraId="33A86873" w14:textId="25EAD9AE" w:rsidR="00130DE0" w:rsidRPr="007A45AC" w:rsidRDefault="00374352" w:rsidP="00130DE0">
      <w:pPr>
        <w:pStyle w:val="ATHeading2"/>
      </w:pPr>
      <w:bookmarkStart w:id="1" w:name="title"/>
      <w:r w:rsidRPr="007A45AC">
        <w:t>G</w:t>
      </w:r>
      <w:r w:rsidR="00130DE0" w:rsidRPr="007A45AC">
        <w:t>eneticky modifikovaná sója DBN-09004-6</w:t>
      </w:r>
      <w:bookmarkEnd w:id="1"/>
    </w:p>
    <w:p w14:paraId="5EBBCE8E" w14:textId="77777777" w:rsidR="00130DE0" w:rsidRPr="007A45AC" w:rsidRDefault="00130DE0" w:rsidP="00130DE0">
      <w:pPr>
        <w:rPr>
          <w:i/>
          <w:vanish/>
        </w:rPr>
      </w:pPr>
      <w:r w:rsidRPr="007A45AC">
        <w:rPr>
          <w:i/>
        </w:rPr>
        <w:fldChar w:fldCharType="begin"/>
      </w:r>
      <w:r w:rsidRPr="007A45AC">
        <w:rPr>
          <w:i/>
        </w:rPr>
        <w:instrText xml:space="preserve"> TC"(</w:instrText>
      </w:r>
      <w:bookmarkStart w:id="2" w:name="DocNumber"/>
      <w:r w:rsidRPr="007A45AC">
        <w:rPr>
          <w:i/>
        </w:rPr>
        <w:instrText>B10-0107/2026</w:instrText>
      </w:r>
      <w:bookmarkEnd w:id="2"/>
      <w:r w:rsidRPr="007A45AC">
        <w:rPr>
          <w:i/>
        </w:rPr>
        <w:instrText xml:space="preserve">)"\l3 \n&gt; \* MERGEFORMAT </w:instrText>
      </w:r>
      <w:r w:rsidRPr="007A45AC">
        <w:rPr>
          <w:i/>
        </w:rPr>
        <w:fldChar w:fldCharType="end"/>
      </w:r>
    </w:p>
    <w:p w14:paraId="65F00210" w14:textId="77777777" w:rsidR="00130DE0" w:rsidRPr="007A45AC" w:rsidRDefault="00130DE0" w:rsidP="00130DE0">
      <w:pPr>
        <w:rPr>
          <w:vanish/>
        </w:rPr>
      </w:pPr>
      <w:bookmarkStart w:id="3" w:name="PE"/>
      <w:r w:rsidRPr="007A45AC">
        <w:rPr>
          <w:vanish/>
        </w:rPr>
        <w:t>PE782.192</w:t>
      </w:r>
      <w:bookmarkEnd w:id="3"/>
    </w:p>
    <w:p w14:paraId="438C0FE8" w14:textId="355004DD" w:rsidR="00130DE0" w:rsidRPr="007A45AC" w:rsidRDefault="00130DE0" w:rsidP="00130DE0">
      <w:pPr>
        <w:pStyle w:val="ATHeading3"/>
      </w:pPr>
      <w:bookmarkStart w:id="4" w:name="Sujet"/>
      <w:r w:rsidRPr="007A45AC">
        <w:t xml:space="preserve">Uznesenie Európskeho parlamentu z </w:t>
      </w:r>
      <w:r w:rsidR="003966C3" w:rsidRPr="007A45AC">
        <w:t>11</w:t>
      </w:r>
      <w:r w:rsidRPr="007A45AC">
        <w:t xml:space="preserve">. </w:t>
      </w:r>
      <w:r w:rsidR="003966C3" w:rsidRPr="007A45AC">
        <w:t xml:space="preserve">februára </w:t>
      </w:r>
      <w:r w:rsidRPr="007A45AC">
        <w:t xml:space="preserve">2026 o návrhu vykonávacieho rozhodnutia Komisie, ktorým sa podľa nariadenia Európskeho parlamentu a Rady (ES) č. 1829/2003 povoľuje umiestniť na trh produkty, ktoré obsahujú geneticky modifikovanú sóju DBN-09004-6, sú z nej zložené alebo vyrobené </w:t>
      </w:r>
      <w:bookmarkEnd w:id="4"/>
      <w:r w:rsidRPr="007A45AC">
        <w:t xml:space="preserve"> </w:t>
      </w:r>
      <w:bookmarkStart w:id="5" w:name="References"/>
      <w:r w:rsidRPr="007A45AC">
        <w:t>(D111472/02 – 2026/2523(RSP))</w:t>
      </w:r>
      <w:bookmarkEnd w:id="5"/>
    </w:p>
    <w:p w14:paraId="7BB761D8" w14:textId="77777777" w:rsidR="00A226B8" w:rsidRPr="007A45AC" w:rsidRDefault="00A226B8" w:rsidP="00A226B8">
      <w:pPr>
        <w:pStyle w:val="EPComma"/>
      </w:pPr>
      <w:bookmarkStart w:id="6" w:name="TextBodyBegin"/>
      <w:bookmarkEnd w:id="6"/>
      <w:r w:rsidRPr="007A45AC">
        <w:rPr>
          <w:i/>
        </w:rPr>
        <w:t>Európsky parlament</w:t>
      </w:r>
      <w:r w:rsidRPr="007A45AC">
        <w:t>,</w:t>
      </w:r>
    </w:p>
    <w:p w14:paraId="45318318" w14:textId="77777777" w:rsidR="00A226B8" w:rsidRPr="007A45AC" w:rsidRDefault="00A226B8" w:rsidP="00A226B8">
      <w:pPr>
        <w:pStyle w:val="NormalHanging12a"/>
      </w:pPr>
      <w:r w:rsidRPr="007A45AC">
        <w:t>–</w:t>
      </w:r>
      <w:r w:rsidRPr="007A45AC">
        <w:tab/>
        <w:t>so zreteľom na návrh vykonávacieho rozhodnutia Komisie, ktorým sa podľa nariadenia Európskeho parlamentu a Rady (ES) č. 1829/2003 povoľuje umiestniť na trh produkty, ktoré obsahujú geneticky modifikovanú sóju DBN-09004-6, sú z nej zložené alebo vyrobené (D111472/02),</w:t>
      </w:r>
    </w:p>
    <w:p w14:paraId="177F11A7" w14:textId="77777777" w:rsidR="00A226B8" w:rsidRPr="007A45AC" w:rsidRDefault="00A226B8" w:rsidP="00A226B8">
      <w:pPr>
        <w:pStyle w:val="NormalHanging12a"/>
      </w:pPr>
      <w:r w:rsidRPr="007A45AC">
        <w:t>–</w:t>
      </w:r>
      <w:r w:rsidRPr="007A45AC">
        <w:tab/>
        <w:t>so zreteľom na nariadenie Európskeho parlamentu a Rady (ES) č. 1829/2003 z 22. septembra 2003 o geneticky modifikovaných potravinách a krmivách</w:t>
      </w:r>
      <w:r w:rsidRPr="007A45AC">
        <w:rPr>
          <w:rStyle w:val="FootnoteReference"/>
        </w:rPr>
        <w:footnoteReference w:id="1"/>
      </w:r>
      <w:r w:rsidRPr="007A45AC">
        <w:t>, a najmä na jeho článok 7 ods. 3 a článok 19 ods. 3,</w:t>
      </w:r>
    </w:p>
    <w:p w14:paraId="00D4F6A8" w14:textId="12762B41" w:rsidR="00A226B8" w:rsidRPr="007A45AC" w:rsidRDefault="00A226B8" w:rsidP="00A226B8">
      <w:pPr>
        <w:pStyle w:val="NormalHanging12a"/>
      </w:pPr>
      <w:r w:rsidRPr="007A45AC">
        <w:t>–</w:t>
      </w:r>
      <w:r w:rsidRPr="007A45AC">
        <w:tab/>
        <w:t>so zreteľom na hlasovanie Stáleho výboru pre rastliny, zvieratá, potraviny a krmivá podľa článku 35 nariadenia (ES) č. 1829/2003, ktoré sa konalo 12. decembra 2025 a na ktorom sa rozhodlo, že sa nevydá žiadne stanovisko</w:t>
      </w:r>
      <w:bookmarkStart w:id="7" w:name="_Hlk219206484"/>
      <w:r w:rsidRPr="007A45AC">
        <w:t>,</w:t>
      </w:r>
      <w:bookmarkEnd w:id="7"/>
      <w:r w:rsidR="003966C3" w:rsidRPr="007A45AC">
        <w:t xml:space="preserve"> a na hlasovanie odvolacieho výboru z 27. januára 2026, počas ktorého opätovne nebolo prijaté žiadne stanovisko,</w:t>
      </w:r>
    </w:p>
    <w:p w14:paraId="05074D59" w14:textId="77777777" w:rsidR="00A226B8" w:rsidRPr="007A45AC" w:rsidRDefault="00A226B8" w:rsidP="00A226B8">
      <w:pPr>
        <w:pStyle w:val="NormalHanging12a"/>
      </w:pPr>
      <w:r w:rsidRPr="007A45AC">
        <w:t>–</w:t>
      </w:r>
      <w:r w:rsidRPr="007A45AC">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7A45AC">
        <w:rPr>
          <w:rStyle w:val="FootnoteReference"/>
        </w:rPr>
        <w:footnoteReference w:id="2"/>
      </w:r>
      <w:r w:rsidRPr="007A45AC">
        <w:t>,</w:t>
      </w:r>
    </w:p>
    <w:p w14:paraId="042EF94C" w14:textId="77777777" w:rsidR="00A226B8" w:rsidRPr="007A45AC" w:rsidRDefault="00A226B8" w:rsidP="00A226B8">
      <w:pPr>
        <w:pStyle w:val="NormalHanging12a"/>
      </w:pPr>
      <w:r w:rsidRPr="007A45AC">
        <w:t>–</w:t>
      </w:r>
      <w:r w:rsidRPr="007A45AC">
        <w:tab/>
        <w:t>so zreteľom na stanovisko, ktoré prijal Európsky úrad pre bezpečnosť potravín (EFSA) 21. mája 2025 a ktoré bolo uverejnené 7. júla 2025</w:t>
      </w:r>
      <w:r w:rsidRPr="007A45AC">
        <w:rPr>
          <w:vertAlign w:val="superscript"/>
        </w:rPr>
        <w:footnoteReference w:id="3"/>
      </w:r>
      <w:r w:rsidRPr="007A45AC">
        <w:t>,</w:t>
      </w:r>
    </w:p>
    <w:p w14:paraId="191E8CCC" w14:textId="0AA46631" w:rsidR="00A226B8" w:rsidRPr="007A45AC" w:rsidRDefault="00A226B8" w:rsidP="00A226B8">
      <w:pPr>
        <w:pStyle w:val="NormalHanging12a"/>
      </w:pPr>
      <w:r w:rsidRPr="007A45AC">
        <w:lastRenderedPageBreak/>
        <w:t>–</w:t>
      </w:r>
      <w:r w:rsidRPr="007A45AC">
        <w:tab/>
        <w:t>so zreteľom na svoje predchádzajúce uznesenia, v ktorých namieta proti povoľovaniu geneticky modifikovaných organizmov</w:t>
      </w:r>
      <w:r w:rsidRPr="007A45AC">
        <w:rPr>
          <w:vertAlign w:val="superscript"/>
        </w:rPr>
        <w:footnoteReference w:id="4"/>
      </w:r>
      <w:r w:rsidRPr="007A45AC">
        <w:t>,</w:t>
      </w:r>
    </w:p>
    <w:p w14:paraId="440C1A72" w14:textId="77777777" w:rsidR="00A226B8" w:rsidRPr="007A45AC" w:rsidRDefault="00A226B8" w:rsidP="00A226B8">
      <w:pPr>
        <w:pStyle w:val="NormalHanging12a"/>
      </w:pPr>
      <w:r w:rsidRPr="007A45AC">
        <w:lastRenderedPageBreak/>
        <w:t>–</w:t>
      </w:r>
      <w:r w:rsidRPr="007A45AC">
        <w:tab/>
        <w:t>so zreteľom na článok 115 ods. 2 a 3 rokovacieho poriadku,</w:t>
      </w:r>
    </w:p>
    <w:p w14:paraId="1F5F4F7F" w14:textId="77777777" w:rsidR="00A226B8" w:rsidRPr="007A45AC" w:rsidRDefault="00A226B8" w:rsidP="00A226B8">
      <w:pPr>
        <w:pStyle w:val="NormalHanging12a"/>
      </w:pPr>
      <w:r w:rsidRPr="007A45AC">
        <w:t>–</w:t>
      </w:r>
      <w:r w:rsidRPr="007A45AC">
        <w:tab/>
        <w:t>so zreteľom na návrh uznesenia Výboru pre životné prostredie, klímu a bezpečnosť potravín,</w:t>
      </w:r>
    </w:p>
    <w:p w14:paraId="26798AF0" w14:textId="77777777" w:rsidR="00A226B8" w:rsidRPr="007A45AC" w:rsidRDefault="00A226B8" w:rsidP="00A226B8">
      <w:pPr>
        <w:pStyle w:val="NormalHanging12a"/>
        <w:ind w:hanging="570"/>
      </w:pPr>
      <w:r w:rsidRPr="007A45AC">
        <w:t>A.</w:t>
      </w:r>
      <w:r w:rsidRPr="007A45AC">
        <w:tab/>
        <w:t xml:space="preserve">keďže spoločnosť </w:t>
      </w:r>
      <w:proofErr w:type="spellStart"/>
      <w:r w:rsidRPr="007A45AC">
        <w:t>Perseus</w:t>
      </w:r>
      <w:proofErr w:type="spellEnd"/>
      <w:r w:rsidRPr="007A45AC">
        <w:t xml:space="preserve"> BV so sídlom v Belgicku predložila 20. decembra 2019 v mene spoločnosti </w:t>
      </w:r>
      <w:proofErr w:type="spellStart"/>
      <w:r w:rsidRPr="007A45AC">
        <w:t>Beijing</w:t>
      </w:r>
      <w:proofErr w:type="spellEnd"/>
      <w:r w:rsidRPr="007A45AC">
        <w:t xml:space="preserve"> </w:t>
      </w:r>
      <w:proofErr w:type="spellStart"/>
      <w:r w:rsidRPr="007A45AC">
        <w:t>DaBeiNong</w:t>
      </w:r>
      <w:proofErr w:type="spellEnd"/>
      <w:r w:rsidRPr="007A45AC">
        <w:t xml:space="preserve"> </w:t>
      </w:r>
      <w:proofErr w:type="spellStart"/>
      <w:r w:rsidRPr="007A45AC">
        <w:t>Biotechnology</w:t>
      </w:r>
      <w:proofErr w:type="spellEnd"/>
      <w:r w:rsidRPr="007A45AC">
        <w:t xml:space="preserve"> Co., </w:t>
      </w:r>
      <w:proofErr w:type="spellStart"/>
      <w:r w:rsidRPr="007A45AC">
        <w:t>Ltd</w:t>
      </w:r>
      <w:proofErr w:type="spellEnd"/>
      <w:r w:rsidRPr="007A45AC">
        <w:t xml:space="preserve">. so sídlom v Číne príslušnému vnútroštátnemu orgánu Belgicka v súlade s článkami 5 a 17 nariadenia (ES) č. 1829/2003 </w:t>
      </w:r>
      <w:r w:rsidRPr="007A45AC">
        <w:rPr>
          <w:snapToGrid w:val="0"/>
        </w:rPr>
        <w:t>žiadosť o umiestnenie na trh týkajúcu sa</w:t>
      </w:r>
      <w:r w:rsidRPr="007A45AC">
        <w:t xml:space="preserve"> potravín, zložiek potravín a krmív, ktoré obsahujú geneticky modifikovanú sóju DBN-09004-6 (ďalej len „geneticky modifikovaná sója“), sú z nej zložené alebo vyrobené; keďže žiadosť sa týkala aj umiestnenia produktov, ktoré obsahujú geneticky modifikovanú sóju alebo sú z nej zložené, na trh na iné účely ako potraviny a krmivá, s výnimkou pestovania;</w:t>
      </w:r>
    </w:p>
    <w:p w14:paraId="1FD3DDD3" w14:textId="77777777" w:rsidR="00A226B8" w:rsidRPr="007A45AC" w:rsidRDefault="00A226B8" w:rsidP="00A226B8">
      <w:pPr>
        <w:pStyle w:val="NormalHanging12a"/>
        <w:ind w:hanging="570"/>
      </w:pPr>
      <w:bookmarkStart w:id="8" w:name="_Hlk218675754"/>
      <w:r w:rsidRPr="007A45AC">
        <w:t>B.</w:t>
      </w:r>
      <w:r w:rsidRPr="007A45AC">
        <w:tab/>
        <w:t>keďže EFSA vydal 7. júla 2025 priaznivé vedecké stanovisko v súlade s článkami 6 a 18 nariadenia (ES) č. 1829/2003, v ktorom dospel k záveru, že geneticky modifikovaná sója opísaná v žiadosti je rovnako bezpečná ako jej tradičný ekvivalent a testované referenčné odrody geneticky nemodifikovanej sóje, pokiaľ ide o potenciálne účinky na zdravie ľudí a zvierat a na životné prostredie; keďže toto stanovisko sa nezaoberalo viacerými širšími environmentálnymi, sociálno-ekonomickými a kumulatívnymi vplyvmi, ktoré podľa úradu EFSA nepatria do jeho právomoci;</w:t>
      </w:r>
    </w:p>
    <w:p w14:paraId="1DF1A9D1" w14:textId="77777777" w:rsidR="00A226B8" w:rsidRPr="007A45AC" w:rsidRDefault="00A226B8" w:rsidP="00A226B8">
      <w:pPr>
        <w:pStyle w:val="NormalHanging12a"/>
        <w:ind w:hanging="570"/>
      </w:pPr>
      <w:r w:rsidRPr="007A45AC">
        <w:t>C.</w:t>
      </w:r>
      <w:r w:rsidRPr="007A45AC">
        <w:tab/>
        <w:t xml:space="preserve">keďže geneticky modifikovaná sója bola vyvinutá tak, aby preukazovala odolnosť voči </w:t>
      </w:r>
      <w:proofErr w:type="spellStart"/>
      <w:r w:rsidRPr="007A45AC">
        <w:t>glufosinátu</w:t>
      </w:r>
      <w:proofErr w:type="spellEnd"/>
      <w:r w:rsidRPr="007A45AC">
        <w:t xml:space="preserve"> a </w:t>
      </w:r>
      <w:proofErr w:type="spellStart"/>
      <w:r w:rsidRPr="007A45AC">
        <w:t>glyfozátu</w:t>
      </w:r>
      <w:proofErr w:type="spellEnd"/>
      <w:r w:rsidRPr="007A45AC">
        <w:t>;</w:t>
      </w:r>
    </w:p>
    <w:bookmarkEnd w:id="8"/>
    <w:p w14:paraId="5B0C7950" w14:textId="77777777" w:rsidR="00A226B8" w:rsidRPr="007A45AC" w:rsidRDefault="00A226B8" w:rsidP="00A226B8">
      <w:pPr>
        <w:pStyle w:val="NormalHanging12a"/>
      </w:pPr>
      <w:r w:rsidRPr="007A45AC">
        <w:t>D.</w:t>
      </w:r>
      <w:r w:rsidRPr="007A45AC">
        <w:tab/>
        <w:t>keďže posúdenia rizika, ktoré vykonal EFSA, nezahŕňalo dlhodobé toxikologické štúdie ani podrobnú analýzu kumulatívnych a kombinovaných účinkov vrátane možných interakcií s rezíduami pesticídov bežne používaných pri pestovaní sóje;</w:t>
      </w:r>
    </w:p>
    <w:p w14:paraId="0896C95C" w14:textId="77777777" w:rsidR="00A226B8" w:rsidRPr="007A45AC" w:rsidRDefault="00A226B8" w:rsidP="00A226B8">
      <w:pPr>
        <w:pStyle w:val="NormalHanging12a"/>
        <w:rPr>
          <w:color w:val="000000" w:themeColor="text1"/>
          <w:szCs w:val="24"/>
        </w:rPr>
      </w:pPr>
      <w:r w:rsidRPr="007A45AC">
        <w:rPr>
          <w:color w:val="000000" w:themeColor="text1"/>
        </w:rPr>
        <w:t>E.</w:t>
      </w:r>
      <w:r w:rsidRPr="007A45AC">
        <w:rPr>
          <w:color w:val="000000" w:themeColor="text1"/>
        </w:rPr>
        <w:tab/>
      </w:r>
      <w:r w:rsidRPr="007A45AC">
        <w:t xml:space="preserve">keďže veľká väčšina geneticky modifikovaných plodín vrátane geneticky modifikovanej sóje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w:t>
      </w:r>
      <w:r w:rsidRPr="007A45AC">
        <w:rPr>
          <w:color w:val="000000" w:themeColor="text1"/>
        </w:rPr>
        <w:t>keďže viaceré štúdie preukázali, že geneticky modifikované plodiny odolné voči herbicídom vedú k vyššiemu používaniu doplnkových herbicídov, čo je z veľkej časti spôsobené výskytom buriny odolnej voči herbicídom</w:t>
      </w:r>
      <w:r w:rsidRPr="007A45AC">
        <w:rPr>
          <w:rStyle w:val="FootnoteReference"/>
          <w:color w:val="000000" w:themeColor="text1"/>
          <w:szCs w:val="24"/>
        </w:rPr>
        <w:footnoteReference w:id="5"/>
      </w:r>
      <w:r w:rsidRPr="007A45AC">
        <w:rPr>
          <w:color w:val="000000" w:themeColor="text1"/>
        </w:rPr>
        <w:t>;</w:t>
      </w:r>
    </w:p>
    <w:p w14:paraId="1BB772FD" w14:textId="77777777" w:rsidR="00A226B8" w:rsidRPr="007A45AC" w:rsidRDefault="00A226B8" w:rsidP="00A226B8">
      <w:pPr>
        <w:spacing w:after="240"/>
        <w:ind w:left="567" w:hanging="567"/>
        <w:rPr>
          <w:color w:val="000000" w:themeColor="text1"/>
          <w:szCs w:val="24"/>
        </w:rPr>
      </w:pPr>
      <w:r w:rsidRPr="007A45AC">
        <w:lastRenderedPageBreak/>
        <w:t>F.</w:t>
      </w:r>
      <w:r w:rsidRPr="007A45AC">
        <w:tab/>
        <w:t xml:space="preserve">keďže </w:t>
      </w:r>
      <w:r w:rsidRPr="007A45AC">
        <w:rPr>
          <w:color w:val="000000" w:themeColor="text1"/>
        </w:rPr>
        <w:t>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sadí geneticky modifikovaná sója,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7A45AC">
        <w:rPr>
          <w:rStyle w:val="FootnoteReference"/>
          <w:color w:val="000000" w:themeColor="text1"/>
          <w:szCs w:val="24"/>
        </w:rPr>
        <w:footnoteReference w:id="6"/>
      </w:r>
      <w:r w:rsidRPr="007A45AC">
        <w:rPr>
          <w:color w:val="000000" w:themeColor="text1"/>
        </w:rPr>
        <w:t>;</w:t>
      </w:r>
    </w:p>
    <w:p w14:paraId="67C31FF6" w14:textId="77777777" w:rsidR="00A226B8" w:rsidRPr="007A45AC" w:rsidRDefault="00A226B8" w:rsidP="00A226B8">
      <w:pPr>
        <w:pStyle w:val="NormalWeb"/>
        <w:widowControl w:val="0"/>
        <w:spacing w:before="0" w:beforeAutospacing="0" w:after="240" w:afterAutospacing="0"/>
        <w:ind w:left="567" w:hanging="567"/>
      </w:pPr>
      <w:r w:rsidRPr="007A45AC">
        <w:t>G.</w:t>
      </w:r>
      <w:r w:rsidRPr="007A45AC">
        <w:tab/>
        <w:t xml:space="preserve">keďže </w:t>
      </w:r>
      <w:proofErr w:type="spellStart"/>
      <w:r w:rsidRPr="007A45AC">
        <w:t>glufosinát</w:t>
      </w:r>
      <w:proofErr w:type="spellEnd"/>
      <w:r w:rsidRPr="007A45AC">
        <w:t xml:space="preserve"> je zaradený do kategórie 1B ako reprodukčne toxická látka, a preto sa naň vzťahujú hraničné kritériá stanovené v nariadení Európskeho parlamentu a Rady (ES) č. 1107/2009</w:t>
      </w:r>
      <w:r w:rsidRPr="007A45AC">
        <w:rPr>
          <w:rStyle w:val="FootnoteReference"/>
        </w:rPr>
        <w:footnoteReference w:id="7"/>
      </w:r>
      <w:r w:rsidRPr="007A45AC">
        <w:t xml:space="preserve">; keďže platnosť povolenia </w:t>
      </w:r>
      <w:proofErr w:type="spellStart"/>
      <w:r w:rsidRPr="007A45AC">
        <w:t>glufosinátu</w:t>
      </w:r>
      <w:proofErr w:type="spellEnd"/>
      <w:r w:rsidRPr="007A45AC">
        <w:t xml:space="preserve"> na používanie v Únii sa skončila 31. júla 2018;</w:t>
      </w:r>
    </w:p>
    <w:p w14:paraId="43AE0838" w14:textId="77777777" w:rsidR="00A226B8" w:rsidRPr="007A45AC" w:rsidRDefault="00A226B8" w:rsidP="00A226B8">
      <w:pPr>
        <w:pStyle w:val="NormalHanging12a"/>
      </w:pPr>
      <w:r w:rsidRPr="007A45AC">
        <w:t>H.</w:t>
      </w:r>
      <w:r w:rsidRPr="007A45AC">
        <w:tab/>
        <w:t xml:space="preserve">keďže naďalej pretrvávajú závažné otázky v súvislosti s karcinogenitou </w:t>
      </w:r>
      <w:proofErr w:type="spellStart"/>
      <w:r w:rsidRPr="007A45AC">
        <w:t>glyfozátu</w:t>
      </w:r>
      <w:proofErr w:type="spellEnd"/>
      <w:r w:rsidRPr="007A45AC">
        <w:t xml:space="preserve">; keďže EFSA v novembri 2015 dospel k záveru, že </w:t>
      </w:r>
      <w:proofErr w:type="spellStart"/>
      <w:r w:rsidRPr="007A45AC">
        <w:t>glyfozát</w:t>
      </w:r>
      <w:proofErr w:type="spellEnd"/>
      <w:r w:rsidRPr="007A45AC">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proofErr w:type="spellStart"/>
      <w:r w:rsidRPr="007A45AC">
        <w:t>glyfozát</w:t>
      </w:r>
      <w:proofErr w:type="spellEnd"/>
      <w:r w:rsidRPr="007A45AC">
        <w:t xml:space="preserve"> ako pravdepodobný karcinogén pre ľudí; keďže viaceré nedávne vedecké recenzované štúdie potvrdzujú karcinogénny potenciál </w:t>
      </w:r>
      <w:proofErr w:type="spellStart"/>
      <w:r w:rsidRPr="007A45AC">
        <w:t>glyfozátu</w:t>
      </w:r>
      <w:proofErr w:type="spellEnd"/>
      <w:r w:rsidRPr="007A45AC">
        <w:rPr>
          <w:rStyle w:val="FootnoteReference"/>
        </w:rPr>
        <w:footnoteReference w:id="8"/>
      </w:r>
      <w:r w:rsidRPr="007A45AC">
        <w:t xml:space="preserve">; keďže časopis </w:t>
      </w:r>
      <w:proofErr w:type="spellStart"/>
      <w:r w:rsidRPr="007A45AC">
        <w:t>Regulatory</w:t>
      </w:r>
      <w:proofErr w:type="spellEnd"/>
      <w:r w:rsidRPr="007A45AC">
        <w:t xml:space="preserve"> </w:t>
      </w:r>
      <w:proofErr w:type="spellStart"/>
      <w:r w:rsidRPr="007A45AC">
        <w:t>Toxicology</w:t>
      </w:r>
      <w:proofErr w:type="spellEnd"/>
      <w:r w:rsidRPr="007A45AC">
        <w:t xml:space="preserve"> and </w:t>
      </w:r>
      <w:proofErr w:type="spellStart"/>
      <w:r w:rsidRPr="007A45AC">
        <w:t>Pharmacology</w:t>
      </w:r>
      <w:proofErr w:type="spellEnd"/>
      <w:r w:rsidRPr="007A45AC">
        <w:t xml:space="preserve"> formálne stiahol vedeckú prácu „</w:t>
      </w:r>
      <w:proofErr w:type="spellStart"/>
      <w:r w:rsidRPr="007A45AC">
        <w:t>Safety</w:t>
      </w:r>
      <w:proofErr w:type="spellEnd"/>
      <w:r w:rsidRPr="007A45AC">
        <w:t xml:space="preserve"> </w:t>
      </w:r>
      <w:proofErr w:type="spellStart"/>
      <w:r w:rsidRPr="007A45AC">
        <w:t>Evaluation</w:t>
      </w:r>
      <w:proofErr w:type="spellEnd"/>
      <w:r w:rsidRPr="007A45AC">
        <w:t xml:space="preserve"> and Risk </w:t>
      </w:r>
      <w:proofErr w:type="spellStart"/>
      <w:r w:rsidRPr="007A45AC">
        <w:t>Assessment</w:t>
      </w:r>
      <w:proofErr w:type="spellEnd"/>
      <w:r w:rsidRPr="007A45AC">
        <w:t xml:space="preserve"> of </w:t>
      </w:r>
      <w:proofErr w:type="spellStart"/>
      <w:r w:rsidRPr="007A45AC">
        <w:t>the</w:t>
      </w:r>
      <w:proofErr w:type="spellEnd"/>
      <w:r w:rsidRPr="007A45AC">
        <w:t xml:space="preserve"> </w:t>
      </w:r>
      <w:proofErr w:type="spellStart"/>
      <w:r w:rsidRPr="007A45AC">
        <w:t>Herbicide</w:t>
      </w:r>
      <w:proofErr w:type="spellEnd"/>
      <w:r w:rsidRPr="007A45AC">
        <w:t xml:space="preserve"> </w:t>
      </w:r>
      <w:proofErr w:type="spellStart"/>
      <w:r w:rsidRPr="007A45AC">
        <w:t>Roundup</w:t>
      </w:r>
      <w:proofErr w:type="spellEnd"/>
      <w:r w:rsidRPr="007A45AC">
        <w:t xml:space="preserve"> and </w:t>
      </w:r>
      <w:proofErr w:type="spellStart"/>
      <w:r w:rsidRPr="007A45AC">
        <w:t>Its</w:t>
      </w:r>
      <w:proofErr w:type="spellEnd"/>
      <w:r w:rsidRPr="007A45AC">
        <w:t xml:space="preserve"> </w:t>
      </w:r>
      <w:proofErr w:type="spellStart"/>
      <w:r w:rsidRPr="007A45AC">
        <w:t>Active</w:t>
      </w:r>
      <w:proofErr w:type="spellEnd"/>
      <w:r w:rsidRPr="007A45AC">
        <w:t xml:space="preserve"> </w:t>
      </w:r>
      <w:proofErr w:type="spellStart"/>
      <w:r w:rsidRPr="007A45AC">
        <w:t>Ingredient</w:t>
      </w:r>
      <w:proofErr w:type="spellEnd"/>
      <w:r w:rsidRPr="007A45AC">
        <w:t xml:space="preserve">, </w:t>
      </w:r>
      <w:proofErr w:type="spellStart"/>
      <w:r w:rsidRPr="007A45AC">
        <w:t>Glyphosate</w:t>
      </w:r>
      <w:proofErr w:type="spellEnd"/>
      <w:r w:rsidRPr="007A45AC">
        <w:t xml:space="preserve">, </w:t>
      </w:r>
      <w:proofErr w:type="spellStart"/>
      <w:r w:rsidRPr="007A45AC">
        <w:t>for</w:t>
      </w:r>
      <w:proofErr w:type="spellEnd"/>
      <w:r w:rsidRPr="007A45AC">
        <w:t xml:space="preserve"> </w:t>
      </w:r>
      <w:proofErr w:type="spellStart"/>
      <w:r w:rsidRPr="007A45AC">
        <w:t>Humans</w:t>
      </w:r>
      <w:proofErr w:type="spellEnd"/>
      <w:r w:rsidRPr="007A45AC">
        <w:t xml:space="preserve">“ (Hodnotenie bezpečnosti a hodnotenie rizík herbicídu </w:t>
      </w:r>
      <w:proofErr w:type="spellStart"/>
      <w:r w:rsidRPr="007A45AC">
        <w:t>Roundup</w:t>
      </w:r>
      <w:proofErr w:type="spellEnd"/>
      <w:r w:rsidRPr="007A45AC">
        <w:t xml:space="preserve"> a jeho účinnej látky </w:t>
      </w:r>
      <w:proofErr w:type="spellStart"/>
      <w:r w:rsidRPr="007A45AC">
        <w:t>glyfozátu</w:t>
      </w:r>
      <w:proofErr w:type="spellEnd"/>
      <w:r w:rsidRPr="007A45AC">
        <w:t xml:space="preserve"> pre ľudí), ktorá bola uverejnená v roku 2000 a ktorá sa používala na obhajobu bezpečnosti </w:t>
      </w:r>
      <w:proofErr w:type="spellStart"/>
      <w:r w:rsidRPr="007A45AC">
        <w:t>glyfozátu</w:t>
      </w:r>
      <w:proofErr w:type="spellEnd"/>
      <w:r w:rsidRPr="007A45AC">
        <w:t xml:space="preserve"> v mnohých posúdeniach rizík, keďže „boli vyjadrené obavy týkajúce sa jej autorstva, platnosti výsledkov výskumu v kontexte skresľovania príspevkov autorov a zadávateľa štúdie a možného konfliktu záujmov autorov“</w:t>
      </w:r>
      <w:r w:rsidRPr="007A45AC">
        <w:rPr>
          <w:rStyle w:val="FootnoteReference"/>
        </w:rPr>
        <w:footnoteReference w:id="9"/>
      </w:r>
      <w:r w:rsidRPr="007A45AC">
        <w:t>;</w:t>
      </w:r>
    </w:p>
    <w:p w14:paraId="067E1CBF" w14:textId="77777777" w:rsidR="00A226B8" w:rsidRPr="007A45AC" w:rsidRDefault="00A226B8" w:rsidP="00A226B8">
      <w:pPr>
        <w:pStyle w:val="NormalHanging12a"/>
      </w:pPr>
      <w:r w:rsidRPr="007A45AC">
        <w:t>I.</w:t>
      </w:r>
      <w:r w:rsidRPr="007A45AC">
        <w:tab/>
        <w:t>keďže nie je dostatočne zaručené nezávislé monitorovanie možných nepriaznivých účinkov na biodiverzitu, zdravie pôdy, opeľovače a necieľové organizmy a dohľad nad nimi;</w:t>
      </w:r>
    </w:p>
    <w:p w14:paraId="2F217B0B" w14:textId="77777777" w:rsidR="00A226B8" w:rsidRPr="007A45AC" w:rsidRDefault="00A226B8" w:rsidP="00A226B8">
      <w:pPr>
        <w:spacing w:after="240"/>
        <w:ind w:left="567" w:hanging="567"/>
      </w:pPr>
      <w:r w:rsidRPr="007A45AC">
        <w:t>J.</w:t>
      </w:r>
      <w:r w:rsidRPr="007A45AC">
        <w:tab/>
        <w:t xml:space="preserve">keďže v prípadoch vedeckej neistoty by sa mala uplatňovať zásada predbežnej </w:t>
      </w:r>
      <w:r w:rsidRPr="007A45AC">
        <w:lastRenderedPageBreak/>
        <w:t>opatrnosti ustanovená v článku 191 Zmluvy o fungovaní Európskej únie;</w:t>
      </w:r>
    </w:p>
    <w:p w14:paraId="327A1C8E" w14:textId="77777777" w:rsidR="00A226B8" w:rsidRPr="007A45AC" w:rsidRDefault="00A226B8" w:rsidP="00A226B8">
      <w:pPr>
        <w:spacing w:after="240"/>
        <w:ind w:left="567" w:hanging="567"/>
      </w:pPr>
      <w:r w:rsidRPr="007A45AC">
        <w:t>K.</w:t>
      </w:r>
      <w:r w:rsidRPr="007A45AC">
        <w:tab/>
        <w:t>keďže podľa nariadenia (ES) č. 1829/2003 sa vyžaduje, že geneticky modifikované potraviny a krmivá nesmú mať nepriaznivé účinky na ľudské zdravie, zdravie zvierat alebo na životné prostredie;</w:t>
      </w:r>
    </w:p>
    <w:p w14:paraId="11A638F9" w14:textId="77777777" w:rsidR="00A226B8" w:rsidRPr="007A45AC" w:rsidRDefault="00A226B8" w:rsidP="00A226B8">
      <w:pPr>
        <w:pStyle w:val="NormalWeb"/>
        <w:widowControl w:val="0"/>
        <w:spacing w:before="0" w:beforeAutospacing="0" w:after="240" w:afterAutospacing="0"/>
        <w:ind w:left="567" w:hanging="567"/>
      </w:pPr>
      <w:r w:rsidRPr="007A45AC">
        <w:t>L.</w:t>
      </w:r>
      <w:r w:rsidRPr="007A45AC">
        <w:tab/>
        <w:t>keďže povolenie Únie pre geneticky modifikovanú sóju by nebolo v súlade s medzinárodnými záväzkami v oblasti znižovania množstva pesticídov</w:t>
      </w:r>
      <w:r w:rsidRPr="007A45AC">
        <w:rPr>
          <w:vertAlign w:val="superscript"/>
        </w:rPr>
        <w:footnoteReference w:id="10"/>
      </w:r>
      <w:r w:rsidRPr="007A45AC">
        <w:t xml:space="preserve"> vzhľadom na zvýšenú expozíciu ľudí, zvierat a životného prostredia účinkom </w:t>
      </w:r>
      <w:proofErr w:type="spellStart"/>
      <w:r w:rsidRPr="007A45AC">
        <w:t>glyfozátu</w:t>
      </w:r>
      <w:proofErr w:type="spellEnd"/>
      <w:r w:rsidRPr="007A45AC">
        <w:t xml:space="preserve"> a </w:t>
      </w:r>
      <w:proofErr w:type="spellStart"/>
      <w:r w:rsidRPr="007A45AC">
        <w:t>glufosinátu</w:t>
      </w:r>
      <w:proofErr w:type="spellEnd"/>
      <w:r w:rsidRPr="007A45AC">
        <w:t xml:space="preserve"> v krajinách, v ktorých sa pestujú tieto geneticky modifikované plodiny tolerantné voči herbicídom, ako aj na potenciálne súvisiace závažné zdravotné dôsledky;</w:t>
      </w:r>
    </w:p>
    <w:p w14:paraId="30E46394" w14:textId="77777777" w:rsidR="00A226B8" w:rsidRPr="007A45AC" w:rsidRDefault="00A226B8" w:rsidP="00A226B8">
      <w:pPr>
        <w:spacing w:after="240"/>
        <w:ind w:left="567" w:hanging="567"/>
      </w:pPr>
      <w:r w:rsidRPr="007A45AC">
        <w:t>M.</w:t>
      </w:r>
      <w:r w:rsidRPr="007A45AC">
        <w:tab/>
        <w:t>keďže návrh vykonávacieho rozhodnutia Komisie by umožnil dovoz do Únie, ktorý nie je v súlade s normami, ktoré dodržiavajú poľnohospodári Únie, čím by sa dostali do konkurenčnej nevýhody;</w:t>
      </w:r>
    </w:p>
    <w:p w14:paraId="44CCE44E" w14:textId="4B0176F5" w:rsidR="00A226B8" w:rsidRPr="007A45AC" w:rsidRDefault="00A226B8" w:rsidP="00A226B8">
      <w:pPr>
        <w:spacing w:after="240"/>
        <w:ind w:left="567" w:hanging="567"/>
      </w:pPr>
      <w:r w:rsidRPr="007A45AC">
        <w:t>N.</w:t>
      </w:r>
      <w:r w:rsidRPr="007A45AC">
        <w:tab/>
        <w:t>keďže v záveroch strategického dialógu o budúcnosti poľnohospodárstva v EÚ</w:t>
      </w:r>
      <w:r w:rsidRPr="007A45AC">
        <w:rPr>
          <w:rStyle w:val="FootnoteReference"/>
        </w:rPr>
        <w:footnoteReference w:id="11"/>
      </w:r>
      <w:r w:rsidRPr="007A45AC">
        <w:t xml:space="preserve"> sa Komisia vyzýva, aby prehodnotila </w:t>
      </w:r>
      <w:r w:rsidR="00E42B7D">
        <w:t xml:space="preserve">svoj </w:t>
      </w:r>
      <w:r w:rsidRPr="007A45AC">
        <w:t xml:space="preserve">prístup, pokiaľ ide o prístup na trh pre </w:t>
      </w:r>
      <w:proofErr w:type="spellStart"/>
      <w:r w:rsidRPr="007A45AC">
        <w:t>agropotravinový</w:t>
      </w:r>
      <w:proofErr w:type="spellEnd"/>
      <w:r w:rsidRPr="007A45AC">
        <w:t xml:space="preserve">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14:paraId="035F5F61" w14:textId="719E3D12" w:rsidR="00A226B8" w:rsidRPr="007A45AC" w:rsidRDefault="00A226B8" w:rsidP="00A226B8">
      <w:pPr>
        <w:spacing w:after="240"/>
        <w:ind w:left="567" w:hanging="567"/>
      </w:pPr>
      <w:r w:rsidRPr="007A45AC">
        <w:t>O.</w:t>
      </w:r>
      <w:r w:rsidRPr="007A45AC">
        <w:tab/>
        <w:t xml:space="preserve">keďže </w:t>
      </w:r>
      <w:r w:rsidR="00693E31" w:rsidRPr="007A45AC">
        <w:t>Európsky p</w:t>
      </w:r>
      <w:r w:rsidRPr="007A45AC">
        <w:t xml:space="preserve">arlament opakovane zdôraznil, že Komisia by nemala povoľovať </w:t>
      </w:r>
      <w:r w:rsidR="007527DD">
        <w:t>geneticky modifikované organizmy</w:t>
      </w:r>
      <w:r w:rsidRPr="007A45AC">
        <w:t xml:space="preserve"> v prípadoch, keď členské štáty nedosiahnu kvalifikovanú väčšinu v Stálom výbore pre rastliny, zvieratá, potraviny a krmivá alebo v odvolacom výbore, aby sa vyriešil pretrvávajúci demokratický deficit;</w:t>
      </w:r>
    </w:p>
    <w:p w14:paraId="7CDAB3F2" w14:textId="3F69E3A0" w:rsidR="00A226B8" w:rsidRPr="007A45AC" w:rsidRDefault="00A226B8" w:rsidP="00A226B8">
      <w:pPr>
        <w:pStyle w:val="NormalWeb"/>
        <w:widowControl w:val="0"/>
        <w:shd w:val="clear" w:color="auto" w:fill="FFFFFF"/>
        <w:spacing w:before="0" w:beforeAutospacing="0" w:after="240" w:afterAutospacing="0"/>
        <w:ind w:left="567" w:hanging="567"/>
        <w:rPr>
          <w:color w:val="000000" w:themeColor="text1"/>
        </w:rPr>
      </w:pPr>
      <w:r w:rsidRPr="007A45AC">
        <w:rPr>
          <w:color w:val="000000" w:themeColor="text1"/>
        </w:rPr>
        <w:t>P.</w:t>
      </w:r>
      <w:r w:rsidRPr="007A45AC">
        <w:rPr>
          <w:color w:val="000000" w:themeColor="text1"/>
        </w:rPr>
        <w:tab/>
        <w:t xml:space="preserve">keďže Komisia naďalej povoľuje </w:t>
      </w:r>
      <w:r w:rsidR="00E42B7D" w:rsidRPr="007A45AC">
        <w:t>geneticky modifikované</w:t>
      </w:r>
      <w:r w:rsidR="00E42B7D">
        <w:t xml:space="preserve"> organizmy</w:t>
      </w:r>
      <w:r w:rsidRPr="007A45AC">
        <w:rPr>
          <w:color w:val="000000" w:themeColor="text1"/>
        </w:rPr>
        <w:t>, hoci si sama uvedomuje nedostatky z hľadiska demokracie, nízku podporu členských štátov a námietky Európskeho parlamentu;</w:t>
      </w:r>
    </w:p>
    <w:p w14:paraId="6D365574" w14:textId="39A63F39" w:rsidR="00A226B8" w:rsidRPr="007A45AC" w:rsidRDefault="00A226B8" w:rsidP="00A226B8">
      <w:pPr>
        <w:spacing w:after="240"/>
        <w:ind w:left="567" w:hanging="567"/>
      </w:pPr>
      <w:r w:rsidRPr="007A45AC">
        <w:t>Q.</w:t>
      </w:r>
      <w:r w:rsidRPr="007A45AC">
        <w:tab/>
        <w:t xml:space="preserve">keďže na základe prístupu „jedno zdravie“ sa vyžaduje, aby sa pri hodnotení dlhodobej udržateľnosti a bezpečnosti </w:t>
      </w:r>
      <w:r w:rsidR="00E42B7D" w:rsidRPr="007A45AC">
        <w:t>geneticky modifikovan</w:t>
      </w:r>
      <w:r w:rsidR="00E42B7D">
        <w:t>ých</w:t>
      </w:r>
      <w:r w:rsidR="00E42B7D" w:rsidRPr="007A45AC">
        <w:t xml:space="preserve"> </w:t>
      </w:r>
      <w:r w:rsidR="00E42B7D">
        <w:t xml:space="preserve">organizmov </w:t>
      </w:r>
      <w:r w:rsidRPr="007A45AC">
        <w:t>zohľadňovala vzájomná závislosť medzi zdravím ľudí, zvierat, rastlín a životného prostredia;</w:t>
      </w:r>
    </w:p>
    <w:p w14:paraId="58793DCC" w14:textId="1FB86E15" w:rsidR="00A226B8" w:rsidRPr="007A45AC" w:rsidRDefault="00A226B8" w:rsidP="00A226B8">
      <w:pPr>
        <w:spacing w:after="240"/>
        <w:ind w:left="567" w:hanging="567"/>
      </w:pPr>
      <w:r w:rsidRPr="007A45AC">
        <w:t>R.</w:t>
      </w:r>
      <w:r w:rsidRPr="007A45AC">
        <w:tab/>
        <w:t xml:space="preserve">keďže toto uznesenie bude </w:t>
      </w:r>
      <w:r w:rsidR="00A01704" w:rsidRPr="007A45AC">
        <w:t xml:space="preserve">takmer </w:t>
      </w:r>
      <w:r w:rsidRPr="007A45AC">
        <w:t xml:space="preserve">100. uznesením, ktoré prijal Európsky parlament a v ktorých namieta proti povoľovaniu dovozu geneticky modifikovaných plodín; </w:t>
      </w:r>
    </w:p>
    <w:p w14:paraId="3E44A249" w14:textId="77777777" w:rsidR="00A226B8" w:rsidRPr="007A45AC" w:rsidRDefault="00A226B8" w:rsidP="00A226B8">
      <w:pPr>
        <w:pStyle w:val="NormalHanging12a"/>
      </w:pPr>
      <w:r w:rsidRPr="007A45AC">
        <w:t>1.</w:t>
      </w:r>
      <w:r w:rsidRPr="007A45AC">
        <w:tab/>
        <w:t>domnieva sa, že návrh vykonávacieho rozhodnutia Komisie prekračuje rámec vykonávacích právomocí stanovených v nariadení (ES) č. 1829/2003;</w:t>
      </w:r>
    </w:p>
    <w:p w14:paraId="6A12A8ED" w14:textId="77777777" w:rsidR="00A226B8" w:rsidRPr="007A45AC" w:rsidRDefault="00A226B8" w:rsidP="00A226B8">
      <w:pPr>
        <w:pStyle w:val="NormalHanging12a"/>
      </w:pPr>
      <w:bookmarkStart w:id="9" w:name="_Hlk218675825"/>
      <w:r w:rsidRPr="007A45AC">
        <w:t>2.</w:t>
      </w:r>
      <w:r w:rsidRPr="007A45AC">
        <w:tab/>
        <w:t xml:space="preserve">domnieva sa, že návrh vykonávacieho rozhodnutia Komisie nie je v súlade s právom Únie, pretože nie je zlučiteľný s cieľom nariadenia (ES) č. 1829/2003, ktorým je podľa všeobecných zásad uvedených v nariadení Európskeho parlamentu a Rady (ES) </w:t>
      </w:r>
      <w:r w:rsidRPr="007A45AC">
        <w:lastRenderedPageBreak/>
        <w:t>č. 178/2002</w:t>
      </w:r>
      <w:r w:rsidRPr="007A45AC">
        <w:rPr>
          <w:vertAlign w:val="superscript"/>
        </w:rPr>
        <w:footnoteReference w:id="12"/>
      </w:r>
      <w:r w:rsidRPr="007A45AC">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 </w:t>
      </w:r>
    </w:p>
    <w:bookmarkEnd w:id="9"/>
    <w:p w14:paraId="68E78734" w14:textId="77777777" w:rsidR="00A226B8" w:rsidRPr="007A45AC" w:rsidRDefault="00A226B8" w:rsidP="00A226B8">
      <w:pPr>
        <w:pStyle w:val="NormalHanging12a"/>
      </w:pPr>
      <w:r w:rsidRPr="007A45AC">
        <w:t>3.</w:t>
      </w:r>
      <w:r w:rsidRPr="007A45AC">
        <w:tab/>
        <w:t>žiada Komisiu, aby stiahla svoj návrh vykonávacieho rozhodnutia;</w:t>
      </w:r>
    </w:p>
    <w:p w14:paraId="153AC071" w14:textId="77777777" w:rsidR="00A226B8" w:rsidRPr="007A45AC" w:rsidRDefault="00A226B8" w:rsidP="00A226B8">
      <w:pPr>
        <w:spacing w:after="240"/>
        <w:ind w:left="567" w:hanging="567"/>
      </w:pPr>
      <w:r w:rsidRPr="007A45AC">
        <w:t>4.</w:t>
      </w:r>
      <w:r w:rsidRPr="007A45AC">
        <w:tab/>
        <w:t>vyzýva Komisiu, aby nepovolila geneticky modifikovanú sóju z dôvodu nedostatočných dôkazov o dlhodobom vplyve na biodiverzitu, bezpečnosť potravín, živobytie poľnohospodárov a zdravie zvierat v súlade s prístupom „jedno zdravie“;</w:t>
      </w:r>
    </w:p>
    <w:p w14:paraId="09F56DC5" w14:textId="4B68D5B8" w:rsidR="00A226B8" w:rsidRPr="007A45AC" w:rsidRDefault="00A226B8" w:rsidP="00A226B8">
      <w:pPr>
        <w:spacing w:after="240"/>
        <w:ind w:left="567" w:hanging="567"/>
      </w:pPr>
      <w:bookmarkStart w:id="10" w:name="_Hlk210900300"/>
      <w:r w:rsidRPr="007A45AC">
        <w:t>5.</w:t>
      </w:r>
      <w:r w:rsidRPr="007A45AC">
        <w:tab/>
        <w:t xml:space="preserve">vyzýva Komisiu, aby bezodkladne predložila legislatívny návrh na reformu rozhodovacieho postupu v prípade </w:t>
      </w:r>
      <w:r w:rsidR="00E42B7D" w:rsidRPr="007A45AC">
        <w:t>geneticky modifikovan</w:t>
      </w:r>
      <w:r w:rsidR="00E42B7D">
        <w:t>ých</w:t>
      </w:r>
      <w:r w:rsidR="00E42B7D" w:rsidRPr="007A45AC">
        <w:t xml:space="preserve"> </w:t>
      </w:r>
      <w:r w:rsidR="00E42B7D">
        <w:t xml:space="preserve">organizmov </w:t>
      </w:r>
      <w:r w:rsidRPr="007A45AC">
        <w:t xml:space="preserve">s cieľom reagovať na sústavné námietky </w:t>
      </w:r>
      <w:r w:rsidR="00693E31" w:rsidRPr="007A45AC">
        <w:t>Európskeho p</w:t>
      </w:r>
      <w:r w:rsidRPr="007A45AC">
        <w:t>arlamentu a nedostatok podpory kvalifikovanej väčšiny členských štátov</w:t>
      </w:r>
      <w:bookmarkEnd w:id="10"/>
      <w:r w:rsidRPr="007A45AC">
        <w:t>;</w:t>
      </w:r>
    </w:p>
    <w:p w14:paraId="2780D351" w14:textId="7EB940E1" w:rsidR="00A226B8" w:rsidRPr="007A45AC" w:rsidRDefault="00A226B8" w:rsidP="00A226B8">
      <w:pPr>
        <w:spacing w:after="240"/>
        <w:ind w:left="567" w:hanging="567"/>
      </w:pPr>
      <w:bookmarkStart w:id="11" w:name="_Hlk210900241"/>
      <w:r w:rsidRPr="007A45AC">
        <w:t>6.</w:t>
      </w:r>
      <w:r w:rsidRPr="007A45AC">
        <w:tab/>
        <w:t xml:space="preserve">v tejto súvislosti zdôrazňuje, že povolenie dovozu akejkoľvek geneticky modifikovanej rastliny, ktorá je tolerantná voči herbicídom, ktoré sú v Únii zakázané, ako je </w:t>
      </w:r>
      <w:proofErr w:type="spellStart"/>
      <w:r w:rsidRPr="007A45AC">
        <w:t>glufosinát</w:t>
      </w:r>
      <w:proofErr w:type="spellEnd"/>
      <w:r w:rsidRPr="007A45AC">
        <w:t>, na použitie v potravinách, krmivách alebo iných produktoch, je v rozpore s medzinárodnými záväzkami Únie, okrem iného v rámci Dohovoru OSN o biologickej diverzite a cieľov OSN v oblasti udržateľného rozvoja vrátane rámc</w:t>
      </w:r>
      <w:r w:rsidR="00E42B7D">
        <w:t>a</w:t>
      </w:r>
      <w:r w:rsidRPr="007A45AC">
        <w:t xml:space="preserve"> z </w:t>
      </w:r>
      <w:proofErr w:type="spellStart"/>
      <w:r w:rsidRPr="007A45AC">
        <w:t>Kchun-mingu</w:t>
      </w:r>
      <w:proofErr w:type="spellEnd"/>
      <w:r w:rsidRPr="007A45AC">
        <w:t xml:space="preserve"> a Montrealu, a že vytvára nerovnaké podmienky pre poľnohospodárov v Únii;</w:t>
      </w:r>
      <w:bookmarkEnd w:id="11"/>
    </w:p>
    <w:p w14:paraId="6F21A03B" w14:textId="2DCF0E00" w:rsidR="00E365E1" w:rsidRPr="007A45AC" w:rsidRDefault="00A226B8" w:rsidP="00693E31">
      <w:pPr>
        <w:pStyle w:val="NormalHanging12a"/>
      </w:pPr>
      <w:r w:rsidRPr="007A45AC">
        <w:t>7.</w:t>
      </w:r>
      <w:r w:rsidRPr="007A45AC">
        <w:tab/>
        <w:t>poveruje svoju predsedníčku, aby postúpila toto uznesenie Rade, Komisii a vládam a parlamentom členských štátov.</w:t>
      </w:r>
    </w:p>
    <w:sectPr w:rsidR="00E365E1" w:rsidRPr="007A45AC" w:rsidSect="0071520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69C02" w14:textId="77777777" w:rsidR="00130DE0" w:rsidRPr="00715204" w:rsidRDefault="00130DE0">
      <w:r w:rsidRPr="00715204">
        <w:separator/>
      </w:r>
    </w:p>
  </w:endnote>
  <w:endnote w:type="continuationSeparator" w:id="0">
    <w:p w14:paraId="448E05FF" w14:textId="77777777" w:rsidR="00130DE0" w:rsidRPr="00715204" w:rsidRDefault="00130DE0">
      <w:r w:rsidRPr="007152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2A42" w14:textId="77777777" w:rsidR="00064002" w:rsidRPr="0071520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96E4" w14:textId="77777777" w:rsidR="00064002" w:rsidRPr="0071520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65748" w14:textId="77777777" w:rsidR="00064002" w:rsidRPr="007152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A4455" w14:textId="77777777" w:rsidR="00130DE0" w:rsidRPr="00715204" w:rsidRDefault="00130DE0">
      <w:r w:rsidRPr="00715204">
        <w:separator/>
      </w:r>
    </w:p>
  </w:footnote>
  <w:footnote w:type="continuationSeparator" w:id="0">
    <w:p w14:paraId="154948C7" w14:textId="77777777" w:rsidR="00130DE0" w:rsidRPr="00715204" w:rsidRDefault="00130DE0">
      <w:r w:rsidRPr="00715204">
        <w:continuationSeparator/>
      </w:r>
    </w:p>
  </w:footnote>
  <w:footnote w:id="1">
    <w:p w14:paraId="1AEC4144" w14:textId="3451544A"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Ú. v. EÚ L 268, 18.10.2003, s. 1, ELI: </w:t>
      </w:r>
      <w:hyperlink r:id="rId1" w:history="1">
        <w:r w:rsidRPr="00715204">
          <w:rPr>
            <w:rStyle w:val="Hyperlink"/>
            <w:sz w:val="24"/>
            <w:lang w:val="sk-SK"/>
          </w:rPr>
          <w:t>http://data.europa.eu/eli/reg/2003/1829/oj</w:t>
        </w:r>
      </w:hyperlink>
      <w:r w:rsidRPr="00715204">
        <w:rPr>
          <w:sz w:val="24"/>
          <w:u w:val="single"/>
          <w:lang w:val="sk-SK"/>
        </w:rPr>
        <w:t>.</w:t>
      </w:r>
    </w:p>
  </w:footnote>
  <w:footnote w:id="2">
    <w:p w14:paraId="749083F3" w14:textId="4A5F9A21"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 xml:space="preserve">Ú. v. EÚ L 55, 28.2.2011, s. </w:t>
      </w:r>
      <w:r w:rsidRPr="00715204">
        <w:rPr>
          <w:sz w:val="24"/>
          <w:lang w:val="sk-SK"/>
        </w:rPr>
        <w:t>13, ELI: </w:t>
      </w:r>
      <w:hyperlink r:id="rId2" w:history="1">
        <w:r w:rsidRPr="00715204">
          <w:rPr>
            <w:rStyle w:val="Hyperlink"/>
            <w:sz w:val="24"/>
            <w:lang w:val="sk-SK"/>
          </w:rPr>
          <w:t>http://data.europa.eu/eli/reg/2011/182/oj</w:t>
        </w:r>
      </w:hyperlink>
      <w:r w:rsidRPr="00715204">
        <w:rPr>
          <w:rStyle w:val="Hyperlink"/>
          <w:sz w:val="24"/>
          <w:lang w:val="sk-SK"/>
        </w:rPr>
        <w:t>.</w:t>
      </w:r>
    </w:p>
  </w:footnote>
  <w:footnote w:id="3">
    <w:p w14:paraId="6722EE98" w14:textId="2CABD7A2"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 xml:space="preserve">Vedecké stanovisko pracovnej skupiny EFSA pre geneticky modifikované organizmy k posúdeniu geneticky modifikovanej sóje DBN9004 (žiadosť EFSA-GMO-BE-2019-165), </w:t>
      </w:r>
      <w:r w:rsidRPr="00715204">
        <w:rPr>
          <w:i/>
          <w:sz w:val="24"/>
          <w:lang w:val="sk-SK"/>
        </w:rPr>
        <w:t>Vestník EFSA</w:t>
      </w:r>
      <w:r w:rsidRPr="00715204">
        <w:rPr>
          <w:sz w:val="24"/>
          <w:lang w:val="sk-SK"/>
        </w:rPr>
        <w:t xml:space="preserve"> 2025, 23(7): e9503, </w:t>
      </w:r>
      <w:hyperlink r:id="rId3" w:history="1">
        <w:r w:rsidRPr="00715204">
          <w:rPr>
            <w:rStyle w:val="Hyperlink"/>
            <w:sz w:val="24"/>
            <w:lang w:val="sk-SK"/>
          </w:rPr>
          <w:t>https://doi.org/10.2903/j.efsa.2025.9503</w:t>
        </w:r>
      </w:hyperlink>
      <w:r w:rsidRPr="00715204">
        <w:rPr>
          <w:sz w:val="24"/>
          <w:lang w:val="sk-SK"/>
        </w:rPr>
        <w:t xml:space="preserve">. </w:t>
      </w:r>
    </w:p>
  </w:footnote>
  <w:footnote w:id="4">
    <w:p w14:paraId="42283E05" w14:textId="3A2BA609" w:rsidR="00A226B8" w:rsidRPr="00715204" w:rsidRDefault="00A226B8" w:rsidP="00715204">
      <w:pPr>
        <w:pStyle w:val="FootnoteText"/>
        <w:ind w:left="567" w:hanging="567"/>
        <w:rPr>
          <w:sz w:val="24"/>
          <w:vertAlign w:val="superscript"/>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 xml:space="preserve">Európsky parlament prijal vo svojom ôsmom volebnom období 36 uznesení a v deviatom volebnom období 38 uznesení, v ktorých namieta proti povoľovaniu </w:t>
      </w:r>
      <w:r w:rsidR="00B44037" w:rsidRPr="00B44037">
        <w:rPr>
          <w:sz w:val="24"/>
          <w:lang w:val="sk-SK"/>
        </w:rPr>
        <w:t>geneticky modifikovaných organizmov</w:t>
      </w:r>
      <w:r w:rsidRPr="00715204">
        <w:rPr>
          <w:sz w:val="24"/>
          <w:lang w:val="sk-SK"/>
        </w:rPr>
        <w:t>. Okrem toho Európsky parlament počas desiateho volebného obdobia prijal tieto uznesenia:</w:t>
      </w:r>
    </w:p>
    <w:p w14:paraId="1CE028E0" w14:textId="723FBF4B"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w:t>
      </w:r>
      <w:r w:rsidR="00A226B8" w:rsidRPr="00715204">
        <w:rPr>
          <w:sz w:val="24"/>
          <w:lang w:val="sk-SK"/>
        </w:rPr>
        <w:t>1829/2003</w:t>
      </w:r>
      <w:r w:rsidR="00D17922">
        <w:rPr>
          <w:sz w:val="24"/>
          <w:lang w:val="sk-SK"/>
        </w:rPr>
        <w:t xml:space="preserve">, </w:t>
      </w:r>
      <w:r w:rsidR="00A226B8" w:rsidRPr="00715204">
        <w:rPr>
          <w:sz w:val="24"/>
          <w:lang w:val="sk-SK"/>
        </w:rPr>
        <w:t>Ú. v. EÚ C, C/2025/1797, 4.4.2025, ELI: </w:t>
      </w:r>
      <w:hyperlink r:id="rId4" w:history="1">
        <w:r w:rsidR="00A226B8" w:rsidRPr="00715204">
          <w:rPr>
            <w:rStyle w:val="Hyperlink"/>
            <w:sz w:val="24"/>
            <w:lang w:val="sk-SK"/>
          </w:rPr>
          <w:t>http://data.europa.eu/eli/C/2025/1797/oj</w:t>
        </w:r>
      </w:hyperlink>
      <w:r w:rsidR="00A226B8" w:rsidRPr="00715204">
        <w:rPr>
          <w:sz w:val="24"/>
          <w:lang w:val="sk-SK"/>
        </w:rPr>
        <w:t>).</w:t>
      </w:r>
    </w:p>
    <w:p w14:paraId="5E8CD1CB" w14:textId="79168641" w:rsidR="00A226B8" w:rsidRPr="00715204" w:rsidRDefault="00715204" w:rsidP="00715204">
      <w:pPr>
        <w:pStyle w:val="FootnoteText"/>
        <w:keepN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00A226B8" w:rsidRPr="00715204">
          <w:rPr>
            <w:rStyle w:val="Hyperlink"/>
            <w:sz w:val="24"/>
            <w:lang w:val="sk-SK"/>
          </w:rPr>
          <w:t>http://data.europa.eu/eli/C/2025/1798/oj</w:t>
        </w:r>
      </w:hyperlink>
      <w:r w:rsidR="00A226B8" w:rsidRPr="00715204">
        <w:rPr>
          <w:sz w:val="24"/>
          <w:lang w:val="sk-SK"/>
        </w:rPr>
        <w:t>).</w:t>
      </w:r>
    </w:p>
    <w:p w14:paraId="5B595055" w14:textId="7D7C40E1"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00A226B8" w:rsidRPr="00715204">
          <w:rPr>
            <w:rStyle w:val="Hyperlink"/>
            <w:sz w:val="24"/>
            <w:lang w:val="sk-SK"/>
          </w:rPr>
          <w:t>http://data.europa.eu/eli/C/2025/1799/oj</w:t>
        </w:r>
      </w:hyperlink>
      <w:r w:rsidR="00A226B8" w:rsidRPr="00715204">
        <w:rPr>
          <w:sz w:val="24"/>
          <w:lang w:val="sk-SK"/>
        </w:rPr>
        <w:t>).</w:t>
      </w:r>
    </w:p>
    <w:p w14:paraId="0C6BA2D3" w14:textId="6895532A"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00A226B8" w:rsidRPr="00715204">
          <w:rPr>
            <w:rStyle w:val="Hyperlink"/>
            <w:sz w:val="24"/>
            <w:lang w:val="sk-SK"/>
          </w:rPr>
          <w:t>http://data.europa.eu/eli/C/2025/1800/oj</w:t>
        </w:r>
      </w:hyperlink>
      <w:r w:rsidR="00A226B8" w:rsidRPr="00715204">
        <w:rPr>
          <w:sz w:val="24"/>
          <w:lang w:val="sk-SK"/>
        </w:rPr>
        <w:t>).</w:t>
      </w:r>
    </w:p>
    <w:p w14:paraId="1852393E" w14:textId="11B1C520"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00A226B8" w:rsidRPr="00715204">
          <w:rPr>
            <w:rStyle w:val="Hyperlink"/>
            <w:sz w:val="24"/>
            <w:lang w:val="sk-SK"/>
          </w:rPr>
          <w:t>http://data.europa.eu/eli/C/2025/1801/oj</w:t>
        </w:r>
      </w:hyperlink>
      <w:r w:rsidR="00A226B8" w:rsidRPr="00715204">
        <w:rPr>
          <w:sz w:val="24"/>
          <w:lang w:val="sk-SK"/>
        </w:rPr>
        <w:t>).</w:t>
      </w:r>
    </w:p>
    <w:p w14:paraId="256AC908" w14:textId="2B07BC0E"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00A226B8" w:rsidRPr="00715204">
          <w:rPr>
            <w:rStyle w:val="Hyperlink"/>
            <w:sz w:val="24"/>
            <w:lang w:val="sk-SK"/>
          </w:rPr>
          <w:t>http://data.europa.eu/eli/C/2025/1802/oj</w:t>
        </w:r>
      </w:hyperlink>
      <w:r w:rsidR="00A226B8" w:rsidRPr="00715204">
        <w:rPr>
          <w:sz w:val="24"/>
          <w:lang w:val="sk-SK"/>
        </w:rPr>
        <w:t>).</w:t>
      </w:r>
    </w:p>
    <w:p w14:paraId="0CAEF2A7" w14:textId="65EB0F7F"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00A226B8" w:rsidRPr="00715204">
          <w:rPr>
            <w:rStyle w:val="Hyperlink"/>
            <w:sz w:val="24"/>
            <w:lang w:val="sk-SK"/>
          </w:rPr>
          <w:t>http://data.europa.eu/eli/C/2025/1803/oj</w:t>
        </w:r>
      </w:hyperlink>
      <w:r w:rsidR="00A226B8" w:rsidRPr="00715204">
        <w:rPr>
          <w:sz w:val="24"/>
          <w:lang w:val="sk-SK"/>
        </w:rPr>
        <w:t>).</w:t>
      </w:r>
    </w:p>
    <w:p w14:paraId="2E9FB3BB" w14:textId="774F4D1F"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00A226B8" w:rsidRPr="00715204">
          <w:rPr>
            <w:rStyle w:val="Hyperlink"/>
            <w:sz w:val="24"/>
            <w:lang w:val="sk-SK"/>
          </w:rPr>
          <w:t>http://data.europa.eu/eli/C/2025/1804/oj</w:t>
        </w:r>
      </w:hyperlink>
      <w:r w:rsidR="00A226B8" w:rsidRPr="00715204">
        <w:rPr>
          <w:sz w:val="24"/>
          <w:lang w:val="sk-SK"/>
        </w:rPr>
        <w:t>).</w:t>
      </w:r>
    </w:p>
    <w:p w14:paraId="3FBED637" w14:textId="3767B7EA"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2" w:tooltip="Umožňuje prístup k tomuto dokumentu prostredníctvom identifikátora URI používaného v rámci ELI." w:history="1">
        <w:r w:rsidR="00A226B8" w:rsidRPr="00715204">
          <w:rPr>
            <w:rStyle w:val="Hyperlink"/>
            <w:sz w:val="24"/>
            <w:lang w:val="sk-SK"/>
          </w:rPr>
          <w:t>http://data.europa.eu/eli/C/2025/2246/oj</w:t>
        </w:r>
      </w:hyperlink>
      <w:r w:rsidR="00A226B8" w:rsidRPr="00715204">
        <w:rPr>
          <w:sz w:val="24"/>
          <w:lang w:val="sk-SK"/>
        </w:rPr>
        <w:t>).</w:t>
      </w:r>
    </w:p>
    <w:p w14:paraId="172CC82F" w14:textId="32E6B27F"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3" w:history="1">
        <w:r w:rsidR="00A226B8" w:rsidRPr="00715204">
          <w:rPr>
            <w:rStyle w:val="Hyperlink"/>
            <w:sz w:val="24"/>
            <w:lang w:val="sk-SK"/>
          </w:rPr>
          <w:t>http://data.europa.eu/eli/C/2025/2247/oj</w:t>
        </w:r>
      </w:hyperlink>
      <w:r w:rsidR="00A226B8" w:rsidRPr="00715204">
        <w:rPr>
          <w:sz w:val="24"/>
          <w:lang w:val="sk-SK"/>
        </w:rPr>
        <w:t>).</w:t>
      </w:r>
    </w:p>
    <w:p w14:paraId="2C088280" w14:textId="623833FB"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w:t>
      </w:r>
      <w:r w:rsidR="000706A8">
        <w:rPr>
          <w:sz w:val="24"/>
          <w:lang w:val="sk-SK"/>
        </w:rPr>
        <w:t xml:space="preserve">Prijaté texty, </w:t>
      </w:r>
      <w:r w:rsidR="00A226B8" w:rsidRPr="00715204">
        <w:rPr>
          <w:sz w:val="24"/>
          <w:lang w:val="sk-SK"/>
        </w:rPr>
        <w:t>P10_TA(2025)0106).</w:t>
      </w:r>
    </w:p>
    <w:p w14:paraId="5D8330A8" w14:textId="7E457537"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w:t>
      </w:r>
      <w:r w:rsidR="000706A8">
        <w:rPr>
          <w:sz w:val="24"/>
          <w:lang w:val="sk-SK"/>
        </w:rPr>
        <w:t xml:space="preserve">Prijaté texty, </w:t>
      </w:r>
      <w:r w:rsidR="00A226B8" w:rsidRPr="00715204">
        <w:rPr>
          <w:sz w:val="24"/>
          <w:lang w:val="sk-SK"/>
        </w:rPr>
        <w:t>P10_TA(2025)0222).</w:t>
      </w:r>
    </w:p>
    <w:p w14:paraId="0CEE73CD" w14:textId="5521AD0B"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w:t>
      </w:r>
      <w:r w:rsidR="000706A8">
        <w:rPr>
          <w:sz w:val="24"/>
          <w:lang w:val="sk-SK"/>
        </w:rPr>
        <w:t xml:space="preserve">Prijaté texty, </w:t>
      </w:r>
      <w:r w:rsidR="00A226B8" w:rsidRPr="00715204">
        <w:rPr>
          <w:sz w:val="24"/>
          <w:lang w:val="sk-SK"/>
        </w:rPr>
        <w:t>P10_TA(2025)0288).</w:t>
      </w:r>
    </w:p>
    <w:p w14:paraId="32DD3FFD" w14:textId="16EFA8FD"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w:t>
      </w:r>
      <w:r w:rsidR="000706A8">
        <w:rPr>
          <w:sz w:val="24"/>
          <w:lang w:val="sk-SK"/>
        </w:rPr>
        <w:t xml:space="preserve">Prijaté texty, </w:t>
      </w:r>
      <w:r w:rsidR="00A226B8" w:rsidRPr="00715204">
        <w:rPr>
          <w:sz w:val="24"/>
          <w:lang w:val="sk-SK"/>
        </w:rPr>
        <w:t>P10_TA(2025)0289).</w:t>
      </w:r>
    </w:p>
    <w:p w14:paraId="6CEC8F72" w14:textId="7AC88361"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proofErr w:type="spellStart"/>
      <w:r w:rsidR="00A226B8" w:rsidRPr="00715204">
        <w:rPr>
          <w:sz w:val="24"/>
          <w:lang w:val="sk-SK"/>
        </w:rPr>
        <w:t>olejku</w:t>
      </w:r>
      <w:proofErr w:type="spellEnd"/>
      <w:r w:rsidR="00A226B8" w:rsidRPr="00715204">
        <w:rPr>
          <w:sz w:val="24"/>
          <w:lang w:val="sk-SK"/>
        </w:rPr>
        <w:t xml:space="preserve"> MON 88302, sú z nej zložené alebo vyrobené (</w:t>
      </w:r>
      <w:r w:rsidR="000706A8">
        <w:rPr>
          <w:sz w:val="24"/>
          <w:lang w:val="sk-SK"/>
        </w:rPr>
        <w:t xml:space="preserve">Prijaté texty, </w:t>
      </w:r>
      <w:r w:rsidR="00A226B8" w:rsidRPr="00715204">
        <w:rPr>
          <w:sz w:val="24"/>
          <w:lang w:val="sk-SK"/>
        </w:rPr>
        <w:t>P10_TA(2025)0290).</w:t>
      </w:r>
    </w:p>
    <w:p w14:paraId="4A47EDA4" w14:textId="568922F8"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w:t>
      </w:r>
      <w:r w:rsidR="000706A8">
        <w:rPr>
          <w:sz w:val="24"/>
          <w:lang w:val="sk-SK"/>
        </w:rPr>
        <w:t xml:space="preserve">Prijaté texty, </w:t>
      </w:r>
      <w:r w:rsidR="00A226B8" w:rsidRPr="00715204">
        <w:rPr>
          <w:sz w:val="24"/>
          <w:lang w:val="sk-SK"/>
        </w:rPr>
        <w:t>P10_TA(2025)0291).</w:t>
      </w:r>
    </w:p>
    <w:p w14:paraId="447495B4" w14:textId="12504C3F"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w:t>
      </w:r>
      <w:r w:rsidR="000706A8">
        <w:rPr>
          <w:sz w:val="24"/>
          <w:lang w:val="sk-SK"/>
        </w:rPr>
        <w:t xml:space="preserve">Prijaté texty, </w:t>
      </w:r>
      <w:r w:rsidR="00A226B8" w:rsidRPr="00715204">
        <w:rPr>
          <w:sz w:val="24"/>
          <w:lang w:val="sk-SK"/>
        </w:rPr>
        <w:t>P10_TA(2025)0292).</w:t>
      </w:r>
    </w:p>
    <w:p w14:paraId="479FEE29" w14:textId="25F19A19" w:rsidR="00A226B8" w:rsidRPr="00715204" w:rsidRDefault="00715204" w:rsidP="00715204">
      <w:pPr>
        <w:pStyle w:val="FootnoteText"/>
        <w:ind w:left="567" w:hanging="567"/>
        <w:rPr>
          <w:sz w:val="24"/>
          <w:vertAlign w:val="superscript"/>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w:t>
      </w:r>
      <w:r w:rsidR="000706A8">
        <w:rPr>
          <w:sz w:val="24"/>
          <w:lang w:val="sk-SK"/>
        </w:rPr>
        <w:t xml:space="preserve">Prijaté texty, </w:t>
      </w:r>
      <w:r w:rsidR="00A226B8" w:rsidRPr="00715204">
        <w:rPr>
          <w:sz w:val="24"/>
          <w:lang w:val="sk-SK"/>
        </w:rPr>
        <w:t>P10_TA(2025)0327).</w:t>
      </w:r>
    </w:p>
    <w:p w14:paraId="5D807794" w14:textId="0D05BF69" w:rsidR="00A226B8" w:rsidRPr="00715204" w:rsidRDefault="00715204" w:rsidP="00715204">
      <w:pPr>
        <w:pStyle w:val="FootnoteText"/>
        <w:ind w:left="567" w:hanging="567"/>
        <w:rPr>
          <w:sz w:val="24"/>
          <w:lang w:val="sk-SK"/>
        </w:rPr>
      </w:pPr>
      <w:r w:rsidRPr="00715204">
        <w:rPr>
          <w:sz w:val="24"/>
          <w:lang w:val="sk-SK"/>
        </w:rPr>
        <w:t xml:space="preserve"> </w:t>
      </w:r>
      <w:r w:rsidRPr="00715204">
        <w:rPr>
          <w:sz w:val="24"/>
          <w:lang w:val="sk-SK"/>
        </w:rPr>
        <w:tab/>
      </w:r>
      <w:r w:rsidR="00A226B8" w:rsidRPr="00715204">
        <w:rPr>
          <w:sz w:val="24"/>
          <w:lang w:val="sk-SK"/>
        </w:rPr>
        <w:t>–</w:t>
      </w:r>
      <w:r w:rsidR="00A226B8" w:rsidRPr="00715204">
        <w:rPr>
          <w:sz w:val="24"/>
          <w:lang w:val="sk-SK"/>
        </w:rPr>
        <w:tab/>
        <w:t>Uznesenie Európskeho parlamentu zo 16. decembra 2025 o návrhu vykonávacieho rozhodnutia Komisie, ktorým sa podľa nariadenia Európskeho parlamentu a Rady (ES) č. 1829/2003 povoľuje umiestniť na trh potraviny, zložky potravín a krmivá, ktoré sú vyrobené z geneticky modifikovanej cukrovej repy KWS20-1 (</w:t>
      </w:r>
      <w:r w:rsidR="000706A8">
        <w:rPr>
          <w:sz w:val="24"/>
          <w:lang w:val="sk-SK"/>
        </w:rPr>
        <w:t xml:space="preserve">Prijaté texty, </w:t>
      </w:r>
      <w:r w:rsidR="00A226B8" w:rsidRPr="00715204">
        <w:rPr>
          <w:sz w:val="24"/>
          <w:lang w:val="sk-SK"/>
        </w:rPr>
        <w:t>P10_TA(2025)0328).</w:t>
      </w:r>
    </w:p>
  </w:footnote>
  <w:footnote w:id="5">
    <w:p w14:paraId="24785D0E" w14:textId="7DCCA49E"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shd w:val="clear" w:color="auto" w:fill="FFFFFF"/>
          <w:lang w:val="sk-SK"/>
        </w:rPr>
        <w:t xml:space="preserve"> </w:t>
      </w:r>
      <w:r w:rsidR="00715204" w:rsidRPr="00715204">
        <w:rPr>
          <w:sz w:val="24"/>
          <w:shd w:val="clear" w:color="auto" w:fill="FFFFFF"/>
          <w:lang w:val="sk-SK"/>
        </w:rPr>
        <w:tab/>
      </w:r>
      <w:r w:rsidRPr="00715204">
        <w:rPr>
          <w:sz w:val="24"/>
          <w:shd w:val="clear" w:color="auto" w:fill="FFFFFF"/>
          <w:lang w:val="sk-SK"/>
        </w:rPr>
        <w:t xml:space="preserve">Pozri napríklad </w:t>
      </w:r>
      <w:proofErr w:type="spellStart"/>
      <w:r w:rsidRPr="00715204">
        <w:rPr>
          <w:sz w:val="24"/>
          <w:shd w:val="clear" w:color="auto" w:fill="FFFFFF"/>
          <w:lang w:val="sk-SK"/>
        </w:rPr>
        <w:t>Bonny</w:t>
      </w:r>
      <w:proofErr w:type="spellEnd"/>
      <w:r w:rsidRPr="00715204">
        <w:rPr>
          <w:sz w:val="24"/>
          <w:shd w:val="clear" w:color="auto" w:fill="FFFFFF"/>
          <w:lang w:val="sk-SK"/>
        </w:rPr>
        <w:t>, S., „</w:t>
      </w:r>
      <w:proofErr w:type="spellStart"/>
      <w:r w:rsidRPr="00715204">
        <w:rPr>
          <w:sz w:val="24"/>
          <w:shd w:val="clear" w:color="auto" w:fill="FFFFFF"/>
          <w:lang w:val="sk-SK"/>
        </w:rPr>
        <w:t>Genetically</w:t>
      </w:r>
      <w:proofErr w:type="spellEnd"/>
      <w:r w:rsidRPr="00715204">
        <w:rPr>
          <w:sz w:val="24"/>
          <w:shd w:val="clear" w:color="auto" w:fill="FFFFFF"/>
          <w:lang w:val="sk-SK"/>
        </w:rPr>
        <w:t xml:space="preserve"> </w:t>
      </w:r>
      <w:proofErr w:type="spellStart"/>
      <w:r w:rsidRPr="00715204">
        <w:rPr>
          <w:sz w:val="24"/>
          <w:shd w:val="clear" w:color="auto" w:fill="FFFFFF"/>
          <w:lang w:val="sk-SK"/>
        </w:rPr>
        <w:t>Modified</w:t>
      </w:r>
      <w:proofErr w:type="spellEnd"/>
      <w:r w:rsidRPr="00715204">
        <w:rPr>
          <w:sz w:val="24"/>
          <w:shd w:val="clear" w:color="auto" w:fill="FFFFFF"/>
          <w:lang w:val="sk-SK"/>
        </w:rPr>
        <w:t xml:space="preserve"> </w:t>
      </w:r>
      <w:proofErr w:type="spellStart"/>
      <w:r w:rsidRPr="00715204">
        <w:rPr>
          <w:sz w:val="24"/>
          <w:shd w:val="clear" w:color="auto" w:fill="FFFFFF"/>
          <w:lang w:val="sk-SK"/>
        </w:rPr>
        <w:t>Herbicide-Tolerant</w:t>
      </w:r>
      <w:proofErr w:type="spellEnd"/>
      <w:r w:rsidRPr="00715204">
        <w:rPr>
          <w:sz w:val="24"/>
          <w:shd w:val="clear" w:color="auto" w:fill="FFFFFF"/>
          <w:lang w:val="sk-SK"/>
        </w:rPr>
        <w:t xml:space="preserve"> </w:t>
      </w:r>
      <w:proofErr w:type="spellStart"/>
      <w:r w:rsidRPr="00715204">
        <w:rPr>
          <w:sz w:val="24"/>
          <w:shd w:val="clear" w:color="auto" w:fill="FFFFFF"/>
          <w:lang w:val="sk-SK"/>
        </w:rPr>
        <w:t>Crops</w:t>
      </w:r>
      <w:proofErr w:type="spellEnd"/>
      <w:r w:rsidRPr="00715204">
        <w:rPr>
          <w:sz w:val="24"/>
          <w:shd w:val="clear" w:color="auto" w:fill="FFFFFF"/>
          <w:lang w:val="sk-SK"/>
        </w:rPr>
        <w:t xml:space="preserve">, </w:t>
      </w:r>
      <w:proofErr w:type="spellStart"/>
      <w:r w:rsidRPr="00715204">
        <w:rPr>
          <w:sz w:val="24"/>
          <w:shd w:val="clear" w:color="auto" w:fill="FFFFFF"/>
          <w:lang w:val="sk-SK"/>
        </w:rPr>
        <w:t>Weeds</w:t>
      </w:r>
      <w:proofErr w:type="spellEnd"/>
      <w:r w:rsidRPr="00715204">
        <w:rPr>
          <w:sz w:val="24"/>
          <w:shd w:val="clear" w:color="auto" w:fill="FFFFFF"/>
          <w:lang w:val="sk-SK"/>
        </w:rPr>
        <w:t xml:space="preserve">, and </w:t>
      </w:r>
      <w:proofErr w:type="spellStart"/>
      <w:r w:rsidRPr="00715204">
        <w:rPr>
          <w:sz w:val="24"/>
          <w:shd w:val="clear" w:color="auto" w:fill="FFFFFF"/>
          <w:lang w:val="sk-SK"/>
        </w:rPr>
        <w:t>Herbicides</w:t>
      </w:r>
      <w:proofErr w:type="spellEnd"/>
      <w:r w:rsidRPr="00715204">
        <w:rPr>
          <w:sz w:val="24"/>
          <w:shd w:val="clear" w:color="auto" w:fill="FFFFFF"/>
          <w:lang w:val="sk-SK"/>
        </w:rPr>
        <w:t xml:space="preserve">: </w:t>
      </w:r>
      <w:proofErr w:type="spellStart"/>
      <w:r w:rsidRPr="00715204">
        <w:rPr>
          <w:sz w:val="24"/>
          <w:shd w:val="clear" w:color="auto" w:fill="FFFFFF"/>
          <w:lang w:val="sk-SK"/>
        </w:rPr>
        <w:t>Overview</w:t>
      </w:r>
      <w:proofErr w:type="spellEnd"/>
      <w:r w:rsidRPr="00715204">
        <w:rPr>
          <w:sz w:val="24"/>
          <w:shd w:val="clear" w:color="auto" w:fill="FFFFFF"/>
          <w:lang w:val="sk-SK"/>
        </w:rPr>
        <w:t xml:space="preserve"> and </w:t>
      </w:r>
      <w:proofErr w:type="spellStart"/>
      <w:r w:rsidRPr="00715204">
        <w:rPr>
          <w:sz w:val="24"/>
          <w:shd w:val="clear" w:color="auto" w:fill="FFFFFF"/>
          <w:lang w:val="sk-SK"/>
        </w:rPr>
        <w:t>Impact</w:t>
      </w:r>
      <w:proofErr w:type="spellEnd"/>
      <w:r w:rsidRPr="00715204">
        <w:rPr>
          <w:sz w:val="24"/>
          <w:shd w:val="clear" w:color="auto" w:fill="FFFFFF"/>
          <w:lang w:val="sk-SK"/>
        </w:rPr>
        <w:t xml:space="preserve">“ (Geneticky modifikované plodiny odolné voči herbicídom, burina a herbicídy: prehľad a vplyv), </w:t>
      </w:r>
      <w:proofErr w:type="spellStart"/>
      <w:r w:rsidRPr="00715204">
        <w:rPr>
          <w:i/>
          <w:sz w:val="24"/>
          <w:shd w:val="clear" w:color="auto" w:fill="FFFFFF"/>
          <w:lang w:val="sk-SK"/>
        </w:rPr>
        <w:t>Environmental</w:t>
      </w:r>
      <w:proofErr w:type="spellEnd"/>
      <w:r w:rsidRPr="00715204">
        <w:rPr>
          <w:i/>
          <w:sz w:val="24"/>
          <w:shd w:val="clear" w:color="auto" w:fill="FFFFFF"/>
          <w:lang w:val="sk-SK"/>
        </w:rPr>
        <w:t xml:space="preserve"> Management</w:t>
      </w:r>
      <w:r w:rsidRPr="00715204">
        <w:rPr>
          <w:sz w:val="24"/>
          <w:shd w:val="clear" w:color="auto" w:fill="FFFFFF"/>
          <w:lang w:val="sk-SK"/>
        </w:rPr>
        <w:t xml:space="preserve">, január, 2016; 57(1), s. </w:t>
      </w:r>
      <w:r w:rsidRPr="00715204">
        <w:rPr>
          <w:sz w:val="24"/>
          <w:shd w:val="clear" w:color="auto" w:fill="FFFFFF"/>
          <w:lang w:val="sk-SK"/>
        </w:rPr>
        <w:t xml:space="preserve">31 – 48, </w:t>
      </w:r>
      <w:hyperlink r:id="rId14" w:history="1">
        <w:r w:rsidRPr="00715204">
          <w:rPr>
            <w:rStyle w:val="Hyperlink"/>
            <w:sz w:val="24"/>
            <w:shd w:val="clear" w:color="auto" w:fill="FFFFFF"/>
            <w:lang w:val="sk-SK"/>
          </w:rPr>
          <w:t>https://doi.org/10.1007/s00267-015-0589-7</w:t>
        </w:r>
      </w:hyperlink>
      <w:r w:rsidRPr="00715204">
        <w:rPr>
          <w:sz w:val="24"/>
          <w:shd w:val="clear" w:color="auto" w:fill="FFFFFF"/>
          <w:lang w:val="sk-SK"/>
        </w:rPr>
        <w:t xml:space="preserve"> a </w:t>
      </w:r>
      <w:proofErr w:type="spellStart"/>
      <w:r w:rsidRPr="00715204">
        <w:rPr>
          <w:sz w:val="24"/>
          <w:shd w:val="clear" w:color="auto" w:fill="FFFFFF"/>
          <w:lang w:val="sk-SK"/>
        </w:rPr>
        <w:t>Benbrook</w:t>
      </w:r>
      <w:proofErr w:type="spellEnd"/>
      <w:r w:rsidRPr="00715204">
        <w:rPr>
          <w:sz w:val="24"/>
          <w:shd w:val="clear" w:color="auto" w:fill="FFFFFF"/>
          <w:lang w:val="sk-SK"/>
        </w:rPr>
        <w:t>, C.M., „</w:t>
      </w:r>
      <w:proofErr w:type="spellStart"/>
      <w:r w:rsidRPr="00715204">
        <w:rPr>
          <w:sz w:val="24"/>
          <w:shd w:val="clear" w:color="auto" w:fill="FFFFFF"/>
          <w:lang w:val="sk-SK"/>
        </w:rPr>
        <w:t>Impacts</w:t>
      </w:r>
      <w:proofErr w:type="spellEnd"/>
      <w:r w:rsidRPr="00715204">
        <w:rPr>
          <w:sz w:val="24"/>
          <w:shd w:val="clear" w:color="auto" w:fill="FFFFFF"/>
          <w:lang w:val="sk-SK"/>
        </w:rPr>
        <w:t xml:space="preserve"> of </w:t>
      </w:r>
      <w:proofErr w:type="spellStart"/>
      <w:r w:rsidRPr="00715204">
        <w:rPr>
          <w:sz w:val="24"/>
          <w:shd w:val="clear" w:color="auto" w:fill="FFFFFF"/>
          <w:lang w:val="sk-SK"/>
        </w:rPr>
        <w:t>genetically</w:t>
      </w:r>
      <w:proofErr w:type="spellEnd"/>
      <w:r w:rsidRPr="00715204">
        <w:rPr>
          <w:sz w:val="24"/>
          <w:shd w:val="clear" w:color="auto" w:fill="FFFFFF"/>
          <w:lang w:val="sk-SK"/>
        </w:rPr>
        <w:t xml:space="preserve"> </w:t>
      </w:r>
      <w:proofErr w:type="spellStart"/>
      <w:r w:rsidRPr="00715204">
        <w:rPr>
          <w:sz w:val="24"/>
          <w:shd w:val="clear" w:color="auto" w:fill="FFFFFF"/>
          <w:lang w:val="sk-SK"/>
        </w:rPr>
        <w:t>engineered</w:t>
      </w:r>
      <w:proofErr w:type="spellEnd"/>
      <w:r w:rsidRPr="00715204">
        <w:rPr>
          <w:sz w:val="24"/>
          <w:shd w:val="clear" w:color="auto" w:fill="FFFFFF"/>
          <w:lang w:val="sk-SK"/>
        </w:rPr>
        <w:t xml:space="preserve"> </w:t>
      </w:r>
      <w:proofErr w:type="spellStart"/>
      <w:r w:rsidRPr="00715204">
        <w:rPr>
          <w:sz w:val="24"/>
          <w:shd w:val="clear" w:color="auto" w:fill="FFFFFF"/>
          <w:lang w:val="sk-SK"/>
        </w:rPr>
        <w:t>crops</w:t>
      </w:r>
      <w:proofErr w:type="spellEnd"/>
      <w:r w:rsidRPr="00715204">
        <w:rPr>
          <w:sz w:val="24"/>
          <w:shd w:val="clear" w:color="auto" w:fill="FFFFFF"/>
          <w:lang w:val="sk-SK"/>
        </w:rPr>
        <w:t xml:space="preserve"> on </w:t>
      </w:r>
      <w:proofErr w:type="spellStart"/>
      <w:r w:rsidRPr="00715204">
        <w:rPr>
          <w:sz w:val="24"/>
          <w:shd w:val="clear" w:color="auto" w:fill="FFFFFF"/>
          <w:lang w:val="sk-SK"/>
        </w:rPr>
        <w:t>pesticide</w:t>
      </w:r>
      <w:proofErr w:type="spellEnd"/>
      <w:r w:rsidRPr="00715204">
        <w:rPr>
          <w:sz w:val="24"/>
          <w:shd w:val="clear" w:color="auto" w:fill="FFFFFF"/>
          <w:lang w:val="sk-SK"/>
        </w:rPr>
        <w:t xml:space="preserve"> </w:t>
      </w:r>
      <w:proofErr w:type="spellStart"/>
      <w:r w:rsidRPr="00715204">
        <w:rPr>
          <w:sz w:val="24"/>
          <w:shd w:val="clear" w:color="auto" w:fill="FFFFFF"/>
          <w:lang w:val="sk-SK"/>
        </w:rPr>
        <w:t>use</w:t>
      </w:r>
      <w:proofErr w:type="spellEnd"/>
      <w:r w:rsidRPr="00715204">
        <w:rPr>
          <w:sz w:val="24"/>
          <w:shd w:val="clear" w:color="auto" w:fill="FFFFFF"/>
          <w:lang w:val="sk-SK"/>
        </w:rPr>
        <w:t xml:space="preserve"> in </w:t>
      </w:r>
      <w:proofErr w:type="spellStart"/>
      <w:r w:rsidRPr="00715204">
        <w:rPr>
          <w:sz w:val="24"/>
          <w:shd w:val="clear" w:color="auto" w:fill="FFFFFF"/>
          <w:lang w:val="sk-SK"/>
        </w:rPr>
        <w:t>the</w:t>
      </w:r>
      <w:proofErr w:type="spellEnd"/>
      <w:r w:rsidRPr="00715204">
        <w:rPr>
          <w:sz w:val="24"/>
          <w:shd w:val="clear" w:color="auto" w:fill="FFFFFF"/>
          <w:lang w:val="sk-SK"/>
        </w:rPr>
        <w:t xml:space="preserve"> U.S. - </w:t>
      </w:r>
      <w:proofErr w:type="spellStart"/>
      <w:r w:rsidRPr="00715204">
        <w:rPr>
          <w:sz w:val="24"/>
          <w:shd w:val="clear" w:color="auto" w:fill="FFFFFF"/>
          <w:lang w:val="sk-SK"/>
        </w:rPr>
        <w:t>the</w:t>
      </w:r>
      <w:proofErr w:type="spellEnd"/>
      <w:r w:rsidRPr="00715204">
        <w:rPr>
          <w:sz w:val="24"/>
          <w:shd w:val="clear" w:color="auto" w:fill="FFFFFF"/>
          <w:lang w:val="sk-SK"/>
        </w:rPr>
        <w:t xml:space="preserve"> </w:t>
      </w:r>
      <w:proofErr w:type="spellStart"/>
      <w:r w:rsidRPr="00715204">
        <w:rPr>
          <w:sz w:val="24"/>
          <w:shd w:val="clear" w:color="auto" w:fill="FFFFFF"/>
          <w:lang w:val="sk-SK"/>
        </w:rPr>
        <w:t>first</w:t>
      </w:r>
      <w:proofErr w:type="spellEnd"/>
      <w:r w:rsidRPr="00715204">
        <w:rPr>
          <w:sz w:val="24"/>
          <w:shd w:val="clear" w:color="auto" w:fill="FFFFFF"/>
          <w:lang w:val="sk-SK"/>
        </w:rPr>
        <w:t xml:space="preserve"> </w:t>
      </w:r>
      <w:proofErr w:type="spellStart"/>
      <w:r w:rsidRPr="00715204">
        <w:rPr>
          <w:sz w:val="24"/>
          <w:shd w:val="clear" w:color="auto" w:fill="FFFFFF"/>
          <w:lang w:val="sk-SK"/>
        </w:rPr>
        <w:t>sixteen</w:t>
      </w:r>
      <w:proofErr w:type="spellEnd"/>
      <w:r w:rsidRPr="00715204">
        <w:rPr>
          <w:sz w:val="24"/>
          <w:shd w:val="clear" w:color="auto" w:fill="FFFFFF"/>
          <w:lang w:val="sk-SK"/>
        </w:rPr>
        <w:t xml:space="preserve"> </w:t>
      </w:r>
      <w:proofErr w:type="spellStart"/>
      <w:r w:rsidRPr="00715204">
        <w:rPr>
          <w:sz w:val="24"/>
          <w:shd w:val="clear" w:color="auto" w:fill="FFFFFF"/>
          <w:lang w:val="sk-SK"/>
        </w:rPr>
        <w:t>years</w:t>
      </w:r>
      <w:proofErr w:type="spellEnd"/>
      <w:r w:rsidRPr="00715204">
        <w:rPr>
          <w:sz w:val="24"/>
          <w:shd w:val="clear" w:color="auto" w:fill="FFFFFF"/>
          <w:lang w:val="sk-SK"/>
        </w:rPr>
        <w:t xml:space="preserve">“ (Vplyv geneticky modifikovaných plodín na používanie pesticídov v USA – prvých šestnásť rokov), </w:t>
      </w:r>
      <w:proofErr w:type="spellStart"/>
      <w:r w:rsidRPr="00715204">
        <w:rPr>
          <w:i/>
          <w:sz w:val="24"/>
          <w:shd w:val="clear" w:color="auto" w:fill="FFFFFF"/>
          <w:lang w:val="sk-SK"/>
        </w:rPr>
        <w:t>Environmental</w:t>
      </w:r>
      <w:proofErr w:type="spellEnd"/>
      <w:r w:rsidRPr="00715204">
        <w:rPr>
          <w:i/>
          <w:sz w:val="24"/>
          <w:shd w:val="clear" w:color="auto" w:fill="FFFFFF"/>
          <w:lang w:val="sk-SK"/>
        </w:rPr>
        <w:t xml:space="preserve"> </w:t>
      </w:r>
      <w:proofErr w:type="spellStart"/>
      <w:r w:rsidRPr="00715204">
        <w:rPr>
          <w:i/>
          <w:sz w:val="24"/>
          <w:shd w:val="clear" w:color="auto" w:fill="FFFFFF"/>
          <w:lang w:val="sk-SK"/>
        </w:rPr>
        <w:t>Sciences</w:t>
      </w:r>
      <w:proofErr w:type="spellEnd"/>
      <w:r w:rsidRPr="00715204">
        <w:rPr>
          <w:i/>
          <w:sz w:val="24"/>
          <w:shd w:val="clear" w:color="auto" w:fill="FFFFFF"/>
          <w:lang w:val="sk-SK"/>
        </w:rPr>
        <w:t xml:space="preserve"> </w:t>
      </w:r>
      <w:proofErr w:type="spellStart"/>
      <w:r w:rsidRPr="00715204">
        <w:rPr>
          <w:i/>
          <w:sz w:val="24"/>
          <w:shd w:val="clear" w:color="auto" w:fill="FFFFFF"/>
          <w:lang w:val="sk-SK"/>
        </w:rPr>
        <w:t>Europe</w:t>
      </w:r>
      <w:proofErr w:type="spellEnd"/>
      <w:r w:rsidRPr="00715204">
        <w:rPr>
          <w:sz w:val="24"/>
          <w:shd w:val="clear" w:color="auto" w:fill="FFFFFF"/>
          <w:lang w:val="sk-SK"/>
        </w:rPr>
        <w:t xml:space="preserve">; 28. septembra 2012, zv. 24 ods. 1, </w:t>
      </w:r>
      <w:hyperlink r:id="rId15" w:history="1">
        <w:r w:rsidRPr="00715204">
          <w:rPr>
            <w:rStyle w:val="Hyperlink"/>
            <w:sz w:val="24"/>
            <w:lang w:val="sk-SK"/>
          </w:rPr>
          <w:t>https://doi.org/10.1186/2190-4715-24-24</w:t>
        </w:r>
      </w:hyperlink>
      <w:r w:rsidRPr="00715204">
        <w:rPr>
          <w:sz w:val="24"/>
          <w:lang w:val="sk-SK"/>
        </w:rPr>
        <w:t>.</w:t>
      </w:r>
      <w:r w:rsidRPr="00715204">
        <w:rPr>
          <w:sz w:val="24"/>
          <w:shd w:val="clear" w:color="auto" w:fill="FFFFFF"/>
          <w:lang w:val="sk-SK"/>
        </w:rPr>
        <w:t xml:space="preserve"> </w:t>
      </w:r>
    </w:p>
  </w:footnote>
  <w:footnote w:id="6">
    <w:p w14:paraId="3896B854" w14:textId="1DAF3C3F" w:rsidR="00A226B8" w:rsidRPr="00715204" w:rsidRDefault="00A226B8" w:rsidP="00715204">
      <w:pPr>
        <w:pStyle w:val="FootnoteText"/>
        <w:ind w:left="567" w:hanging="567"/>
        <w:rPr>
          <w:sz w:val="24"/>
          <w:shd w:val="clear" w:color="auto" w:fill="FFFFFF"/>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 xml:space="preserve">Pozri napríklad: </w:t>
      </w:r>
      <w:hyperlink r:id="rId16" w:history="1">
        <w:r w:rsidRPr="00715204">
          <w:rPr>
            <w:rStyle w:val="Hyperlink"/>
            <w:sz w:val="24"/>
            <w:lang w:val="sk-SK"/>
          </w:rPr>
          <w:t>https://doi.org/10.1002/ps.8105</w:t>
        </w:r>
      </w:hyperlink>
      <w:r w:rsidRPr="00715204">
        <w:rPr>
          <w:sz w:val="24"/>
          <w:shd w:val="clear" w:color="auto" w:fill="FFFFFF"/>
          <w:lang w:val="sk-SK"/>
        </w:rPr>
        <w:t xml:space="preserve"> a </w:t>
      </w:r>
      <w:hyperlink r:id="rId17" w:history="1">
        <w:r w:rsidRPr="00715204">
          <w:rPr>
            <w:rStyle w:val="Hyperlink"/>
            <w:sz w:val="24"/>
            <w:lang w:val="sk-SK"/>
          </w:rPr>
          <w:t>https://doi.org/10.1016/j.geoforum.2009.03.009</w:t>
        </w:r>
      </w:hyperlink>
      <w:r w:rsidRPr="00715204">
        <w:rPr>
          <w:sz w:val="24"/>
          <w:lang w:val="sk-SK"/>
        </w:rPr>
        <w:t>.</w:t>
      </w:r>
    </w:p>
  </w:footnote>
  <w:footnote w:id="7">
    <w:p w14:paraId="092A4AFB" w14:textId="3053EF72"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Nariadenie Európskeho parlamentu a Rady (ES) č. 1107/2009 z 21. októbra 2009 o uvádzaní prípravkov na ochranu rastlín na trh a o zrušení smerníc Rady 79/117/EHS a 91/414/EHS (Ú. v. EÚ L 309, 24.11.2009, s. </w:t>
      </w:r>
      <w:r w:rsidRPr="00715204">
        <w:rPr>
          <w:sz w:val="24"/>
          <w:lang w:val="sk-SK"/>
        </w:rPr>
        <w:t>1, ELI: </w:t>
      </w:r>
      <w:hyperlink r:id="rId18" w:history="1">
        <w:r w:rsidRPr="00715204">
          <w:rPr>
            <w:rStyle w:val="Hyperlink"/>
            <w:sz w:val="24"/>
            <w:lang w:val="sk-SK"/>
          </w:rPr>
          <w:t>http://data.europa.eu/eli/reg/2009/1107/oj</w:t>
        </w:r>
      </w:hyperlink>
      <w:r w:rsidRPr="00715204">
        <w:rPr>
          <w:sz w:val="24"/>
          <w:lang w:val="sk-SK"/>
        </w:rPr>
        <w:t>).</w:t>
      </w:r>
    </w:p>
  </w:footnote>
  <w:footnote w:id="8">
    <w:p w14:paraId="368B3834" w14:textId="1F45FABF"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 xml:space="preserve">Pozri napríklad: </w:t>
      </w:r>
      <w:hyperlink r:id="rId19" w:history="1">
        <w:r w:rsidRPr="00715204">
          <w:rPr>
            <w:rStyle w:val="Hyperlink"/>
            <w:sz w:val="24"/>
            <w:lang w:val="sk-SK"/>
          </w:rPr>
          <w:t>https://doi.org/10.1016/j.mrrev.2019.02.001</w:t>
        </w:r>
      </w:hyperlink>
      <w:r w:rsidRPr="00715204">
        <w:rPr>
          <w:sz w:val="24"/>
          <w:lang w:val="sk-SK"/>
        </w:rPr>
        <w:t xml:space="preserve">, </w:t>
      </w:r>
      <w:hyperlink r:id="rId20" w:history="1">
        <w:r w:rsidRPr="00715204">
          <w:rPr>
            <w:rStyle w:val="Hyperlink"/>
            <w:sz w:val="24"/>
            <w:lang w:val="sk-SK"/>
          </w:rPr>
          <w:t>https://doi.org/10.1093/ije/dyz017</w:t>
        </w:r>
      </w:hyperlink>
      <w:r w:rsidRPr="00715204">
        <w:rPr>
          <w:sz w:val="24"/>
          <w:lang w:val="sk-SK"/>
        </w:rPr>
        <w:t xml:space="preserve">, </w:t>
      </w:r>
      <w:hyperlink r:id="rId21" w:history="1">
        <w:r w:rsidRPr="00715204">
          <w:rPr>
            <w:rStyle w:val="Hyperlink"/>
            <w:sz w:val="24"/>
            <w:lang w:val="sk-SK"/>
          </w:rPr>
          <w:t>https://doi.org/10.1371/journal.pone.0219610</w:t>
        </w:r>
      </w:hyperlink>
      <w:r w:rsidRPr="00715204">
        <w:rPr>
          <w:color w:val="0563C1" w:themeColor="hyperlink"/>
          <w:sz w:val="24"/>
          <w:u w:val="single"/>
          <w:lang w:val="sk-SK"/>
        </w:rPr>
        <w:t>,</w:t>
      </w:r>
      <w:r w:rsidRPr="00715204">
        <w:rPr>
          <w:sz w:val="24"/>
          <w:lang w:val="sk-SK"/>
        </w:rPr>
        <w:t xml:space="preserve"> a </w:t>
      </w:r>
      <w:hyperlink r:id="rId22" w:history="1">
        <w:r w:rsidRPr="00715204">
          <w:rPr>
            <w:rStyle w:val="Hyperlink"/>
            <w:sz w:val="24"/>
            <w:lang w:val="sk-SK"/>
          </w:rPr>
          <w:t>https://doi.org/10.1186/s13045-019-0767-9</w:t>
        </w:r>
      </w:hyperlink>
      <w:r w:rsidRPr="00715204">
        <w:rPr>
          <w:sz w:val="24"/>
          <w:lang w:val="sk-SK"/>
        </w:rPr>
        <w:t>.</w:t>
      </w:r>
    </w:p>
  </w:footnote>
  <w:footnote w:id="9">
    <w:p w14:paraId="15F80580" w14:textId="5BB1837F"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hyperlink r:id="rId23" w:history="1">
        <w:r w:rsidRPr="00715204">
          <w:rPr>
            <w:rStyle w:val="Hyperlink"/>
            <w:sz w:val="24"/>
            <w:lang w:val="sk-SK"/>
          </w:rPr>
          <w:t>https://doi.org/10.1006/rtph.1999.1371</w:t>
        </w:r>
      </w:hyperlink>
      <w:r w:rsidRPr="00715204">
        <w:rPr>
          <w:sz w:val="24"/>
          <w:lang w:val="sk-SK"/>
        </w:rPr>
        <w:t xml:space="preserve">. </w:t>
      </w:r>
    </w:p>
  </w:footnote>
  <w:footnote w:id="10">
    <w:p w14:paraId="66F7B479" w14:textId="7A693ECF"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color w:val="000000" w:themeColor="text1"/>
          <w:sz w:val="24"/>
          <w:lang w:val="sk-SK"/>
        </w:rPr>
        <w:t xml:space="preserve"> </w:t>
      </w:r>
      <w:r w:rsidR="00715204" w:rsidRPr="00715204">
        <w:rPr>
          <w:color w:val="000000" w:themeColor="text1"/>
          <w:sz w:val="24"/>
          <w:lang w:val="sk-SK"/>
        </w:rPr>
        <w:tab/>
      </w:r>
      <w:r w:rsidRPr="00715204">
        <w:rPr>
          <w:color w:val="000000" w:themeColor="text1"/>
          <w:sz w:val="24"/>
          <w:lang w:val="sk-SK"/>
        </w:rPr>
        <w:t xml:space="preserve">V decembri 2022 bol na 15. </w:t>
      </w:r>
      <w:r w:rsidRPr="00715204">
        <w:rPr>
          <w:color w:val="000000" w:themeColor="text1"/>
          <w:sz w:val="24"/>
          <w:lang w:val="sk-SK"/>
        </w:rPr>
        <w:t>konferencii zmluvných strán Dohovoru OSN o biologickej diverzite schválený globálny rámec pre biodiverzitu, ktorý zahŕňa globálny cieľ znížiť do roku 2030 riziko používania pesticídov aspoň o 50</w:t>
      </w:r>
      <w:r w:rsidRPr="00715204">
        <w:rPr>
          <w:sz w:val="24"/>
          <w:lang w:val="sk-SK"/>
        </w:rPr>
        <w:t> </w:t>
      </w:r>
      <w:r w:rsidRPr="00715204">
        <w:rPr>
          <w:color w:val="000000" w:themeColor="text1"/>
          <w:sz w:val="24"/>
          <w:lang w:val="sk-SK"/>
        </w:rPr>
        <w:t xml:space="preserve">% (pozri: </w:t>
      </w:r>
      <w:hyperlink r:id="rId24" w:history="1">
        <w:r w:rsidRPr="00715204">
          <w:rPr>
            <w:rStyle w:val="Hyperlink"/>
            <w:sz w:val="24"/>
            <w:lang w:val="sk-SK"/>
          </w:rPr>
          <w:t>https://ec.europa.eu/commission/presscorner/detail/sk/ip_22_7834</w:t>
        </w:r>
      </w:hyperlink>
      <w:r w:rsidRPr="00715204">
        <w:rPr>
          <w:sz w:val="24"/>
          <w:lang w:val="sk-SK"/>
        </w:rPr>
        <w:t>).</w:t>
      </w:r>
    </w:p>
  </w:footnote>
  <w:footnote w:id="11">
    <w:p w14:paraId="47D36FE8" w14:textId="11E6FB46"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hyperlink r:id="rId25" w:history="1">
        <w:r w:rsidRPr="00715204">
          <w:rPr>
            <w:rStyle w:val="Hyperlink"/>
            <w:sz w:val="24"/>
            <w:lang w:val="sk-SK"/>
          </w:rPr>
          <w:t>https://commission.europa.eu/strategy-and-policy/priorities-2019-2024/european-green-deal/agriculture-and-green-deal/strategic-dialogue-future-eu-agriculture_sk</w:t>
        </w:r>
      </w:hyperlink>
      <w:r w:rsidRPr="00715204">
        <w:rPr>
          <w:rStyle w:val="Hyperlink"/>
          <w:sz w:val="24"/>
          <w:lang w:val="sk-SK"/>
        </w:rPr>
        <w:t>.</w:t>
      </w:r>
      <w:r w:rsidRPr="00715204">
        <w:rPr>
          <w:sz w:val="24"/>
          <w:lang w:val="sk-SK"/>
        </w:rPr>
        <w:t xml:space="preserve"> </w:t>
      </w:r>
    </w:p>
  </w:footnote>
  <w:footnote w:id="12">
    <w:p w14:paraId="1578EAFB" w14:textId="3D43C604" w:rsidR="00A226B8" w:rsidRPr="00715204" w:rsidRDefault="00A226B8" w:rsidP="00715204">
      <w:pPr>
        <w:pStyle w:val="FootnoteText"/>
        <w:ind w:left="567" w:hanging="567"/>
        <w:rPr>
          <w:sz w:val="24"/>
          <w:lang w:val="sk-SK"/>
        </w:rPr>
      </w:pPr>
      <w:r w:rsidRPr="00715204">
        <w:rPr>
          <w:rStyle w:val="FootnoteReference"/>
          <w:sz w:val="24"/>
          <w:lang w:val="sk-SK"/>
        </w:rPr>
        <w:footnoteRef/>
      </w:r>
      <w:r w:rsidR="00715204" w:rsidRPr="00715204">
        <w:rPr>
          <w:sz w:val="24"/>
          <w:lang w:val="sk-SK"/>
        </w:rPr>
        <w:t xml:space="preserve"> </w:t>
      </w:r>
      <w:r w:rsidR="00715204" w:rsidRPr="00715204">
        <w:rPr>
          <w:sz w:val="24"/>
          <w:lang w:val="sk-SK"/>
        </w:rPr>
        <w:tab/>
      </w:r>
      <w:r w:rsidRPr="00715204">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715204">
        <w:rPr>
          <w:sz w:val="24"/>
          <w:lang w:val="sk-SK"/>
        </w:rPr>
        <w:t>1,</w:t>
      </w:r>
      <w:r w:rsidRPr="00715204">
        <w:rPr>
          <w:color w:val="000000" w:themeColor="text1"/>
          <w:sz w:val="24"/>
          <w:lang w:val="sk-SK"/>
        </w:rPr>
        <w:t xml:space="preserve"> ELI:  </w:t>
      </w:r>
      <w:hyperlink r:id="rId26" w:tgtFrame="Gives access to this document through its ELI URI." w:history="1">
        <w:r w:rsidRPr="00715204">
          <w:rPr>
            <w:rStyle w:val="Hyperlink"/>
            <w:color w:val="0070C0"/>
            <w:sz w:val="24"/>
            <w:lang w:val="sk-SK"/>
          </w:rPr>
          <w:t>http://data.europa.eu/eli/reg/2002/178/oj</w:t>
        </w:r>
      </w:hyperlink>
      <w:r w:rsidRPr="00715204">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AB7E5" w14:textId="77777777" w:rsidR="00064002" w:rsidRPr="007152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8C1B7" w14:textId="77777777" w:rsidR="00064002" w:rsidRPr="007152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0923" w14:textId="77777777" w:rsidR="00064002" w:rsidRPr="007152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0105391">
    <w:abstractNumId w:val="9"/>
  </w:num>
  <w:num w:numId="2" w16cid:durableId="1623686483">
    <w:abstractNumId w:val="9"/>
  </w:num>
  <w:num w:numId="3" w16cid:durableId="1216239229">
    <w:abstractNumId w:val="7"/>
  </w:num>
  <w:num w:numId="4" w16cid:durableId="1742025522">
    <w:abstractNumId w:val="7"/>
  </w:num>
  <w:num w:numId="5" w16cid:durableId="889802355">
    <w:abstractNumId w:val="6"/>
  </w:num>
  <w:num w:numId="6" w16cid:durableId="174270779">
    <w:abstractNumId w:val="6"/>
  </w:num>
  <w:num w:numId="7" w16cid:durableId="525992969">
    <w:abstractNumId w:val="5"/>
  </w:num>
  <w:num w:numId="8" w16cid:durableId="6103391">
    <w:abstractNumId w:val="5"/>
  </w:num>
  <w:num w:numId="9" w16cid:durableId="2053186536">
    <w:abstractNumId w:val="4"/>
  </w:num>
  <w:num w:numId="10" w16cid:durableId="1294749797">
    <w:abstractNumId w:val="4"/>
  </w:num>
  <w:num w:numId="11" w16cid:durableId="1267467980">
    <w:abstractNumId w:val="8"/>
  </w:num>
  <w:num w:numId="12" w16cid:durableId="1796560364">
    <w:abstractNumId w:val="8"/>
  </w:num>
  <w:num w:numId="13" w16cid:durableId="1053389849">
    <w:abstractNumId w:val="3"/>
  </w:num>
  <w:num w:numId="14" w16cid:durableId="672992860">
    <w:abstractNumId w:val="3"/>
  </w:num>
  <w:num w:numId="15" w16cid:durableId="1431926337">
    <w:abstractNumId w:val="2"/>
  </w:num>
  <w:num w:numId="16" w16cid:durableId="599800740">
    <w:abstractNumId w:val="2"/>
  </w:num>
  <w:num w:numId="17" w16cid:durableId="602538374">
    <w:abstractNumId w:val="1"/>
  </w:num>
  <w:num w:numId="18" w16cid:durableId="1758018823">
    <w:abstractNumId w:val="1"/>
  </w:num>
  <w:num w:numId="19" w16cid:durableId="1425148853">
    <w:abstractNumId w:val="0"/>
  </w:num>
  <w:num w:numId="20" w16cid:durableId="624427617">
    <w:abstractNumId w:val="0"/>
  </w:num>
  <w:num w:numId="21" w16cid:durableId="365985379">
    <w:abstractNumId w:val="9"/>
  </w:num>
  <w:num w:numId="22" w16cid:durableId="1270745076">
    <w:abstractNumId w:val="7"/>
  </w:num>
  <w:num w:numId="23" w16cid:durableId="1924953044">
    <w:abstractNumId w:val="6"/>
  </w:num>
  <w:num w:numId="24" w16cid:durableId="676272080">
    <w:abstractNumId w:val="5"/>
  </w:num>
  <w:num w:numId="25" w16cid:durableId="1991254569">
    <w:abstractNumId w:val="4"/>
  </w:num>
  <w:num w:numId="26" w16cid:durableId="806780045">
    <w:abstractNumId w:val="8"/>
  </w:num>
  <w:num w:numId="27" w16cid:durableId="507211163">
    <w:abstractNumId w:val="3"/>
  </w:num>
  <w:num w:numId="28" w16cid:durableId="1391225827">
    <w:abstractNumId w:val="2"/>
  </w:num>
  <w:num w:numId="29" w16cid:durableId="619804678">
    <w:abstractNumId w:val="1"/>
  </w:num>
  <w:num w:numId="30" w16cid:durableId="1599482834">
    <w:abstractNumId w:val="0"/>
  </w:num>
  <w:num w:numId="31" w16cid:durableId="1208492042">
    <w:abstractNumId w:val="9"/>
  </w:num>
  <w:num w:numId="32" w16cid:durableId="1538546057">
    <w:abstractNumId w:val="7"/>
  </w:num>
  <w:num w:numId="33" w16cid:durableId="1683432634">
    <w:abstractNumId w:val="6"/>
  </w:num>
  <w:num w:numId="34" w16cid:durableId="6252227">
    <w:abstractNumId w:val="5"/>
  </w:num>
  <w:num w:numId="35" w16cid:durableId="1638679218">
    <w:abstractNumId w:val="4"/>
  </w:num>
  <w:num w:numId="36" w16cid:durableId="550725837">
    <w:abstractNumId w:val="8"/>
  </w:num>
  <w:num w:numId="37" w16cid:durableId="1321737661">
    <w:abstractNumId w:val="3"/>
  </w:num>
  <w:num w:numId="38" w16cid:durableId="1762068738">
    <w:abstractNumId w:val="2"/>
  </w:num>
  <w:num w:numId="39" w16cid:durableId="2024932822">
    <w:abstractNumId w:val="1"/>
  </w:num>
  <w:num w:numId="40" w16cid:durableId="1548757060">
    <w:abstractNumId w:val="0"/>
  </w:num>
  <w:num w:numId="41" w16cid:durableId="646402597">
    <w:abstractNumId w:val="10"/>
  </w:num>
  <w:num w:numId="42" w16cid:durableId="1594246870">
    <w:abstractNumId w:val="10"/>
  </w:num>
  <w:num w:numId="43" w16cid:durableId="1808008491">
    <w:abstractNumId w:val="10"/>
  </w:num>
  <w:num w:numId="44" w16cid:durableId="614946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SK"/>
    <w:docVar w:name="dvnumam" w:val="0"/>
    <w:docVar w:name="dvpe" w:val="782.192"/>
    <w:docVar w:name="dvtitre" w:val="Uznesenie Európskeho parlamentu z/zo xx. xxx 2026 o návrhu vykonávacieho rozhodnutia Komisie, ktorým sa podľa nariadenia Európskeho parlamentu a Rady (ES) č. 1829/2003 povoľuje umiestniť na trh produkty, ktoré obsahujú geneticky modifikovanú sóju DBN-09004-6, sú z nej zložené alebo vyrobené (D111472/02 – 2026/2523(RSP))"/>
  </w:docVars>
  <w:rsids>
    <w:rsidRoot w:val="00130DE0"/>
    <w:rsid w:val="00002272"/>
    <w:rsid w:val="00064002"/>
    <w:rsid w:val="000677B9"/>
    <w:rsid w:val="000706A8"/>
    <w:rsid w:val="000831BA"/>
    <w:rsid w:val="000A42CC"/>
    <w:rsid w:val="000E7DD9"/>
    <w:rsid w:val="0010095E"/>
    <w:rsid w:val="00125B37"/>
    <w:rsid w:val="00130DE0"/>
    <w:rsid w:val="00187494"/>
    <w:rsid w:val="001D647F"/>
    <w:rsid w:val="001F32AE"/>
    <w:rsid w:val="002767FF"/>
    <w:rsid w:val="002B18FE"/>
    <w:rsid w:val="002B5493"/>
    <w:rsid w:val="002E25CB"/>
    <w:rsid w:val="00343214"/>
    <w:rsid w:val="00361C00"/>
    <w:rsid w:val="00374352"/>
    <w:rsid w:val="00395FA1"/>
    <w:rsid w:val="003966C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E31"/>
    <w:rsid w:val="006F74FA"/>
    <w:rsid w:val="00715204"/>
    <w:rsid w:val="00731ADD"/>
    <w:rsid w:val="00734777"/>
    <w:rsid w:val="00747932"/>
    <w:rsid w:val="00751A4A"/>
    <w:rsid w:val="007527DD"/>
    <w:rsid w:val="00756632"/>
    <w:rsid w:val="00762C74"/>
    <w:rsid w:val="0078302D"/>
    <w:rsid w:val="00786EC0"/>
    <w:rsid w:val="007A45AC"/>
    <w:rsid w:val="007D1690"/>
    <w:rsid w:val="007D53AF"/>
    <w:rsid w:val="007E22AD"/>
    <w:rsid w:val="00817416"/>
    <w:rsid w:val="00842779"/>
    <w:rsid w:val="00865F67"/>
    <w:rsid w:val="00881A7B"/>
    <w:rsid w:val="008840E5"/>
    <w:rsid w:val="00887B3E"/>
    <w:rsid w:val="008C2AC6"/>
    <w:rsid w:val="00930C23"/>
    <w:rsid w:val="0093193B"/>
    <w:rsid w:val="009509D8"/>
    <w:rsid w:val="00950B64"/>
    <w:rsid w:val="00981893"/>
    <w:rsid w:val="00A01704"/>
    <w:rsid w:val="00A1687D"/>
    <w:rsid w:val="00A226B8"/>
    <w:rsid w:val="00A43E52"/>
    <w:rsid w:val="00A4678D"/>
    <w:rsid w:val="00A778C7"/>
    <w:rsid w:val="00AB441E"/>
    <w:rsid w:val="00AB6293"/>
    <w:rsid w:val="00AE0928"/>
    <w:rsid w:val="00AF3B82"/>
    <w:rsid w:val="00B12E95"/>
    <w:rsid w:val="00B22876"/>
    <w:rsid w:val="00B44037"/>
    <w:rsid w:val="00B558F0"/>
    <w:rsid w:val="00BD48FE"/>
    <w:rsid w:val="00BD7BD8"/>
    <w:rsid w:val="00BE6ADC"/>
    <w:rsid w:val="00C05BFE"/>
    <w:rsid w:val="00C23CD4"/>
    <w:rsid w:val="00C61C0C"/>
    <w:rsid w:val="00C941CB"/>
    <w:rsid w:val="00CC2357"/>
    <w:rsid w:val="00CF071A"/>
    <w:rsid w:val="00D058B8"/>
    <w:rsid w:val="00D17922"/>
    <w:rsid w:val="00D242E3"/>
    <w:rsid w:val="00D56C11"/>
    <w:rsid w:val="00D834A0"/>
    <w:rsid w:val="00D872DF"/>
    <w:rsid w:val="00D91E21"/>
    <w:rsid w:val="00DA2D6C"/>
    <w:rsid w:val="00DA7FCD"/>
    <w:rsid w:val="00E0405E"/>
    <w:rsid w:val="00E365E1"/>
    <w:rsid w:val="00E42B7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CCBC9"/>
  <w15:chartTrackingRefBased/>
  <w15:docId w15:val="{9954F24F-AAE5-41C6-BFD1-E204E623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A226B8"/>
    <w:pPr>
      <w:spacing w:before="480" w:after="240"/>
    </w:pPr>
  </w:style>
  <w:style w:type="paragraph" w:customStyle="1" w:styleId="NormalHanging12a">
    <w:name w:val="NormalHanging12a"/>
    <w:basedOn w:val="Normal"/>
    <w:uiPriority w:val="99"/>
    <w:qFormat/>
    <w:rsid w:val="00A226B8"/>
    <w:pPr>
      <w:spacing w:after="240"/>
      <w:ind w:left="567" w:hanging="567"/>
    </w:pPr>
  </w:style>
  <w:style w:type="character" w:styleId="Hyperlink">
    <w:name w:val="Hyperlink"/>
    <w:basedOn w:val="DefaultParagraphFont"/>
    <w:uiPriority w:val="99"/>
    <w:rsid w:val="00A226B8"/>
    <w:rPr>
      <w:color w:val="0563C1" w:themeColor="hyperlink"/>
      <w:u w:val="single"/>
    </w:rPr>
  </w:style>
  <w:style w:type="paragraph" w:styleId="NormalWeb">
    <w:name w:val="Normal (Web)"/>
    <w:basedOn w:val="Normal"/>
    <w:uiPriority w:val="99"/>
    <w:unhideWhenUsed/>
    <w:rsid w:val="00A226B8"/>
    <w:pPr>
      <w:widowControl/>
      <w:spacing w:before="100" w:beforeAutospacing="1" w:after="100" w:afterAutospacing="1"/>
    </w:pPr>
    <w:rPr>
      <w:szCs w:val="24"/>
    </w:rPr>
  </w:style>
  <w:style w:type="paragraph" w:styleId="Revision">
    <w:name w:val="Revision"/>
    <w:hidden/>
    <w:uiPriority w:val="99"/>
    <w:semiHidden/>
    <w:rsid w:val="00693E31"/>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03" TargetMode="External"/><Relationship Id="rId21" Type="http://schemas.openxmlformats.org/officeDocument/2006/relationships/hyperlink" Target="https://doi.org/10.1371/journal.pone.021961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s://commission.europa.eu/strategy-and-policy/priorities-2019-2024/european-green-deal/agriculture-and-green-deal/strategic-dialogue-future-eu-agriculture_sk"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093/ije/dyz017"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sk/ip_22_7834"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doi.org/10.1006/rtph.1999.1371"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16/j.mrrev.2019.02.001"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s://doi.org/10.1186/s13045-019-07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9449</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2026-03-19T13:38:00Z</dcterms:created>
  <dcterms:modified xsi:type="dcterms:W3CDTF">2026-03-19T13:38:00Z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B10-0107/2026</vt:lpwstr>
  </property>
  <property fmtid="{D5CDD505-2E9C-101B-9397-08002B2CF9AE}" pid="4" name="&lt;Type&gt;">
    <vt:lpwstr>RR</vt:lpwstr>
  </property>
</Properties>
</file>