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6A3A" w14:paraId="36B7CE9F" w14:textId="77777777" w:rsidTr="0010095E">
        <w:trPr>
          <w:trHeight w:hRule="exact" w:val="1418"/>
        </w:trPr>
        <w:tc>
          <w:tcPr>
            <w:tcW w:w="6804" w:type="dxa"/>
            <w:shd w:val="clear" w:color="auto" w:fill="auto"/>
            <w:vAlign w:val="center"/>
          </w:tcPr>
          <w:p w14:paraId="7BDA1C44" w14:textId="77777777" w:rsidR="00751A4A" w:rsidRPr="000D6A3A" w:rsidRDefault="00C04C5A" w:rsidP="0010095E">
            <w:pPr>
              <w:pStyle w:val="EPName"/>
            </w:pPr>
            <w:r w:rsidRPr="000D6A3A">
              <w:t>Evropski parlament</w:t>
            </w:r>
          </w:p>
          <w:p w14:paraId="797B447A" w14:textId="77777777" w:rsidR="00751A4A" w:rsidRPr="000D6A3A" w:rsidRDefault="005F1B17" w:rsidP="005F1B17">
            <w:pPr>
              <w:pStyle w:val="EPTerm"/>
              <w:rPr>
                <w:rStyle w:val="HideTWBExt"/>
                <w:noProof w:val="0"/>
                <w:vanish w:val="0"/>
                <w:color w:val="auto"/>
              </w:rPr>
            </w:pPr>
            <w:r w:rsidRPr="000D6A3A">
              <w:t>2024</w:t>
            </w:r>
            <w:r w:rsidR="00817416" w:rsidRPr="000D6A3A">
              <w:t>-202</w:t>
            </w:r>
            <w:r w:rsidRPr="000D6A3A">
              <w:t>9</w:t>
            </w:r>
          </w:p>
        </w:tc>
        <w:tc>
          <w:tcPr>
            <w:tcW w:w="2268" w:type="dxa"/>
            <w:shd w:val="clear" w:color="auto" w:fill="auto"/>
          </w:tcPr>
          <w:p w14:paraId="08FEEC31" w14:textId="77777777" w:rsidR="00751A4A" w:rsidRPr="000D6A3A" w:rsidRDefault="00187494" w:rsidP="0010095E">
            <w:pPr>
              <w:pStyle w:val="EPLogo"/>
            </w:pPr>
            <w:r w:rsidRPr="000D6A3A">
              <w:rPr>
                <w:noProof/>
                <w:lang w:eastAsia="ja-JP"/>
              </w:rPr>
              <w:drawing>
                <wp:inline distT="0" distB="0" distL="0" distR="0" wp14:anchorId="1E66C7CF" wp14:editId="680BF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E73CA" w14:textId="77777777" w:rsidR="00D058B8" w:rsidRPr="000D6A3A" w:rsidRDefault="00D058B8" w:rsidP="004C5D52">
      <w:pPr>
        <w:pStyle w:val="LineTop"/>
      </w:pPr>
    </w:p>
    <w:p w14:paraId="422CF7E8" w14:textId="77777777" w:rsidR="00680577" w:rsidRPr="000D6A3A" w:rsidRDefault="00C04C5A" w:rsidP="00680577">
      <w:pPr>
        <w:pStyle w:val="EPBodyTA1"/>
      </w:pPr>
      <w:r w:rsidRPr="000D6A3A">
        <w:t>SPREJETA BESEDILA</w:t>
      </w:r>
    </w:p>
    <w:p w14:paraId="522F4BDB" w14:textId="77777777" w:rsidR="00D058B8" w:rsidRPr="000D6A3A" w:rsidRDefault="00D058B8" w:rsidP="00D058B8">
      <w:pPr>
        <w:pStyle w:val="LineBottom"/>
      </w:pPr>
    </w:p>
    <w:p w14:paraId="7B7E02D2" w14:textId="4AB62DD5" w:rsidR="00C04C5A" w:rsidRPr="000D6A3A" w:rsidRDefault="00C04C5A" w:rsidP="00C04C5A">
      <w:pPr>
        <w:pStyle w:val="ATHeading1"/>
      </w:pPr>
      <w:bookmarkStart w:id="0" w:name="TANumber"/>
      <w:r w:rsidRPr="000D6A3A">
        <w:t>P10_TA(2026)</w:t>
      </w:r>
      <w:bookmarkEnd w:id="0"/>
      <w:r w:rsidR="000D6A3A" w:rsidRPr="000D6A3A">
        <w:t>00</w:t>
      </w:r>
      <w:r w:rsidR="000D6A3A" w:rsidRPr="000D6A3A">
        <w:t>41</w:t>
      </w:r>
    </w:p>
    <w:p w14:paraId="2C3F3291" w14:textId="4A091B72" w:rsidR="00C04C5A" w:rsidRPr="000D6A3A" w:rsidRDefault="00261E94" w:rsidP="00C04C5A">
      <w:pPr>
        <w:pStyle w:val="ATHeading2"/>
      </w:pPr>
      <w:bookmarkStart w:id="1" w:name="title"/>
      <w:r w:rsidRPr="000D6A3A">
        <w:t>G</w:t>
      </w:r>
      <w:r w:rsidR="00C04C5A" w:rsidRPr="000D6A3A">
        <w:t>ensko spremenjena soja DBN-09004-6</w:t>
      </w:r>
      <w:bookmarkEnd w:id="1"/>
    </w:p>
    <w:p w14:paraId="0F83BD52" w14:textId="77777777" w:rsidR="00C04C5A" w:rsidRPr="000D6A3A" w:rsidRDefault="00C04C5A" w:rsidP="00C04C5A">
      <w:pPr>
        <w:rPr>
          <w:i/>
          <w:vanish/>
        </w:rPr>
      </w:pPr>
      <w:r w:rsidRPr="000D6A3A">
        <w:rPr>
          <w:i/>
        </w:rPr>
        <w:fldChar w:fldCharType="begin"/>
      </w:r>
      <w:r w:rsidRPr="000D6A3A">
        <w:rPr>
          <w:i/>
        </w:rPr>
        <w:instrText xml:space="preserve"> TC"(</w:instrText>
      </w:r>
      <w:bookmarkStart w:id="2" w:name="DocNumber"/>
      <w:r w:rsidRPr="000D6A3A">
        <w:rPr>
          <w:i/>
        </w:rPr>
        <w:instrText>B10-0107/2026</w:instrText>
      </w:r>
      <w:bookmarkEnd w:id="2"/>
      <w:r w:rsidRPr="000D6A3A">
        <w:rPr>
          <w:i/>
        </w:rPr>
        <w:instrText xml:space="preserve">)"\l3 \n&gt; \* MERGEFORMAT </w:instrText>
      </w:r>
      <w:r w:rsidRPr="000D6A3A">
        <w:rPr>
          <w:i/>
        </w:rPr>
        <w:fldChar w:fldCharType="end"/>
      </w:r>
    </w:p>
    <w:p w14:paraId="4C02A1B2" w14:textId="77777777" w:rsidR="00C04C5A" w:rsidRPr="000D6A3A" w:rsidRDefault="00C04C5A" w:rsidP="00C04C5A">
      <w:pPr>
        <w:rPr>
          <w:vanish/>
        </w:rPr>
      </w:pPr>
      <w:bookmarkStart w:id="3" w:name="PE"/>
      <w:r w:rsidRPr="000D6A3A">
        <w:rPr>
          <w:vanish/>
        </w:rPr>
        <w:t>PE782.192</w:t>
      </w:r>
      <w:bookmarkEnd w:id="3"/>
    </w:p>
    <w:p w14:paraId="1C01F844" w14:textId="6AAF61C3" w:rsidR="00C04C5A" w:rsidRPr="000D6A3A" w:rsidRDefault="00C04C5A" w:rsidP="00C04C5A">
      <w:pPr>
        <w:pStyle w:val="ATHeading3"/>
      </w:pPr>
      <w:bookmarkStart w:id="4" w:name="Sujet"/>
      <w:r w:rsidRPr="000D6A3A">
        <w:t xml:space="preserve">Resolucija Evropskega parlamenta z dne </w:t>
      </w:r>
      <w:r w:rsidR="00261E94" w:rsidRPr="000D6A3A">
        <w:t>11</w:t>
      </w:r>
      <w:r w:rsidRPr="000D6A3A">
        <w:t>. februarja 2026 o osnutku izvedbenega sklepa Komisije o odobritvi dajanja proizvodov, ki vsebujejo gensko spremenjeno sojo DBN-09004-6, so iz nje sestavljeni ali proizvedeni, na trg v skladu z Uredbo (ES) št. 1829/2003 Evropskega parlamenta in Sveta</w:t>
      </w:r>
      <w:bookmarkEnd w:id="4"/>
      <w:r w:rsidRPr="000D6A3A">
        <w:t xml:space="preserve"> </w:t>
      </w:r>
      <w:bookmarkStart w:id="5" w:name="References"/>
      <w:r w:rsidRPr="000D6A3A">
        <w:t>(D111472/02 – 2026/2523(RSP))</w:t>
      </w:r>
      <w:bookmarkEnd w:id="5"/>
    </w:p>
    <w:p w14:paraId="6AC636F9" w14:textId="77777777" w:rsidR="00DA6A34" w:rsidRPr="000D6A3A" w:rsidRDefault="00DA6A34" w:rsidP="00DA6A34">
      <w:pPr>
        <w:pStyle w:val="EPComma"/>
      </w:pPr>
      <w:bookmarkStart w:id="6" w:name="TextBodyBegin"/>
      <w:bookmarkEnd w:id="6"/>
      <w:r w:rsidRPr="000D6A3A">
        <w:rPr>
          <w:i/>
        </w:rPr>
        <w:t>Evropski parlament</w:t>
      </w:r>
      <w:r w:rsidRPr="000D6A3A">
        <w:t>,</w:t>
      </w:r>
    </w:p>
    <w:p w14:paraId="5137E358" w14:textId="77777777" w:rsidR="00DA6A34" w:rsidRPr="000D6A3A" w:rsidRDefault="00DA6A34" w:rsidP="00DA6A34">
      <w:pPr>
        <w:pStyle w:val="NormalHanging12a"/>
      </w:pPr>
      <w:r w:rsidRPr="000D6A3A">
        <w:t>–</w:t>
      </w:r>
      <w:r w:rsidRPr="000D6A3A">
        <w:tab/>
        <w:t>ob upoštevanju osnutka izvedbenega sklepa Komisije o odobritvi dajanja proizvodov, ki vsebujejo gensko spremenjeno sojo DBN-09004-6, so iz nje sestavljeni ali proizvedeni, na trg v skladu z Uredbo (ES) št. 1829/2003 Evropskega parlamenta in Sveta (D111472/02),</w:t>
      </w:r>
    </w:p>
    <w:p w14:paraId="68198E98" w14:textId="77777777" w:rsidR="00DA6A34" w:rsidRPr="000D6A3A" w:rsidRDefault="00DA6A34" w:rsidP="00DA6A34">
      <w:pPr>
        <w:pStyle w:val="NormalHanging12a"/>
      </w:pPr>
      <w:r w:rsidRPr="000D6A3A">
        <w:t>–</w:t>
      </w:r>
      <w:r w:rsidRPr="000D6A3A">
        <w:tab/>
        <w:t>ob upoštevanju Uredbe (ES) št. 1829/2003 Evropskega parlamenta in Sveta z dne 22. septembra 2003 o gensko spremenjenih živilih in krmi</w:t>
      </w:r>
      <w:r w:rsidRPr="000D6A3A">
        <w:rPr>
          <w:rStyle w:val="FootnoteReference"/>
        </w:rPr>
        <w:footnoteReference w:id="1"/>
      </w:r>
      <w:r w:rsidRPr="000D6A3A">
        <w:t xml:space="preserve"> ter zlasti člena 7(3) in člena 19(3) Uredbe,</w:t>
      </w:r>
    </w:p>
    <w:p w14:paraId="37803F13" w14:textId="786955C6" w:rsidR="00DA6A34" w:rsidRPr="000D6A3A" w:rsidRDefault="00DA6A34" w:rsidP="00DA6A34">
      <w:pPr>
        <w:pStyle w:val="NormalHanging12a"/>
      </w:pPr>
      <w:r w:rsidRPr="000D6A3A">
        <w:t>–</w:t>
      </w:r>
      <w:r w:rsidRPr="000D6A3A">
        <w:tab/>
        <w:t xml:space="preserve">ob upoštevanju glasovanja Stalnega odbora za rastline, živali, hrano in krmo iz člena 35 Uredbe (ES) št. 1829/2003, ki je potekalo 12. decembra 2025 in </w:t>
      </w:r>
      <w:r w:rsidR="00D57C91" w:rsidRPr="000D6A3A">
        <w:t>na podlagi katerega mnenje</w:t>
      </w:r>
      <w:r w:rsidRPr="000D6A3A">
        <w:t xml:space="preserve"> ni bilo </w:t>
      </w:r>
      <w:r w:rsidR="00D57C91" w:rsidRPr="000D6A3A">
        <w:t>podano</w:t>
      </w:r>
      <w:bookmarkStart w:id="7" w:name="_Hlk219206484"/>
      <w:r w:rsidRPr="000D6A3A">
        <w:t>,</w:t>
      </w:r>
      <w:bookmarkEnd w:id="7"/>
      <w:r w:rsidR="00D57C91" w:rsidRPr="000D6A3A">
        <w:t xml:space="preserve"> ter glasovanja v odboru za pritožbe 27. januarja 2026, na podlagi katerega mnenje prav tako ni bilo podano,</w:t>
      </w:r>
    </w:p>
    <w:p w14:paraId="4E009E48" w14:textId="77777777" w:rsidR="00DA6A34" w:rsidRPr="000D6A3A" w:rsidRDefault="00DA6A34" w:rsidP="00DA6A34">
      <w:pPr>
        <w:pStyle w:val="NormalHanging12a"/>
      </w:pPr>
      <w:r w:rsidRPr="000D6A3A">
        <w:t>–</w:t>
      </w:r>
      <w:r w:rsidRPr="000D6A3A">
        <w:tab/>
        <w:t>ob upoštevanju člena 11 Uredbe (EU) št. 182/2011 Evropskega parlamenta in Sveta z dne 16. februarja 2011 o določitvi splošnih pravil in načel, na podlagi katerih države članice nadzirajo izvajanje izvedbenih pooblastil Komisije</w:t>
      </w:r>
      <w:r w:rsidRPr="000D6A3A">
        <w:rPr>
          <w:rStyle w:val="FootnoteReference"/>
        </w:rPr>
        <w:footnoteReference w:id="2"/>
      </w:r>
      <w:r w:rsidRPr="000D6A3A">
        <w:t>,</w:t>
      </w:r>
    </w:p>
    <w:p w14:paraId="08C51CF5" w14:textId="77777777" w:rsidR="00DA6A34" w:rsidRPr="000D6A3A" w:rsidRDefault="00DA6A34" w:rsidP="00DA6A34">
      <w:pPr>
        <w:pStyle w:val="NormalHanging12a"/>
      </w:pPr>
      <w:r w:rsidRPr="000D6A3A">
        <w:t>–</w:t>
      </w:r>
      <w:r w:rsidRPr="000D6A3A">
        <w:tab/>
        <w:t>ob upoštevanju mnenja, ki ga je Evropska agencija za varnost hrane (EFSA) sprejela 21. maja 2025 in objavila 7. julija 2025</w:t>
      </w:r>
      <w:r w:rsidRPr="000D6A3A">
        <w:rPr>
          <w:vertAlign w:val="superscript"/>
        </w:rPr>
        <w:footnoteReference w:id="3"/>
      </w:r>
      <w:r w:rsidRPr="000D6A3A">
        <w:t>,</w:t>
      </w:r>
    </w:p>
    <w:p w14:paraId="0CF48C98" w14:textId="77777777" w:rsidR="00DA6A34" w:rsidRPr="000D6A3A" w:rsidRDefault="00DA6A34" w:rsidP="00DA6A34">
      <w:pPr>
        <w:pStyle w:val="NormalHanging12a"/>
      </w:pPr>
      <w:r w:rsidRPr="000D6A3A">
        <w:t>–</w:t>
      </w:r>
      <w:r w:rsidRPr="000D6A3A">
        <w:tab/>
        <w:t xml:space="preserve">ob upoštevanju svojih preteklih resolucij, s katerimi je nasprotoval odobritvi gensko </w:t>
      </w:r>
      <w:r w:rsidRPr="000D6A3A">
        <w:lastRenderedPageBreak/>
        <w:t>spremenjenih organizmov</w:t>
      </w:r>
      <w:r w:rsidRPr="000D6A3A">
        <w:rPr>
          <w:vertAlign w:val="superscript"/>
        </w:rPr>
        <w:footnoteReference w:id="4"/>
      </w:r>
      <w:r w:rsidRPr="000D6A3A">
        <w:t>,</w:t>
      </w:r>
    </w:p>
    <w:p w14:paraId="1CC24F6E" w14:textId="77777777" w:rsidR="00DA6A34" w:rsidRPr="000D6A3A" w:rsidRDefault="00DA6A34" w:rsidP="00DA6A34">
      <w:pPr>
        <w:pStyle w:val="NormalHanging12a"/>
      </w:pPr>
      <w:r w:rsidRPr="000D6A3A">
        <w:lastRenderedPageBreak/>
        <w:t>–</w:t>
      </w:r>
      <w:r w:rsidRPr="000D6A3A">
        <w:tab/>
        <w:t>ob upoštevanju člena 115(2) in (3) Poslovnika,</w:t>
      </w:r>
    </w:p>
    <w:p w14:paraId="656DE8E1" w14:textId="77777777" w:rsidR="00DA6A34" w:rsidRPr="000D6A3A" w:rsidRDefault="00DA6A34" w:rsidP="00DA6A34">
      <w:pPr>
        <w:pStyle w:val="NormalHanging12a"/>
      </w:pPr>
      <w:r w:rsidRPr="000D6A3A">
        <w:lastRenderedPageBreak/>
        <w:t>–</w:t>
      </w:r>
      <w:r w:rsidRPr="000D6A3A">
        <w:tab/>
        <w:t>ob upoštevanju predloga resolucije Odbora za okolje, podnebje in varnost hrane,</w:t>
      </w:r>
    </w:p>
    <w:p w14:paraId="448BE93D" w14:textId="77777777" w:rsidR="00DA6A34" w:rsidRPr="000D6A3A" w:rsidRDefault="00DA6A34" w:rsidP="00DA6A34">
      <w:pPr>
        <w:pStyle w:val="NormalHanging12a"/>
        <w:ind w:hanging="570"/>
      </w:pPr>
      <w:r w:rsidRPr="000D6A3A">
        <w:t>A.</w:t>
      </w:r>
      <w:r w:rsidRPr="000D6A3A">
        <w:tab/>
        <w:t xml:space="preserve">ker je družba Perseus BV s sedežem v Belgiji 20. decembra 2019 v imenu družbe Beijing DaBeiNong Biotechnology Co., Ltd. s sedežem na Kitajskem v skladu s členoma 5 in 17 Uredbe (ES) št. 1829/2003 </w:t>
      </w:r>
      <w:r w:rsidRPr="000D6A3A">
        <w:rPr>
          <w:snapToGrid w:val="0"/>
        </w:rPr>
        <w:t>pri belgijskem pristojnem nacionalnem organu vložila vlogo</w:t>
      </w:r>
      <w:r w:rsidRPr="000D6A3A">
        <w:t xml:space="preserve"> za dajanje na trg živil, živilskih sestavin in krme, ki vsebujejo gensko spremenjeno sojo DBN-09004-6 (v nadaljnjem besedilu: gensko spremenjena soja), so iz nje sestavljeni ali proizvedeni; ker se je vloga nanašala tudi na dajanje na trg proizvodov, ki vsebujejo gensko spremenjeno sojo, so iz nje sestavljeni ali proizvedeni ter se uporabljajo v druge namene kot za živila in krmo, razen za gojenje;</w:t>
      </w:r>
    </w:p>
    <w:p w14:paraId="467F9969" w14:textId="77777777" w:rsidR="00DA6A34" w:rsidRPr="000D6A3A" w:rsidRDefault="00DA6A34" w:rsidP="00DA6A34">
      <w:pPr>
        <w:pStyle w:val="NormalHanging12a"/>
        <w:ind w:hanging="570"/>
      </w:pPr>
      <w:bookmarkStart w:id="8" w:name="_Hlk218675754"/>
      <w:r w:rsidRPr="000D6A3A">
        <w:t>B.</w:t>
      </w:r>
      <w:r w:rsidRPr="000D6A3A">
        <w:tab/>
        <w:t>ker je agencija EFSA 7. julija 2025 izdala pozitivno znanstveno mnenje v skladu s členoma 6 in 18 Uredbe (ES) št. 1829/2003, v katerem je ugotovila, da je gensko spremenjena soja, kot je opisana v vlogi, enako varna kot konvencionalna soja in testirane gensko nespremenjene referenčne sorte soje, kar zadeva morebitne učinke na zdravje ljudi in živali ter okolje; ker v tem mnenju ni bilo obravnavanih več širših okoljskih, socialno-ekonomskih in kumulativnih učinkov, za katere agencija EFSA meni, da ne spadajo v njeno pristojnost;</w:t>
      </w:r>
    </w:p>
    <w:p w14:paraId="282D193A" w14:textId="77777777" w:rsidR="00DA6A34" w:rsidRPr="000D6A3A" w:rsidRDefault="00DA6A34" w:rsidP="00DA6A34">
      <w:pPr>
        <w:pStyle w:val="NormalHanging12a"/>
        <w:ind w:hanging="570"/>
      </w:pPr>
      <w:r w:rsidRPr="000D6A3A">
        <w:t>C.</w:t>
      </w:r>
      <w:r w:rsidRPr="000D6A3A">
        <w:tab/>
        <w:t>ker je bila gensko spremenjena soja razvita zato, da je odporna proti glufosinatu in glifosatu;</w:t>
      </w:r>
    </w:p>
    <w:bookmarkEnd w:id="8"/>
    <w:p w14:paraId="652D95DE" w14:textId="77777777" w:rsidR="00DA6A34" w:rsidRPr="000D6A3A" w:rsidRDefault="00DA6A34" w:rsidP="00DA6A34">
      <w:pPr>
        <w:pStyle w:val="NormalHanging12a"/>
      </w:pPr>
      <w:r w:rsidRPr="000D6A3A">
        <w:t>D.</w:t>
      </w:r>
      <w:r w:rsidRPr="000D6A3A">
        <w:tab/>
        <w:t>ker ocene tveganja, ki jih je izvedla agencija EFSA, niso vključevale dolgoročnih toksikoloških študij ali podrobne analize kumulativnih in kombiniranih učinkov, vključno z morebitnimi medsebojnimi vplivi z ostanki pesticidov, ki se običajno uporabljajo pri gojenju soje;</w:t>
      </w:r>
    </w:p>
    <w:p w14:paraId="20DB50A6" w14:textId="77777777" w:rsidR="00DA6A34" w:rsidRPr="000D6A3A" w:rsidRDefault="00DA6A34" w:rsidP="00DA6A34">
      <w:pPr>
        <w:pStyle w:val="NormalHanging12a"/>
        <w:rPr>
          <w:color w:val="000000" w:themeColor="text1"/>
          <w:szCs w:val="24"/>
        </w:rPr>
      </w:pPr>
      <w:r w:rsidRPr="000D6A3A">
        <w:rPr>
          <w:color w:val="000000" w:themeColor="text1"/>
        </w:rPr>
        <w:t>E.</w:t>
      </w:r>
      <w:r w:rsidRPr="000D6A3A">
        <w:rPr>
          <w:color w:val="000000" w:themeColor="text1"/>
        </w:rPr>
        <w:tab/>
      </w:r>
      <w:r w:rsidRPr="000D6A3A">
        <w:t xml:space="preserve">ker je bila velika večina gensko spremenjenih kmetijskih rastlin, vključno z gensko spremenjeno sojo, gensko spremenjena tako, da so odporne proti enemu ali več komplementarnim herbicidom, ki se lahko uporabljajo ves čas gojenja teh rastlin, ne da bi te odmrle, kot bi se zgodilo s kmetijskimi rastlinami, ki niso odporne proti herbicidom; </w:t>
      </w:r>
      <w:r w:rsidRPr="000D6A3A">
        <w:rPr>
          <w:color w:val="000000" w:themeColor="text1"/>
        </w:rPr>
        <w:t>ker je iz številnih študij razvidno, da se pri gojenju gensko spremenjenih kmetijskih rastlin, odpornih proti herbicidom, uporabi več komplementarnih herbicidov, zlasti zaradi pojavljanja plevelov, odpornih proti herbicidom</w:t>
      </w:r>
      <w:r w:rsidRPr="000D6A3A">
        <w:rPr>
          <w:rStyle w:val="FootnoteReference"/>
          <w:color w:val="000000" w:themeColor="text1"/>
          <w:szCs w:val="24"/>
        </w:rPr>
        <w:footnoteReference w:id="5"/>
      </w:r>
      <w:r w:rsidRPr="000D6A3A">
        <w:rPr>
          <w:color w:val="000000" w:themeColor="text1"/>
        </w:rPr>
        <w:t>;</w:t>
      </w:r>
    </w:p>
    <w:p w14:paraId="18B1B278" w14:textId="77777777" w:rsidR="00DA6A34" w:rsidRPr="000D6A3A" w:rsidRDefault="00DA6A34" w:rsidP="00DA6A34">
      <w:pPr>
        <w:spacing w:after="240"/>
        <w:ind w:left="567" w:hanging="567"/>
        <w:rPr>
          <w:color w:val="000000" w:themeColor="text1"/>
          <w:szCs w:val="24"/>
        </w:rPr>
      </w:pPr>
      <w:r w:rsidRPr="000D6A3A">
        <w:t>F.</w:t>
      </w:r>
      <w:r w:rsidRPr="000D6A3A">
        <w:tab/>
        <w:t xml:space="preserve">ker </w:t>
      </w:r>
      <w:r w:rsidRPr="000D6A3A">
        <w:rPr>
          <w:color w:val="000000" w:themeColor="text1"/>
        </w:rPr>
        <w:t xml:space="preserve">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spremenjeno sojo, pospešila nastajanje in širjenje plevela, odpornega proti tem herbicidom, to pa bo sprožilo potrebo po še večji stalni uporabi herbicidov, kar vodi v začarani krog; ker bodo škodljivi učinki pretirane odvisnosti od herbicidov poslabšali zdravje tal, kakovost vode ter nadzemno in </w:t>
      </w:r>
      <w:r w:rsidRPr="000D6A3A">
        <w:rPr>
          <w:color w:val="000000" w:themeColor="text1"/>
        </w:rPr>
        <w:lastRenderedPageBreak/>
        <w:t>podzemno biotsko raznovrstnost, ta odvisnost pa bo privedla tudi do večje izpostavljenosti ljudi in živali herbicidom, po možnosti tudi zaradi povečanih količin njihovih ostankov na živilih in krmi</w:t>
      </w:r>
      <w:r w:rsidRPr="000D6A3A">
        <w:rPr>
          <w:rStyle w:val="FootnoteReference"/>
          <w:color w:val="000000" w:themeColor="text1"/>
          <w:szCs w:val="24"/>
        </w:rPr>
        <w:footnoteReference w:id="6"/>
      </w:r>
      <w:r w:rsidRPr="000D6A3A">
        <w:rPr>
          <w:color w:val="000000" w:themeColor="text1"/>
        </w:rPr>
        <w:t>;</w:t>
      </w:r>
    </w:p>
    <w:p w14:paraId="741867FA" w14:textId="77777777" w:rsidR="00DA6A34" w:rsidRPr="000D6A3A" w:rsidRDefault="00DA6A34" w:rsidP="00DA6A34">
      <w:pPr>
        <w:pStyle w:val="NormalWeb"/>
        <w:widowControl w:val="0"/>
        <w:spacing w:before="0" w:beforeAutospacing="0" w:after="240" w:afterAutospacing="0"/>
        <w:ind w:left="567" w:hanging="567"/>
      </w:pPr>
      <w:r w:rsidRPr="000D6A3A">
        <w:t>G.</w:t>
      </w:r>
      <w:r w:rsidRPr="000D6A3A">
        <w:tab/>
        <w:t>ker je glufosinat razvrščen kot strupen za razmnoževanje iz skupine 1B in zato izpolnjuje merila za izločitev iz Uredbe (ES) št. 1107/2009 Evropskega parlamenta in Sveta</w:t>
      </w:r>
      <w:r w:rsidRPr="000D6A3A">
        <w:rPr>
          <w:rStyle w:val="FootnoteReference"/>
        </w:rPr>
        <w:footnoteReference w:id="7"/>
      </w:r>
      <w:r w:rsidRPr="000D6A3A">
        <w:t>; ker je veljavnost odobritve glufosinata za uporabo v Uniji potekla 31. julija 2018;</w:t>
      </w:r>
    </w:p>
    <w:p w14:paraId="6759DF79" w14:textId="77777777" w:rsidR="00DA6A34" w:rsidRPr="000D6A3A" w:rsidRDefault="00DA6A34" w:rsidP="00DA6A34">
      <w:pPr>
        <w:pStyle w:val="NormalHanging12a"/>
      </w:pPr>
      <w:r w:rsidRPr="000D6A3A">
        <w:t>H.</w:t>
      </w:r>
      <w:r w:rsidRPr="000D6A3A">
        <w:tab/>
        <w:t>ker še vedno obstajajo resni pomisleki glede rakotvornosti glifosata; ker je agencija EFSA novembra 2015 ugotovila, da glifosat verjetno ni rakotvoren, Evropska agencija za kemikalije pa je marca 2017 sklenila, da njegova razvrstitev med rakotvorne snovi ni utemeljena; ker pa ga je po drugi strani Mednarodna agencija za raziskave raka, specializirana agencija Svetovne zdravstvene organizacije, leta 2015 razvrstila med snovi, ki pri ljudeh verjetno povzročajo raka; ker več najnovejših strokovno pregledanih znanstvenih študij potrjuje rakotvornost glifosata</w:t>
      </w:r>
      <w:r w:rsidRPr="000D6A3A">
        <w:rPr>
          <w:rStyle w:val="FootnoteReference"/>
        </w:rPr>
        <w:footnoteReference w:id="8"/>
      </w:r>
      <w:r w:rsidRPr="000D6A3A">
        <w:t xml:space="preserve">; ker je revija Regulatory Toxicology and Pharmacology uradno umaknila znanstveni članek z naslovom </w:t>
      </w:r>
      <w:r w:rsidRPr="000D6A3A">
        <w:rPr>
          <w:i/>
          <w:iCs/>
        </w:rPr>
        <w:t>Safety Evaluation and Risk Assessment of the Herbicide Roundup and Its Active Ingredient, Glyphosate, for Humans</w:t>
      </w:r>
      <w:r w:rsidRPr="000D6A3A">
        <w:t xml:space="preserve"> (Varnostna ocena in ocena tveganja herbicida Roundup in njegove aktivne sestavine glifosata za ljudi), objavljen leta 2000, ki je bil uporabljen za zagovor varnosti glifosata v številnih ocenah tveganja, saj so „bili izraženi pomisleki glede njegovega avtorstva, veljavnosti ugotovitev raziskave zaradi napačnega predstavljanja prispevkov s strani avtorjev in sponzorja študije ter morebitnih navzkrižij interesov avtorjev“</w:t>
      </w:r>
      <w:r w:rsidRPr="000D6A3A">
        <w:rPr>
          <w:rStyle w:val="FootnoteReference"/>
        </w:rPr>
        <w:footnoteReference w:id="9"/>
      </w:r>
      <w:r w:rsidRPr="000D6A3A">
        <w:t>;</w:t>
      </w:r>
    </w:p>
    <w:p w14:paraId="7DDF1652" w14:textId="77777777" w:rsidR="00DA6A34" w:rsidRPr="000D6A3A" w:rsidRDefault="00DA6A34" w:rsidP="00DA6A34">
      <w:pPr>
        <w:pStyle w:val="NormalHanging12a"/>
      </w:pPr>
      <w:r w:rsidRPr="000D6A3A">
        <w:t>I.</w:t>
      </w:r>
      <w:r w:rsidRPr="000D6A3A">
        <w:tab/>
        <w:t>ker neodvisno spremljanje in nadzor morebitnih škodljivih učinkov na biotsko raznovrstnost, zdravje tal, opraševalce in neciljne organizme še vedno nista dovolj zagotovljena;</w:t>
      </w:r>
    </w:p>
    <w:p w14:paraId="7268412C" w14:textId="77777777" w:rsidR="00DA6A34" w:rsidRPr="000D6A3A" w:rsidRDefault="00DA6A34" w:rsidP="00DA6A34">
      <w:pPr>
        <w:spacing w:after="240"/>
        <w:ind w:left="567" w:hanging="567"/>
      </w:pPr>
      <w:r w:rsidRPr="000D6A3A">
        <w:t>J.</w:t>
      </w:r>
      <w:r w:rsidRPr="000D6A3A">
        <w:tab/>
        <w:t>ker bi se moralo previdnostno načelo, ki je zapisano v členu 191 Pogodbe o delovanju Evropske unije, uporabljati v primerih znanstvene negotovosti;</w:t>
      </w:r>
    </w:p>
    <w:p w14:paraId="249918B7" w14:textId="77777777" w:rsidR="00DA6A34" w:rsidRPr="000D6A3A" w:rsidRDefault="00DA6A34" w:rsidP="00DA6A34">
      <w:pPr>
        <w:spacing w:after="240"/>
        <w:ind w:left="567" w:hanging="567"/>
      </w:pPr>
      <w:r w:rsidRPr="000D6A3A">
        <w:t>K.</w:t>
      </w:r>
      <w:r w:rsidRPr="000D6A3A">
        <w:tab/>
        <w:t>ker je v Uredbi (ES) št. 1829/2003 določeno, da gensko spremenjena živila in krma ne smejo imeti škodljivih učinkov na zdravje ljudi, zdravje živali ali okolje;</w:t>
      </w:r>
    </w:p>
    <w:p w14:paraId="2055F555" w14:textId="77777777" w:rsidR="00DA6A34" w:rsidRPr="000D6A3A" w:rsidRDefault="00DA6A34" w:rsidP="00DA6A34">
      <w:pPr>
        <w:pStyle w:val="NormalWeb"/>
        <w:widowControl w:val="0"/>
        <w:spacing w:before="0" w:beforeAutospacing="0" w:after="240" w:afterAutospacing="0"/>
        <w:ind w:left="567" w:hanging="567"/>
      </w:pPr>
      <w:r w:rsidRPr="000D6A3A">
        <w:t>L.</w:t>
      </w:r>
      <w:r w:rsidRPr="000D6A3A">
        <w:tab/>
        <w:t>ker odobritev gensko spremenjene soje s strani Unije ne bi bila v skladu z mednarodnimi zavezami o zmanjšanju uporabe pesticidov</w:t>
      </w:r>
      <w:r w:rsidRPr="000D6A3A">
        <w:rPr>
          <w:vertAlign w:val="superscript"/>
        </w:rPr>
        <w:footnoteReference w:id="10"/>
      </w:r>
      <w:r w:rsidRPr="000D6A3A">
        <w:t xml:space="preserve">, saj so ravno v državah, v katerih gojijo to gensko spremenjeno kmetijsko rastlino, odporno proti herbicidom, </w:t>
      </w:r>
      <w:r w:rsidRPr="000D6A3A">
        <w:lastRenderedPageBreak/>
        <w:t>ljudje, živali in okolje bolj izpostavljeni glifosatu in glufosinatu, pa tudi potencialno resnim zdravstvenim posledicam;</w:t>
      </w:r>
    </w:p>
    <w:p w14:paraId="1CB170FC" w14:textId="77777777" w:rsidR="00DA6A34" w:rsidRPr="000D6A3A" w:rsidRDefault="00DA6A34" w:rsidP="00DA6A34">
      <w:pPr>
        <w:spacing w:after="240"/>
        <w:ind w:left="567" w:hanging="567"/>
      </w:pPr>
      <w:r w:rsidRPr="000D6A3A">
        <w:t>M.</w:t>
      </w:r>
      <w:r w:rsidRPr="000D6A3A">
        <w:tab/>
        <w:t>ker bi se z osnutkom izvedbenega sklepa Komisije omogočil uvoz proizvodov v Unijo, ki ne izpolnjujejo standardov, ki jih upoštevajo kmetje Unije, zaradi česar bi bili ti v slabšem konkurenčnem položaju;</w:t>
      </w:r>
    </w:p>
    <w:p w14:paraId="5E482260" w14:textId="77777777" w:rsidR="00DA6A34" w:rsidRPr="000D6A3A" w:rsidRDefault="00DA6A34" w:rsidP="00DA6A34">
      <w:pPr>
        <w:spacing w:after="240"/>
        <w:ind w:left="567" w:hanging="567"/>
      </w:pPr>
      <w:r w:rsidRPr="000D6A3A">
        <w:t>N.</w:t>
      </w:r>
      <w:r w:rsidRPr="000D6A3A">
        <w:tab/>
        <w:t>ker je Komisija v sklepih strateškega dialoga o prihodnosti kmetijstva v EU</w:t>
      </w:r>
      <w:r w:rsidRPr="000D6A3A">
        <w:rPr>
          <w:rStyle w:val="FootnoteReference"/>
        </w:rPr>
        <w:footnoteReference w:id="11"/>
      </w:r>
      <w:r w:rsidRPr="000D6A3A">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2024 in 2025;</w:t>
      </w:r>
    </w:p>
    <w:p w14:paraId="105BAADF" w14:textId="77777777" w:rsidR="00DA6A34" w:rsidRPr="000D6A3A" w:rsidRDefault="00DA6A34" w:rsidP="00DA6A34">
      <w:pPr>
        <w:spacing w:after="240"/>
        <w:ind w:left="567" w:hanging="567"/>
      </w:pPr>
      <w:r w:rsidRPr="000D6A3A">
        <w:t>O.</w:t>
      </w:r>
      <w:r w:rsidRPr="000D6A3A">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27B6F95E" w14:textId="77777777" w:rsidR="00DA6A34" w:rsidRPr="000D6A3A" w:rsidRDefault="00DA6A34" w:rsidP="00DA6A34">
      <w:pPr>
        <w:pStyle w:val="NormalWeb"/>
        <w:widowControl w:val="0"/>
        <w:shd w:val="clear" w:color="auto" w:fill="FFFFFF"/>
        <w:spacing w:before="0" w:beforeAutospacing="0" w:after="240" w:afterAutospacing="0"/>
        <w:ind w:left="567" w:hanging="567"/>
        <w:rPr>
          <w:color w:val="000000" w:themeColor="text1"/>
        </w:rPr>
      </w:pPr>
      <w:r w:rsidRPr="000D6A3A">
        <w:rPr>
          <w:color w:val="000000" w:themeColor="text1"/>
        </w:rPr>
        <w:t>P.</w:t>
      </w:r>
      <w:r w:rsidRPr="000D6A3A">
        <w:rPr>
          <w:color w:val="000000" w:themeColor="text1"/>
        </w:rPr>
        <w:tab/>
        <w:t>ker je Komisija sama priznala demokratični primanjkljaj, odsotnost podpore držav članic in nasprotovanje Parlamenta, a vseeno še naprej sprejema odobritve za gensko spremenjene organizme;</w:t>
      </w:r>
    </w:p>
    <w:p w14:paraId="31894226" w14:textId="77777777" w:rsidR="00DA6A34" w:rsidRPr="000D6A3A" w:rsidRDefault="00DA6A34" w:rsidP="00DA6A34">
      <w:pPr>
        <w:spacing w:after="240"/>
        <w:ind w:left="567" w:hanging="567"/>
      </w:pPr>
      <w:r w:rsidRPr="000D6A3A">
        <w:t>Q.</w:t>
      </w:r>
      <w:r w:rsidRPr="000D6A3A">
        <w:tab/>
        <w:t>ker je treba v skladu s pristopom „eno zdravje“ pri ocenjevanju dolgoročne trajnostnosti in varnosti gensko spremenjenih organizmov upoštevati medsebojno odvisnost zdravja ljudi, živali, rastlin in okolja;</w:t>
      </w:r>
    </w:p>
    <w:p w14:paraId="79BB6BB7" w14:textId="0840F7EF" w:rsidR="00DA6A34" w:rsidRPr="000D6A3A" w:rsidRDefault="00DA6A34" w:rsidP="00DA6A34">
      <w:pPr>
        <w:spacing w:after="240"/>
        <w:ind w:left="567" w:hanging="567"/>
      </w:pPr>
      <w:r w:rsidRPr="000D6A3A">
        <w:t>R.</w:t>
      </w:r>
      <w:r w:rsidRPr="000D6A3A">
        <w:tab/>
        <w:t xml:space="preserve">ker bo ta resolucija </w:t>
      </w:r>
      <w:r w:rsidR="00261E94" w:rsidRPr="000D6A3A">
        <w:t xml:space="preserve">skoraj </w:t>
      </w:r>
      <w:r w:rsidRPr="000D6A3A">
        <w:t xml:space="preserve">stota resolucija o nasprotovanju odobritvi uvoza gensko spremenjenih kmetijskih rastlin, ki jo je sprejel Evropski parlament; </w:t>
      </w:r>
    </w:p>
    <w:p w14:paraId="2620495D" w14:textId="77777777" w:rsidR="00DA6A34" w:rsidRPr="000D6A3A" w:rsidRDefault="00DA6A34" w:rsidP="00DA6A34">
      <w:pPr>
        <w:pStyle w:val="NormalHanging12a"/>
      </w:pPr>
      <w:r w:rsidRPr="000D6A3A">
        <w:t>1.</w:t>
      </w:r>
      <w:r w:rsidRPr="000D6A3A">
        <w:tab/>
        <w:t>meni, da osnutek izvedbenega sklepa Komisije presega izvedbena pooblastila, določena v Uredbi (ES) št. 1829/2003;</w:t>
      </w:r>
    </w:p>
    <w:p w14:paraId="3FAB2E41" w14:textId="77777777" w:rsidR="00DA6A34" w:rsidRPr="000D6A3A" w:rsidRDefault="00DA6A34" w:rsidP="00DA6A34">
      <w:pPr>
        <w:pStyle w:val="NormalHanging12a"/>
      </w:pPr>
      <w:bookmarkStart w:id="9" w:name="_Hlk218675825"/>
      <w:r w:rsidRPr="000D6A3A">
        <w:t>2.</w:t>
      </w:r>
      <w:r w:rsidRPr="000D6A3A">
        <w:tab/>
        <w:t>meni, da osnutek izvedbenega sklepa Komisije ni v skladu s pravom Unije, saj ni združljiv s ciljem Uredbe (ES) št. 1829/2003, tj. v skladu s splošnimi načeli iz Uredbe (ES) št. 178/2002 Evropskega parlamenta in Sveta</w:t>
      </w:r>
      <w:r w:rsidRPr="000D6A3A">
        <w:rPr>
          <w:vertAlign w:val="superscript"/>
        </w:rPr>
        <w:footnoteReference w:id="12"/>
      </w:r>
      <w:r w:rsidRPr="000D6A3A">
        <w:t xml:space="preserve"> dati osnovo za zagotavljanje visoke ravni varstva življenja in zdravja ljudi, zdravja in zaščite živali, okolja ter interesov potrošnikov v zvezi z gensko spremenjenimi živili in krmo ob zagotavljanju učinkovitega delovanja notranjega trga; </w:t>
      </w:r>
    </w:p>
    <w:bookmarkEnd w:id="9"/>
    <w:p w14:paraId="251A59AB" w14:textId="77777777" w:rsidR="00DA6A34" w:rsidRPr="000D6A3A" w:rsidRDefault="00DA6A34" w:rsidP="00DA6A34">
      <w:pPr>
        <w:pStyle w:val="NormalHanging12a"/>
      </w:pPr>
      <w:r w:rsidRPr="000D6A3A">
        <w:t>3.</w:t>
      </w:r>
      <w:r w:rsidRPr="000D6A3A">
        <w:tab/>
        <w:t>poziva Komisijo, naj umakne svoj osnutek izvedbenega sklepa;</w:t>
      </w:r>
    </w:p>
    <w:p w14:paraId="7EEEB7BB" w14:textId="77777777" w:rsidR="00DA6A34" w:rsidRPr="000D6A3A" w:rsidRDefault="00DA6A34" w:rsidP="00DA6A34">
      <w:pPr>
        <w:spacing w:after="240"/>
        <w:ind w:left="567" w:hanging="567"/>
      </w:pPr>
      <w:r w:rsidRPr="000D6A3A">
        <w:t>4.</w:t>
      </w:r>
      <w:r w:rsidRPr="000D6A3A">
        <w:tab/>
        <w:t xml:space="preserve">poziva Komisijo, naj v skladu s pristopom „eno zdravje“ ne odobri gensko spremenjene soje, saj ni dovolj dokazov o dolgoročnem vplivu na biotsko raznovrstnost, varnost </w:t>
      </w:r>
      <w:r w:rsidRPr="000D6A3A">
        <w:lastRenderedPageBreak/>
        <w:t>hrane, možnost preživljanja kmetov in zdravje živali;</w:t>
      </w:r>
    </w:p>
    <w:p w14:paraId="270B6D22" w14:textId="77777777" w:rsidR="00DA6A34" w:rsidRPr="000D6A3A" w:rsidRDefault="00DA6A34" w:rsidP="00DA6A34">
      <w:pPr>
        <w:spacing w:after="240"/>
        <w:ind w:left="567" w:hanging="567"/>
      </w:pPr>
      <w:bookmarkStart w:id="10" w:name="_Hlk210900300"/>
      <w:r w:rsidRPr="000D6A3A">
        <w:t>5.</w:t>
      </w:r>
      <w:r w:rsidRPr="000D6A3A">
        <w:tab/>
        <w:t>poziva Komisijo, naj nemudoma predloži zakonodajni predlog za reformo postopka odločanja o gensko spremenjenih organizmih, da bi se odzvala na stalne ugovore Parlamenta in odsotnost podpore kvalificirane večine med državami članicami</w:t>
      </w:r>
      <w:bookmarkEnd w:id="10"/>
      <w:r w:rsidRPr="000D6A3A">
        <w:t>;</w:t>
      </w:r>
    </w:p>
    <w:p w14:paraId="7C666FEA" w14:textId="77777777" w:rsidR="00DA6A34" w:rsidRPr="000D6A3A" w:rsidRDefault="00DA6A34" w:rsidP="00DA6A34">
      <w:pPr>
        <w:spacing w:after="240"/>
        <w:ind w:left="567" w:hanging="567"/>
      </w:pPr>
      <w:bookmarkStart w:id="11" w:name="_Hlk210900241"/>
      <w:r w:rsidRPr="000D6A3A">
        <w:t>6.</w:t>
      </w:r>
      <w:r w:rsidRPr="000D6A3A">
        <w:tab/>
        <w:t>v zvezi s tem poudarja, da odobritev uvoza katere koli gensko spremenjene rastline, ki je bila spremenjena tako, da je odporna proti herbicidom, prepovedanim v Uniji, kot je glufosinat, za uporabo v živilih, krmi ali proizvodih ni v skladu z mednarodnimi zavezami Unije, med drugim s Konvencijo OZN o biološki raznovrstnosti in cilji OZN glede trajnostnega razvoja, vključno s Kunminško-montrealskim okvirom, ter da ustvarja neenake konkurenčne pogoje za kmete Unije;</w:t>
      </w:r>
      <w:bookmarkEnd w:id="11"/>
    </w:p>
    <w:p w14:paraId="759016B4" w14:textId="3B9A6886" w:rsidR="00E365E1" w:rsidRPr="000D6A3A" w:rsidRDefault="00DA6A34" w:rsidP="00261E94">
      <w:pPr>
        <w:ind w:left="567" w:hanging="567"/>
      </w:pPr>
      <w:r w:rsidRPr="000D6A3A">
        <w:t>7.</w:t>
      </w:r>
      <w:r w:rsidRPr="000D6A3A">
        <w:tab/>
        <w:t>naroči svoji predsednici, naj to resolucijo posreduje Svetu in Komisiji ter vladam in parlamentom držav članic.</w:t>
      </w:r>
    </w:p>
    <w:sectPr w:rsidR="00E365E1" w:rsidRPr="000D6A3A" w:rsidSect="008A31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5EC1B" w14:textId="77777777" w:rsidR="00C04C5A" w:rsidRPr="008A3158" w:rsidRDefault="00C04C5A">
      <w:r w:rsidRPr="008A3158">
        <w:separator/>
      </w:r>
    </w:p>
  </w:endnote>
  <w:endnote w:type="continuationSeparator" w:id="0">
    <w:p w14:paraId="47F95EBD" w14:textId="77777777" w:rsidR="00C04C5A" w:rsidRPr="008A3158" w:rsidRDefault="00C04C5A">
      <w:r w:rsidRPr="008A3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19E57" w14:textId="77777777" w:rsidR="00064002" w:rsidRPr="008A31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DC00F" w14:textId="77777777" w:rsidR="00064002" w:rsidRPr="008A31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F9D9" w14:textId="77777777" w:rsidR="00064002" w:rsidRPr="008A31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FA665" w14:textId="77777777" w:rsidR="00C04C5A" w:rsidRPr="008A3158" w:rsidRDefault="00C04C5A">
      <w:r w:rsidRPr="008A3158">
        <w:separator/>
      </w:r>
    </w:p>
  </w:footnote>
  <w:footnote w:type="continuationSeparator" w:id="0">
    <w:p w14:paraId="13122AC0" w14:textId="77777777" w:rsidR="00C04C5A" w:rsidRPr="008A3158" w:rsidRDefault="00C04C5A">
      <w:r w:rsidRPr="008A3158">
        <w:continuationSeparator/>
      </w:r>
    </w:p>
  </w:footnote>
  <w:footnote w:id="1">
    <w:p w14:paraId="398B734C" w14:textId="0F84B427"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UL L 268, 18.10.2003, str. 1, ELI: </w:t>
      </w:r>
      <w:hyperlink r:id="rId1" w:history="1">
        <w:r w:rsidRPr="008A3158">
          <w:rPr>
            <w:rStyle w:val="Hyperlink"/>
            <w:sz w:val="24"/>
            <w:lang w:val="sl-SI"/>
          </w:rPr>
          <w:t>http://data.europa.eu/eli/reg/2003/1829/oj</w:t>
        </w:r>
      </w:hyperlink>
      <w:r w:rsidRPr="008A3158">
        <w:rPr>
          <w:sz w:val="24"/>
          <w:u w:val="single"/>
          <w:lang w:val="sl-SI"/>
        </w:rPr>
        <w:t>.</w:t>
      </w:r>
    </w:p>
  </w:footnote>
  <w:footnote w:id="2">
    <w:p w14:paraId="35D2F17E" w14:textId="28879CDC"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UL L 55, 28.2.2011, str. 13, ELI: </w:t>
      </w:r>
      <w:hyperlink r:id="rId2" w:history="1">
        <w:r w:rsidRPr="008A3158">
          <w:rPr>
            <w:rStyle w:val="Hyperlink"/>
            <w:sz w:val="24"/>
            <w:lang w:val="sl-SI"/>
          </w:rPr>
          <w:t>http://data.europa.eu/eli/reg/2011/182/oj</w:t>
        </w:r>
      </w:hyperlink>
      <w:r w:rsidRPr="008A3158">
        <w:rPr>
          <w:rStyle w:val="Hyperlink"/>
          <w:sz w:val="24"/>
          <w:lang w:val="sl-SI"/>
        </w:rPr>
        <w:t>.</w:t>
      </w:r>
    </w:p>
  </w:footnote>
  <w:footnote w:id="3">
    <w:p w14:paraId="78874DA1" w14:textId="4A1454C1"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 xml:space="preserve">Znanstveno mnenje odbora agencije EFSA za gensko spremenjene organizme o oceni gensko spremenjene soje DBN9004 (vloga EFSA-GMO-BE-2019-165), </w:t>
      </w:r>
      <w:r w:rsidRPr="008A3158">
        <w:rPr>
          <w:i/>
          <w:sz w:val="24"/>
          <w:lang w:val="sl-SI"/>
        </w:rPr>
        <w:t>EFSA Journal</w:t>
      </w:r>
      <w:r w:rsidRPr="008A3158">
        <w:rPr>
          <w:sz w:val="24"/>
          <w:lang w:val="sl-SI"/>
        </w:rPr>
        <w:t xml:space="preserve"> 2025, 23(7):e9503, </w:t>
      </w:r>
      <w:hyperlink r:id="rId3" w:history="1">
        <w:r w:rsidRPr="008A3158">
          <w:rPr>
            <w:rStyle w:val="Hyperlink"/>
            <w:sz w:val="24"/>
            <w:lang w:val="sl-SI"/>
          </w:rPr>
          <w:t>https://doi.org/10.2903/j.efsa.2025.9503</w:t>
        </w:r>
      </w:hyperlink>
      <w:r w:rsidRPr="008A3158">
        <w:rPr>
          <w:sz w:val="24"/>
          <w:lang w:val="sl-SI"/>
        </w:rPr>
        <w:t xml:space="preserve">. </w:t>
      </w:r>
    </w:p>
  </w:footnote>
  <w:footnote w:id="4">
    <w:p w14:paraId="79BA180A" w14:textId="039612D4" w:rsidR="00DA6A34" w:rsidRPr="008A3158" w:rsidRDefault="00DA6A34" w:rsidP="008A3158">
      <w:pPr>
        <w:pStyle w:val="FootnoteText"/>
        <w:ind w:left="567" w:hanging="567"/>
        <w:rPr>
          <w:sz w:val="24"/>
          <w:vertAlign w:val="superscript"/>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Parlament je v osmem zakonodajnem obdobju sprejel 36 resolucij, v katerih je nasprotoval odobritvi gensko spremenjenih organizmov, v devetem pa 38. Poleg tega je v desetem zakonodajnem obdobju sprejel še naslednje resolucije:</w:t>
      </w:r>
    </w:p>
    <w:p w14:paraId="73392FE4" w14:textId="1B9D6B52"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00DA6A34" w:rsidRPr="008A3158">
          <w:rPr>
            <w:rStyle w:val="Hyperlink"/>
            <w:sz w:val="24"/>
            <w:lang w:val="sl-SI"/>
          </w:rPr>
          <w:t>http://data.europa.eu/eli/C/2025/1797/oj</w:t>
        </w:r>
      </w:hyperlink>
      <w:r w:rsidR="00DA6A34" w:rsidRPr="008A3158">
        <w:rPr>
          <w:sz w:val="24"/>
          <w:lang w:val="sl-SI"/>
        </w:rPr>
        <w:t>);</w:t>
      </w:r>
    </w:p>
    <w:p w14:paraId="73EF2C32" w14:textId="68EE5938" w:rsidR="00DA6A34" w:rsidRPr="008A3158" w:rsidRDefault="008A3158" w:rsidP="008A3158">
      <w:pPr>
        <w:pStyle w:val="FootnoteText"/>
        <w:keepN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DA6A34" w:rsidRPr="008A3158">
          <w:rPr>
            <w:rStyle w:val="Hyperlink"/>
            <w:sz w:val="24"/>
            <w:lang w:val="sl-SI"/>
          </w:rPr>
          <w:t>http://data.europa.eu/eli/C/2025/1798/oj</w:t>
        </w:r>
      </w:hyperlink>
      <w:r w:rsidR="00DA6A34" w:rsidRPr="008A3158">
        <w:rPr>
          <w:sz w:val="24"/>
          <w:lang w:val="sl-SI"/>
        </w:rPr>
        <w:t>);</w:t>
      </w:r>
    </w:p>
    <w:p w14:paraId="397F696F" w14:textId="5FA977BA"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6" w:history="1">
        <w:r w:rsidR="00DA6A34" w:rsidRPr="008A3158">
          <w:rPr>
            <w:rStyle w:val="Hyperlink"/>
            <w:sz w:val="24"/>
            <w:lang w:val="sl-SI"/>
          </w:rPr>
          <w:t>http://data.europa.eu/eli/C/2025/1799/oj</w:t>
        </w:r>
      </w:hyperlink>
      <w:r w:rsidR="00DA6A34" w:rsidRPr="008A3158">
        <w:rPr>
          <w:sz w:val="24"/>
          <w:lang w:val="sl-SI"/>
        </w:rPr>
        <w:t>);</w:t>
      </w:r>
    </w:p>
    <w:p w14:paraId="67FC971F" w14:textId="0A4683C8"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DA6A34" w:rsidRPr="008A3158">
          <w:rPr>
            <w:rStyle w:val="Hyperlink"/>
            <w:sz w:val="24"/>
            <w:lang w:val="sl-SI"/>
          </w:rPr>
          <w:t>http://data.europa.eu/eli/C/2025/1800/oj</w:t>
        </w:r>
      </w:hyperlink>
      <w:r w:rsidR="00DA6A34" w:rsidRPr="008A3158">
        <w:rPr>
          <w:sz w:val="24"/>
          <w:lang w:val="sl-SI"/>
        </w:rPr>
        <w:t>);</w:t>
      </w:r>
    </w:p>
    <w:p w14:paraId="603E6B42" w14:textId="2AB891D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DA6A34" w:rsidRPr="008A3158">
          <w:rPr>
            <w:rStyle w:val="Hyperlink"/>
            <w:sz w:val="24"/>
            <w:lang w:val="sl-SI"/>
          </w:rPr>
          <w:t>http://data.europa.eu/eli/C/2025/1801/oj</w:t>
        </w:r>
      </w:hyperlink>
      <w:r w:rsidR="00DA6A34" w:rsidRPr="008A3158">
        <w:rPr>
          <w:sz w:val="24"/>
          <w:lang w:val="sl-SI"/>
        </w:rPr>
        <w:t>);</w:t>
      </w:r>
    </w:p>
    <w:p w14:paraId="55A5AB80" w14:textId="220860E8"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DA6A34" w:rsidRPr="008A3158">
          <w:rPr>
            <w:rStyle w:val="Hyperlink"/>
            <w:sz w:val="24"/>
            <w:lang w:val="sl-SI"/>
          </w:rPr>
          <w:t>http://data.europa.eu/eli/C/2025/1802/oj</w:t>
        </w:r>
      </w:hyperlink>
      <w:r w:rsidR="00DA6A34" w:rsidRPr="008A3158">
        <w:rPr>
          <w:sz w:val="24"/>
          <w:lang w:val="sl-SI"/>
        </w:rPr>
        <w:t>);</w:t>
      </w:r>
    </w:p>
    <w:p w14:paraId="4FB13640" w14:textId="11C719A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DA6A34" w:rsidRPr="008A3158">
          <w:rPr>
            <w:rStyle w:val="Hyperlink"/>
            <w:sz w:val="24"/>
            <w:lang w:val="sl-SI"/>
          </w:rPr>
          <w:t>http://data.europa.eu/eli/C/2025/1803/oj</w:t>
        </w:r>
      </w:hyperlink>
      <w:r w:rsidR="00DA6A34" w:rsidRPr="008A3158">
        <w:rPr>
          <w:sz w:val="24"/>
          <w:lang w:val="sl-SI"/>
        </w:rPr>
        <w:t>);</w:t>
      </w:r>
    </w:p>
    <w:p w14:paraId="5C7B0C8A" w14:textId="24795D32"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DA6A34" w:rsidRPr="008A3158">
          <w:rPr>
            <w:rStyle w:val="Hyperlink"/>
            <w:sz w:val="24"/>
            <w:lang w:val="sl-SI"/>
          </w:rPr>
          <w:t>http://data.europa.eu/eli/C/2025/1804/oj</w:t>
        </w:r>
      </w:hyperlink>
      <w:r w:rsidR="00DA6A34" w:rsidRPr="008A3158">
        <w:rPr>
          <w:sz w:val="24"/>
          <w:lang w:val="sl-SI"/>
        </w:rPr>
        <w:t>);</w:t>
      </w:r>
    </w:p>
    <w:p w14:paraId="779CFB6C" w14:textId="10C5767A"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2" w:tooltip="Dokument je na voljo prek evropskega zakonodajnega identifikatorja ELI URI." w:history="1">
        <w:r w:rsidR="00DA6A34" w:rsidRPr="008A3158">
          <w:rPr>
            <w:rStyle w:val="Hyperlink"/>
            <w:sz w:val="24"/>
            <w:lang w:val="sl-SI"/>
          </w:rPr>
          <w:t>http://data.europa.eu/eli/C/2025/2246/oj</w:t>
        </w:r>
      </w:hyperlink>
      <w:r w:rsidR="00DA6A34" w:rsidRPr="008A3158">
        <w:rPr>
          <w:sz w:val="24"/>
          <w:lang w:val="sl-SI"/>
        </w:rPr>
        <w:t>);</w:t>
      </w:r>
    </w:p>
    <w:p w14:paraId="5C6650A6" w14:textId="0DD0220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3" w:history="1">
        <w:r w:rsidR="00DA6A34" w:rsidRPr="008A3158">
          <w:rPr>
            <w:rStyle w:val="Hyperlink"/>
            <w:sz w:val="24"/>
            <w:lang w:val="sl-SI"/>
          </w:rPr>
          <w:t>http://data.europa.eu/eli/C/2025/2247/oj</w:t>
        </w:r>
      </w:hyperlink>
      <w:r w:rsidR="00DA6A34" w:rsidRPr="008A3158">
        <w:rPr>
          <w:sz w:val="24"/>
          <w:lang w:val="sl-SI"/>
        </w:rPr>
        <w:t>);</w:t>
      </w:r>
    </w:p>
    <w:p w14:paraId="5C30D83B" w14:textId="5C0450B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E336DB">
        <w:rPr>
          <w:sz w:val="24"/>
          <w:lang w:val="sl-SI"/>
        </w:rPr>
        <w:t xml:space="preserve">Sprejeta besedila, </w:t>
      </w:r>
      <w:r w:rsidR="00DA6A34" w:rsidRPr="008A3158">
        <w:rPr>
          <w:sz w:val="24"/>
          <w:lang w:val="sl-SI"/>
        </w:rPr>
        <w:t>P10_TA(2025)0106);</w:t>
      </w:r>
    </w:p>
    <w:p w14:paraId="58E426CC" w14:textId="19076C6F"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E336DB">
        <w:rPr>
          <w:sz w:val="24"/>
          <w:lang w:val="sl-SI"/>
        </w:rPr>
        <w:t xml:space="preserve">Sprejeta besedila, </w:t>
      </w:r>
      <w:r w:rsidR="00DA6A34" w:rsidRPr="008A3158">
        <w:rPr>
          <w:sz w:val="24"/>
          <w:lang w:val="sl-SI"/>
        </w:rPr>
        <w:t>P10_TA(2025)0222);</w:t>
      </w:r>
    </w:p>
    <w:p w14:paraId="43B1585F" w14:textId="78AE606B"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w:t>
      </w:r>
      <w:r w:rsidR="00E336DB">
        <w:rPr>
          <w:sz w:val="24"/>
          <w:lang w:val="sl-SI"/>
        </w:rPr>
        <w:t xml:space="preserve">Sprejeta besedila, </w:t>
      </w:r>
      <w:r w:rsidR="00DA6A34" w:rsidRPr="008A3158">
        <w:rPr>
          <w:sz w:val="24"/>
          <w:lang w:val="sl-SI"/>
        </w:rPr>
        <w:t>P10_TA(2025)0288);</w:t>
      </w:r>
    </w:p>
    <w:p w14:paraId="0597FC72" w14:textId="7C665C0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w:t>
      </w:r>
      <w:r w:rsidR="00E336DB">
        <w:rPr>
          <w:sz w:val="24"/>
          <w:lang w:val="sl-SI"/>
        </w:rPr>
        <w:t xml:space="preserve">Sprejeta besedila, </w:t>
      </w:r>
      <w:r w:rsidR="00DA6A34" w:rsidRPr="008A3158">
        <w:rPr>
          <w:sz w:val="24"/>
          <w:lang w:val="sl-SI"/>
        </w:rPr>
        <w:t>P10_TA(2025)0289);</w:t>
      </w:r>
    </w:p>
    <w:p w14:paraId="32BC6347" w14:textId="118EC572"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w:t>
      </w:r>
      <w:r w:rsidR="00E336DB">
        <w:rPr>
          <w:sz w:val="24"/>
          <w:lang w:val="sl-SI"/>
        </w:rPr>
        <w:t xml:space="preserve">Sprejeta besedila, </w:t>
      </w:r>
      <w:r w:rsidR="00DA6A34" w:rsidRPr="008A3158">
        <w:rPr>
          <w:sz w:val="24"/>
          <w:lang w:val="sl-SI"/>
        </w:rPr>
        <w:t>P10_TA(2025)0290);</w:t>
      </w:r>
    </w:p>
    <w:p w14:paraId="003967AC" w14:textId="54CB21BF"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w:t>
      </w:r>
      <w:r w:rsidR="00E336DB">
        <w:rPr>
          <w:sz w:val="24"/>
          <w:lang w:val="sl-SI"/>
        </w:rPr>
        <w:t xml:space="preserve">Sprejeta besedila, </w:t>
      </w:r>
      <w:r w:rsidR="00DA6A34" w:rsidRPr="008A3158">
        <w:rPr>
          <w:sz w:val="24"/>
          <w:lang w:val="sl-SI"/>
        </w:rPr>
        <w:t>P10_TA(2025)0291);</w:t>
      </w:r>
    </w:p>
    <w:p w14:paraId="354AF2E6" w14:textId="31279D76"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25. novembra 2025 o osnutku izvedbenega sklepa Komisije o obnovitvi odobritve dajanja na trg proizvodov, ki vsebujejo gensko spremenjeno koruzo MON 87427, so iz nje sestavljeni ali proizvedeni, v skladu z Uredbo (ES) št. 1829/2003 Evropskega parlamenta in Sveta (</w:t>
      </w:r>
      <w:r w:rsidR="00E336DB">
        <w:rPr>
          <w:sz w:val="24"/>
          <w:lang w:val="sl-SI"/>
        </w:rPr>
        <w:t xml:space="preserve">Sprejeta besedila, </w:t>
      </w:r>
      <w:r w:rsidR="00DA6A34" w:rsidRPr="008A3158">
        <w:rPr>
          <w:sz w:val="24"/>
          <w:lang w:val="sl-SI"/>
        </w:rPr>
        <w:t>P10_TA(2025)0292);</w:t>
      </w:r>
    </w:p>
    <w:p w14:paraId="17552AFD" w14:textId="0B0F5D23" w:rsidR="00DA6A34" w:rsidRPr="008A3158" w:rsidRDefault="008A3158" w:rsidP="008A3158">
      <w:pPr>
        <w:pStyle w:val="FootnoteText"/>
        <w:ind w:left="567" w:hanging="567"/>
        <w:rPr>
          <w:sz w:val="24"/>
          <w:vertAlign w:val="superscript"/>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w:t>
      </w:r>
      <w:r w:rsidR="00E336DB">
        <w:rPr>
          <w:sz w:val="24"/>
          <w:lang w:val="sl-SI"/>
        </w:rPr>
        <w:t xml:space="preserve">Sprejeta besedila, </w:t>
      </w:r>
      <w:r w:rsidR="00DA6A34" w:rsidRPr="008A3158">
        <w:rPr>
          <w:sz w:val="24"/>
          <w:lang w:val="sl-SI"/>
        </w:rPr>
        <w:t>P10_TA(2025)0327);</w:t>
      </w:r>
    </w:p>
    <w:p w14:paraId="395EEE13" w14:textId="4872E534" w:rsidR="00DA6A34" w:rsidRPr="008A3158" w:rsidRDefault="008A3158" w:rsidP="008A3158">
      <w:pPr>
        <w:pStyle w:val="FootnoteText"/>
        <w:ind w:left="567" w:hanging="567"/>
        <w:rPr>
          <w:sz w:val="24"/>
          <w:lang w:val="sl-SI"/>
        </w:rPr>
      </w:pPr>
      <w:r w:rsidRPr="008A3158">
        <w:rPr>
          <w:sz w:val="24"/>
          <w:lang w:val="sl-SI"/>
        </w:rPr>
        <w:t xml:space="preserve"> </w:t>
      </w:r>
      <w:r w:rsidRPr="008A3158">
        <w:rPr>
          <w:sz w:val="24"/>
          <w:lang w:val="sl-SI"/>
        </w:rPr>
        <w:tab/>
      </w:r>
      <w:r w:rsidR="00DA6A34" w:rsidRPr="008A3158">
        <w:rPr>
          <w:sz w:val="24"/>
          <w:lang w:val="sl-SI"/>
        </w:rPr>
        <w:t>–</w:t>
      </w:r>
      <w:r w:rsidR="00DA6A34" w:rsidRPr="008A3158">
        <w:rPr>
          <w:sz w:val="24"/>
          <w:lang w:val="sl-SI"/>
        </w:rPr>
        <w:tab/>
        <w:t>resolucijo Evropskega parlamenta z dne 16. decembra 2025 o osnutku izvedbenega sklepa Komisije o odobritvi dajanja na trg živil, živilskih sestavin in krme, proizvedenih iz gensko spremenjene sladkorne pese KWS20-1, v skladu z Uredbo (ES) št. 1829/2003 Evropskega parlamenta in Sveta (</w:t>
      </w:r>
      <w:r w:rsidR="00E336DB">
        <w:rPr>
          <w:sz w:val="24"/>
          <w:lang w:val="sl-SI"/>
        </w:rPr>
        <w:t xml:space="preserve">Sprejeta besedila, </w:t>
      </w:r>
      <w:r w:rsidR="00DA6A34" w:rsidRPr="008A3158">
        <w:rPr>
          <w:sz w:val="24"/>
          <w:lang w:val="sl-SI"/>
        </w:rPr>
        <w:t>P10_TA(2025)0328).</w:t>
      </w:r>
    </w:p>
  </w:footnote>
  <w:footnote w:id="5">
    <w:p w14:paraId="09E0114B" w14:textId="772DF414"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shd w:val="clear" w:color="auto" w:fill="FFFFFF"/>
          <w:lang w:val="sl-SI"/>
        </w:rPr>
        <w:t xml:space="preserve"> </w:t>
      </w:r>
      <w:r w:rsidR="008A3158" w:rsidRPr="008A3158">
        <w:rPr>
          <w:sz w:val="24"/>
          <w:shd w:val="clear" w:color="auto" w:fill="FFFFFF"/>
          <w:lang w:val="sl-SI"/>
        </w:rPr>
        <w:tab/>
      </w:r>
      <w:r w:rsidRPr="008A3158">
        <w:rPr>
          <w:sz w:val="24"/>
          <w:shd w:val="clear" w:color="auto" w:fill="FFFFFF"/>
          <w:lang w:val="sl-SI"/>
        </w:rPr>
        <w:t xml:space="preserve">Glej na primer Bonny, S., </w:t>
      </w:r>
      <w:r w:rsidRPr="008A3158">
        <w:rPr>
          <w:i/>
          <w:iCs/>
          <w:sz w:val="24"/>
          <w:shd w:val="clear" w:color="auto" w:fill="FFFFFF"/>
          <w:lang w:val="sl-SI"/>
        </w:rPr>
        <w:t>Genetically Modified Herbicide-Tolerant Crops, Weeds, and Herbicides:</w:t>
      </w:r>
      <w:r w:rsidRPr="008A3158">
        <w:rPr>
          <w:sz w:val="24"/>
          <w:shd w:val="clear" w:color="auto" w:fill="FFFFFF"/>
          <w:lang w:val="sl-SI"/>
        </w:rPr>
        <w:t xml:space="preserve"> Overview and Impact’, </w:t>
      </w:r>
      <w:r w:rsidRPr="008A3158">
        <w:rPr>
          <w:i/>
          <w:sz w:val="24"/>
          <w:shd w:val="clear" w:color="auto" w:fill="FFFFFF"/>
          <w:lang w:val="sl-SI"/>
        </w:rPr>
        <w:t>Environmental Management</w:t>
      </w:r>
      <w:r w:rsidRPr="008A3158">
        <w:rPr>
          <w:sz w:val="24"/>
          <w:shd w:val="clear" w:color="auto" w:fill="FFFFFF"/>
          <w:lang w:val="sl-SI"/>
        </w:rPr>
        <w:t xml:space="preserve">, January 2016, 57(1), pp. 31-48, </w:t>
      </w:r>
      <w:hyperlink r:id="rId14" w:history="1">
        <w:r w:rsidRPr="008A3158">
          <w:rPr>
            <w:rStyle w:val="Hyperlink"/>
            <w:sz w:val="24"/>
            <w:shd w:val="clear" w:color="auto" w:fill="FFFFFF"/>
            <w:lang w:val="sl-SI"/>
          </w:rPr>
          <w:t>https://doi.org/10.1007/s00267-015-0589-7</w:t>
        </w:r>
      </w:hyperlink>
      <w:r w:rsidRPr="008A3158">
        <w:rPr>
          <w:sz w:val="24"/>
          <w:shd w:val="clear" w:color="auto" w:fill="FFFFFF"/>
          <w:lang w:val="sl-SI"/>
        </w:rPr>
        <w:t xml:space="preserve"> and Benbrook, C.M., ‘Impacts of genetically engineered crops on pesticide use in the U.S. - the first sixteen years’, </w:t>
      </w:r>
      <w:r w:rsidRPr="008A3158">
        <w:rPr>
          <w:i/>
          <w:sz w:val="24"/>
          <w:shd w:val="clear" w:color="auto" w:fill="FFFFFF"/>
          <w:lang w:val="sl-SI"/>
        </w:rPr>
        <w:t>Environmental Sciences Europe</w:t>
      </w:r>
      <w:r w:rsidRPr="008A3158">
        <w:rPr>
          <w:sz w:val="24"/>
          <w:shd w:val="clear" w:color="auto" w:fill="FFFFFF"/>
          <w:lang w:val="sl-SI"/>
        </w:rPr>
        <w:t>;</w:t>
      </w:r>
      <w:r w:rsidRPr="008A3158">
        <w:rPr>
          <w:sz w:val="24"/>
          <w:lang w:val="sl-SI"/>
        </w:rPr>
        <w:t xml:space="preserve"> (Vplivi gensko spremenjenih kmetijskih rastlin na uporabo pesticidov v ZDA – prvih šestnajst let), </w:t>
      </w:r>
      <w:r w:rsidRPr="008A3158">
        <w:rPr>
          <w:i/>
          <w:iCs/>
          <w:sz w:val="24"/>
          <w:lang w:val="sl-SI"/>
        </w:rPr>
        <w:t>Environmental Sciences Europe</w:t>
      </w:r>
      <w:r w:rsidRPr="008A3158">
        <w:rPr>
          <w:sz w:val="24"/>
          <w:lang w:val="sl-SI"/>
        </w:rPr>
        <w:t>;</w:t>
      </w:r>
      <w:r w:rsidRPr="008A3158">
        <w:rPr>
          <w:sz w:val="24"/>
          <w:shd w:val="clear" w:color="auto" w:fill="FFFFFF"/>
          <w:lang w:val="sl-SI"/>
        </w:rPr>
        <w:t xml:space="preserve"> 28. september 2012, zvezek 24(1), </w:t>
      </w:r>
      <w:hyperlink r:id="rId15" w:history="1">
        <w:r w:rsidRPr="008A3158">
          <w:rPr>
            <w:rStyle w:val="Hyperlink"/>
            <w:sz w:val="24"/>
            <w:lang w:val="sl-SI"/>
          </w:rPr>
          <w:t>https://doi.org/10.1186/2190-4715-24-24</w:t>
        </w:r>
      </w:hyperlink>
      <w:r w:rsidRPr="008A3158">
        <w:rPr>
          <w:sz w:val="24"/>
          <w:lang w:val="sl-SI"/>
        </w:rPr>
        <w:t>.</w:t>
      </w:r>
      <w:r w:rsidRPr="008A3158">
        <w:rPr>
          <w:sz w:val="24"/>
          <w:shd w:val="clear" w:color="auto" w:fill="FFFFFF"/>
          <w:lang w:val="sl-SI"/>
        </w:rPr>
        <w:t xml:space="preserve"> </w:t>
      </w:r>
    </w:p>
  </w:footnote>
  <w:footnote w:id="6">
    <w:p w14:paraId="74041B2C" w14:textId="5985C0FF" w:rsidR="00DA6A34" w:rsidRPr="008A3158" w:rsidRDefault="00DA6A34" w:rsidP="008A3158">
      <w:pPr>
        <w:pStyle w:val="FootnoteText"/>
        <w:ind w:left="567" w:hanging="567"/>
        <w:rPr>
          <w:sz w:val="24"/>
          <w:shd w:val="clear" w:color="auto" w:fill="FFFFFF"/>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 xml:space="preserve">Glej na primer: </w:t>
      </w:r>
      <w:hyperlink r:id="rId16" w:history="1">
        <w:r w:rsidRPr="008A3158">
          <w:rPr>
            <w:rStyle w:val="Hyperlink"/>
            <w:sz w:val="24"/>
            <w:lang w:val="sl-SI"/>
          </w:rPr>
          <w:t>https://doi.org/10.1002/ps.8105</w:t>
        </w:r>
      </w:hyperlink>
      <w:r w:rsidRPr="008A3158">
        <w:rPr>
          <w:sz w:val="24"/>
          <w:shd w:val="clear" w:color="auto" w:fill="FFFFFF"/>
          <w:lang w:val="sl-SI"/>
        </w:rPr>
        <w:t xml:space="preserve"> in </w:t>
      </w:r>
      <w:hyperlink r:id="rId17" w:history="1">
        <w:r w:rsidRPr="008A3158">
          <w:rPr>
            <w:rStyle w:val="Hyperlink"/>
            <w:sz w:val="24"/>
            <w:lang w:val="sl-SI"/>
          </w:rPr>
          <w:t>https://doi.org/10.1016/j.geoforum.2009.03.009</w:t>
        </w:r>
      </w:hyperlink>
      <w:r w:rsidRPr="008A3158">
        <w:rPr>
          <w:sz w:val="24"/>
          <w:lang w:val="sl-SI"/>
        </w:rPr>
        <w:t>.</w:t>
      </w:r>
    </w:p>
  </w:footnote>
  <w:footnote w:id="7">
    <w:p w14:paraId="5C935846" w14:textId="5A56C3EA"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Uredba (ES) št. 1107/2009 Evropskega parlamenta in Sveta z dne 21. oktobra 2009 o dajanju fitofarmacevtskih sredstev v promet in razveljavitvi direktiv Sveta 79/117/EGS in 91/414/EGS (UL L 309, 24.11.2009, str. 1, ELI: </w:t>
      </w:r>
      <w:hyperlink r:id="rId18" w:history="1">
        <w:r w:rsidRPr="008A3158">
          <w:rPr>
            <w:rStyle w:val="Hyperlink"/>
            <w:sz w:val="24"/>
            <w:lang w:val="sl-SI"/>
          </w:rPr>
          <w:t>http://data.europa.eu/eli/reg/2009/1107/oj</w:t>
        </w:r>
      </w:hyperlink>
      <w:r w:rsidRPr="008A3158">
        <w:rPr>
          <w:sz w:val="24"/>
          <w:lang w:val="sl-SI"/>
        </w:rPr>
        <w:t>).</w:t>
      </w:r>
    </w:p>
  </w:footnote>
  <w:footnote w:id="8">
    <w:p w14:paraId="1BAE67D9" w14:textId="11113763"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 xml:space="preserve">Glej na primer: </w:t>
      </w:r>
      <w:hyperlink r:id="rId19" w:history="1">
        <w:r w:rsidRPr="008A3158">
          <w:rPr>
            <w:rStyle w:val="Hyperlink"/>
            <w:sz w:val="24"/>
            <w:lang w:val="sl-SI"/>
          </w:rPr>
          <w:t>https://doi.org/10.1016/j.mrrev.2019.02.001</w:t>
        </w:r>
      </w:hyperlink>
      <w:r w:rsidRPr="008A3158">
        <w:rPr>
          <w:sz w:val="24"/>
          <w:lang w:val="sl-SI"/>
        </w:rPr>
        <w:t xml:space="preserve">, </w:t>
      </w:r>
      <w:hyperlink r:id="rId20" w:history="1">
        <w:r w:rsidRPr="008A3158">
          <w:rPr>
            <w:rStyle w:val="Hyperlink"/>
            <w:sz w:val="24"/>
            <w:lang w:val="sl-SI"/>
          </w:rPr>
          <w:t>https://doi.org/10.1093/ije/dyz017</w:t>
        </w:r>
      </w:hyperlink>
      <w:r w:rsidRPr="008A3158">
        <w:rPr>
          <w:sz w:val="24"/>
          <w:lang w:val="sl-SI"/>
        </w:rPr>
        <w:t xml:space="preserve">, </w:t>
      </w:r>
      <w:hyperlink r:id="rId21" w:history="1">
        <w:r w:rsidRPr="008A3158">
          <w:rPr>
            <w:rStyle w:val="Hyperlink"/>
            <w:sz w:val="24"/>
            <w:lang w:val="sl-SI"/>
          </w:rPr>
          <w:t>https://doi.org/10.1371/journal.pone.0219610</w:t>
        </w:r>
      </w:hyperlink>
      <w:r w:rsidRPr="008A3158">
        <w:rPr>
          <w:sz w:val="24"/>
          <w:lang w:val="sl-SI"/>
        </w:rPr>
        <w:t xml:space="preserve"> in </w:t>
      </w:r>
      <w:hyperlink r:id="rId22" w:history="1">
        <w:r w:rsidRPr="008A3158">
          <w:rPr>
            <w:rStyle w:val="Hyperlink"/>
            <w:sz w:val="24"/>
            <w:lang w:val="sl-SI"/>
          </w:rPr>
          <w:t>https://doi.org/10.1186/s13045-019-0767-9</w:t>
        </w:r>
      </w:hyperlink>
      <w:r w:rsidRPr="008A3158">
        <w:rPr>
          <w:sz w:val="24"/>
          <w:lang w:val="sl-SI"/>
        </w:rPr>
        <w:t>.</w:t>
      </w:r>
    </w:p>
  </w:footnote>
  <w:footnote w:id="9">
    <w:p w14:paraId="0CD2B153" w14:textId="30CA26C2"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hyperlink r:id="rId23" w:history="1">
        <w:r w:rsidRPr="008A3158">
          <w:rPr>
            <w:rStyle w:val="Hyperlink"/>
            <w:sz w:val="24"/>
            <w:lang w:val="sl-SI"/>
          </w:rPr>
          <w:t>https://doi.org/10.1006/rtph.1999.1371</w:t>
        </w:r>
      </w:hyperlink>
      <w:r w:rsidRPr="008A3158">
        <w:rPr>
          <w:sz w:val="24"/>
          <w:lang w:val="sl-SI"/>
        </w:rPr>
        <w:t xml:space="preserve">. </w:t>
      </w:r>
    </w:p>
  </w:footnote>
  <w:footnote w:id="10">
    <w:p w14:paraId="09E96731" w14:textId="159AEFB5"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color w:val="000000" w:themeColor="text1"/>
          <w:sz w:val="24"/>
          <w:lang w:val="sl-SI"/>
        </w:rPr>
        <w:t xml:space="preserve"> </w:t>
      </w:r>
      <w:r w:rsidR="008A3158" w:rsidRPr="008A3158">
        <w:rPr>
          <w:color w:val="000000" w:themeColor="text1"/>
          <w:sz w:val="24"/>
          <w:lang w:val="sl-SI"/>
        </w:rPr>
        <w:tab/>
      </w:r>
      <w:r w:rsidRPr="008A3158">
        <w:rPr>
          <w:color w:val="000000" w:themeColor="text1"/>
          <w:sz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8A3158">
        <w:rPr>
          <w:sz w:val="24"/>
          <w:lang w:val="sl-SI"/>
        </w:rPr>
        <w:t> </w:t>
      </w:r>
      <w:r w:rsidRPr="008A3158">
        <w:rPr>
          <w:color w:val="000000" w:themeColor="text1"/>
          <w:sz w:val="24"/>
          <w:lang w:val="sl-SI"/>
        </w:rPr>
        <w:t xml:space="preserve">% do leta 2030 (glej </w:t>
      </w:r>
      <w:hyperlink r:id="rId24" w:history="1">
        <w:r w:rsidRPr="008A3158">
          <w:rPr>
            <w:rStyle w:val="Hyperlink"/>
            <w:sz w:val="24"/>
            <w:lang w:val="sl-SI"/>
          </w:rPr>
          <w:t>https://ec.europa.eu/commission/presscorner/detail/sl/ip_22_7834</w:t>
        </w:r>
      </w:hyperlink>
      <w:r w:rsidRPr="008A3158">
        <w:rPr>
          <w:sz w:val="24"/>
          <w:lang w:val="sl-SI"/>
        </w:rPr>
        <w:t>).</w:t>
      </w:r>
    </w:p>
  </w:footnote>
  <w:footnote w:id="11">
    <w:p w14:paraId="5A287274" w14:textId="4807D81D"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hyperlink r:id="rId25" w:history="1">
        <w:r w:rsidRPr="008A3158">
          <w:rPr>
            <w:rStyle w:val="Hyperlink"/>
            <w:sz w:val="24"/>
            <w:lang w:val="sl-SI"/>
          </w:rPr>
          <w:t>https://commission.europa.eu/strategy-and-policy/priorities-2019-2024/european-green-deal/agriculture-and-green-deal/strategic-dialogue-future-eu-agriculture_sl</w:t>
        </w:r>
      </w:hyperlink>
      <w:r w:rsidRPr="008A3158">
        <w:rPr>
          <w:rStyle w:val="Hyperlink"/>
          <w:sz w:val="24"/>
          <w:lang w:val="sl-SI"/>
        </w:rPr>
        <w:t>.</w:t>
      </w:r>
      <w:r w:rsidRPr="008A3158">
        <w:rPr>
          <w:sz w:val="24"/>
          <w:lang w:val="sl-SI"/>
        </w:rPr>
        <w:t xml:space="preserve"> </w:t>
      </w:r>
    </w:p>
  </w:footnote>
  <w:footnote w:id="12">
    <w:p w14:paraId="5CBBBA0F" w14:textId="7C6A2D6F" w:rsidR="00DA6A34" w:rsidRPr="008A3158" w:rsidRDefault="00DA6A34" w:rsidP="008A3158">
      <w:pPr>
        <w:pStyle w:val="FootnoteText"/>
        <w:ind w:left="567" w:hanging="567"/>
        <w:rPr>
          <w:sz w:val="24"/>
          <w:lang w:val="sl-SI"/>
        </w:rPr>
      </w:pPr>
      <w:r w:rsidRPr="008A3158">
        <w:rPr>
          <w:rStyle w:val="FootnoteReference"/>
          <w:sz w:val="24"/>
          <w:lang w:val="sl-SI"/>
        </w:rPr>
        <w:footnoteRef/>
      </w:r>
      <w:r w:rsidR="008A3158" w:rsidRPr="008A3158">
        <w:rPr>
          <w:sz w:val="24"/>
          <w:lang w:val="sl-SI"/>
        </w:rPr>
        <w:t xml:space="preserve"> </w:t>
      </w:r>
      <w:r w:rsidR="008A3158" w:rsidRPr="008A3158">
        <w:rPr>
          <w:sz w:val="24"/>
          <w:lang w:val="sl-SI"/>
        </w:rPr>
        <w:tab/>
      </w:r>
      <w:r w:rsidRPr="008A3158">
        <w:rPr>
          <w:sz w:val="24"/>
          <w:lang w:val="sl-SI"/>
        </w:rPr>
        <w:t xml:space="preserve">Uredba (ES) št. 178/2002 Evropskega parlamenta in Sveta z dne 28. januarja 2002 o določitvi splošnih načel in zahtevah živilske zakonodaje, ustanovitvi Evropske agencije za varnost hrane in postopkih, ki zadevajo varnost hrane (UL L 31, 1.2.2002, str. 1, </w:t>
      </w:r>
      <w:r w:rsidRPr="008A3158">
        <w:rPr>
          <w:color w:val="000000" w:themeColor="text1"/>
          <w:sz w:val="24"/>
          <w:lang w:val="sl-SI"/>
        </w:rPr>
        <w:t>ELI: </w:t>
      </w:r>
      <w:hyperlink r:id="rId26" w:tgtFrame="Gives access to this document through its ELI URI." w:history="1">
        <w:r w:rsidRPr="008A3158">
          <w:rPr>
            <w:rStyle w:val="Hyperlink"/>
            <w:color w:val="0070C0"/>
            <w:sz w:val="24"/>
            <w:lang w:val="sl-SI"/>
          </w:rPr>
          <w:t>http://data.europa.eu/eli/reg/2002/178/oj</w:t>
        </w:r>
      </w:hyperlink>
      <w:r w:rsidRPr="008A3158">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7EF79" w14:textId="77777777" w:rsidR="00064002" w:rsidRPr="008A31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FFCA" w14:textId="77777777" w:rsidR="00064002" w:rsidRPr="008A31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2DDAE" w14:textId="77777777" w:rsidR="00064002" w:rsidRPr="008A31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788993">
    <w:abstractNumId w:val="9"/>
  </w:num>
  <w:num w:numId="2" w16cid:durableId="1225486731">
    <w:abstractNumId w:val="9"/>
  </w:num>
  <w:num w:numId="3" w16cid:durableId="1753159135">
    <w:abstractNumId w:val="7"/>
  </w:num>
  <w:num w:numId="4" w16cid:durableId="621884405">
    <w:abstractNumId w:val="7"/>
  </w:num>
  <w:num w:numId="5" w16cid:durableId="1070619370">
    <w:abstractNumId w:val="6"/>
  </w:num>
  <w:num w:numId="6" w16cid:durableId="46270630">
    <w:abstractNumId w:val="6"/>
  </w:num>
  <w:num w:numId="7" w16cid:durableId="1427573595">
    <w:abstractNumId w:val="5"/>
  </w:num>
  <w:num w:numId="8" w16cid:durableId="459225090">
    <w:abstractNumId w:val="5"/>
  </w:num>
  <w:num w:numId="9" w16cid:durableId="1950042135">
    <w:abstractNumId w:val="4"/>
  </w:num>
  <w:num w:numId="10" w16cid:durableId="919755203">
    <w:abstractNumId w:val="4"/>
  </w:num>
  <w:num w:numId="11" w16cid:durableId="327949516">
    <w:abstractNumId w:val="8"/>
  </w:num>
  <w:num w:numId="12" w16cid:durableId="1120221946">
    <w:abstractNumId w:val="8"/>
  </w:num>
  <w:num w:numId="13" w16cid:durableId="1565993467">
    <w:abstractNumId w:val="3"/>
  </w:num>
  <w:num w:numId="14" w16cid:durableId="1789935129">
    <w:abstractNumId w:val="3"/>
  </w:num>
  <w:num w:numId="15" w16cid:durableId="25061892">
    <w:abstractNumId w:val="2"/>
  </w:num>
  <w:num w:numId="16" w16cid:durableId="2020811134">
    <w:abstractNumId w:val="2"/>
  </w:num>
  <w:num w:numId="17" w16cid:durableId="1534728821">
    <w:abstractNumId w:val="1"/>
  </w:num>
  <w:num w:numId="18" w16cid:durableId="1907259779">
    <w:abstractNumId w:val="1"/>
  </w:num>
  <w:num w:numId="19" w16cid:durableId="1469317973">
    <w:abstractNumId w:val="0"/>
  </w:num>
  <w:num w:numId="20" w16cid:durableId="1596666143">
    <w:abstractNumId w:val="0"/>
  </w:num>
  <w:num w:numId="21" w16cid:durableId="1207987701">
    <w:abstractNumId w:val="9"/>
  </w:num>
  <w:num w:numId="22" w16cid:durableId="1563754847">
    <w:abstractNumId w:val="7"/>
  </w:num>
  <w:num w:numId="23" w16cid:durableId="636960311">
    <w:abstractNumId w:val="6"/>
  </w:num>
  <w:num w:numId="24" w16cid:durableId="1434130139">
    <w:abstractNumId w:val="5"/>
  </w:num>
  <w:num w:numId="25" w16cid:durableId="317077247">
    <w:abstractNumId w:val="4"/>
  </w:num>
  <w:num w:numId="26" w16cid:durableId="1604528218">
    <w:abstractNumId w:val="8"/>
  </w:num>
  <w:num w:numId="27" w16cid:durableId="1011562502">
    <w:abstractNumId w:val="3"/>
  </w:num>
  <w:num w:numId="28" w16cid:durableId="1529097735">
    <w:abstractNumId w:val="2"/>
  </w:num>
  <w:num w:numId="29" w16cid:durableId="465587625">
    <w:abstractNumId w:val="1"/>
  </w:num>
  <w:num w:numId="30" w16cid:durableId="1341666730">
    <w:abstractNumId w:val="0"/>
  </w:num>
  <w:num w:numId="31" w16cid:durableId="1342849860">
    <w:abstractNumId w:val="9"/>
  </w:num>
  <w:num w:numId="32" w16cid:durableId="976373043">
    <w:abstractNumId w:val="7"/>
  </w:num>
  <w:num w:numId="33" w16cid:durableId="86847592">
    <w:abstractNumId w:val="6"/>
  </w:num>
  <w:num w:numId="34" w16cid:durableId="706223751">
    <w:abstractNumId w:val="5"/>
  </w:num>
  <w:num w:numId="35" w16cid:durableId="1141463624">
    <w:abstractNumId w:val="4"/>
  </w:num>
  <w:num w:numId="36" w16cid:durableId="1548030641">
    <w:abstractNumId w:val="8"/>
  </w:num>
  <w:num w:numId="37" w16cid:durableId="833112430">
    <w:abstractNumId w:val="3"/>
  </w:num>
  <w:num w:numId="38" w16cid:durableId="2134470377">
    <w:abstractNumId w:val="2"/>
  </w:num>
  <w:num w:numId="39" w16cid:durableId="641739149">
    <w:abstractNumId w:val="1"/>
  </w:num>
  <w:num w:numId="40" w16cid:durableId="1326666792">
    <w:abstractNumId w:val="0"/>
  </w:num>
  <w:num w:numId="41" w16cid:durableId="691540340">
    <w:abstractNumId w:val="10"/>
  </w:num>
  <w:num w:numId="42" w16cid:durableId="1941447734">
    <w:abstractNumId w:val="10"/>
  </w:num>
  <w:num w:numId="43" w16cid:durableId="454107293">
    <w:abstractNumId w:val="10"/>
  </w:num>
  <w:num w:numId="44" w16cid:durableId="429086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SL"/>
    <w:docVar w:name="dvnumam" w:val="0"/>
    <w:docVar w:name="dvpe" w:val="782.192"/>
    <w:docVar w:name="dvtitre" w:val="Resolucija Evropskega parlamenta z dne xx. februarja 2026 o osnutku izvedbenega sklepa Komisije o odobritvi dajanja proizvodov, ki vsebujejo gensko spremenjeno sojo DBN-09004-6, so iz nje sestavljeni ali proizvedeni, na trg v skladu z Uredbo (ES) št. 1829/2003 Evropskega parlamenta in Sveta (D111472/02 – 2026/2523(RSP))"/>
  </w:docVars>
  <w:rsids>
    <w:rsidRoot w:val="00C04C5A"/>
    <w:rsid w:val="00002272"/>
    <w:rsid w:val="00064002"/>
    <w:rsid w:val="000677B9"/>
    <w:rsid w:val="000831BA"/>
    <w:rsid w:val="000A42CC"/>
    <w:rsid w:val="000D6A3A"/>
    <w:rsid w:val="000E7DD9"/>
    <w:rsid w:val="0010095E"/>
    <w:rsid w:val="00125B37"/>
    <w:rsid w:val="00187494"/>
    <w:rsid w:val="001F32AE"/>
    <w:rsid w:val="00225F09"/>
    <w:rsid w:val="00261E9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08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15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C5A"/>
    <w:rsid w:val="00C05BFE"/>
    <w:rsid w:val="00C23CD4"/>
    <w:rsid w:val="00C61C0C"/>
    <w:rsid w:val="00C941CB"/>
    <w:rsid w:val="00CC2357"/>
    <w:rsid w:val="00CF071A"/>
    <w:rsid w:val="00D058B8"/>
    <w:rsid w:val="00D56C11"/>
    <w:rsid w:val="00D57C91"/>
    <w:rsid w:val="00D72080"/>
    <w:rsid w:val="00D834A0"/>
    <w:rsid w:val="00D872DF"/>
    <w:rsid w:val="00D91E21"/>
    <w:rsid w:val="00DA6A34"/>
    <w:rsid w:val="00DA7FCD"/>
    <w:rsid w:val="00E336D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3F63F"/>
  <w15:chartTrackingRefBased/>
  <w15:docId w15:val="{07048B74-7662-4DB5-B514-C3F50717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A6A34"/>
    <w:pPr>
      <w:spacing w:before="480" w:after="240"/>
    </w:pPr>
  </w:style>
  <w:style w:type="paragraph" w:customStyle="1" w:styleId="NormalHanging12a">
    <w:name w:val="NormalHanging12a"/>
    <w:basedOn w:val="Normal"/>
    <w:uiPriority w:val="99"/>
    <w:qFormat/>
    <w:rsid w:val="00DA6A34"/>
    <w:pPr>
      <w:spacing w:after="240"/>
      <w:ind w:left="567" w:hanging="567"/>
    </w:pPr>
  </w:style>
  <w:style w:type="character" w:styleId="Hyperlink">
    <w:name w:val="Hyperlink"/>
    <w:basedOn w:val="DefaultParagraphFont"/>
    <w:uiPriority w:val="99"/>
    <w:rsid w:val="00DA6A34"/>
    <w:rPr>
      <w:color w:val="0563C1" w:themeColor="hyperlink"/>
      <w:u w:val="single"/>
    </w:rPr>
  </w:style>
  <w:style w:type="paragraph" w:styleId="NormalWeb">
    <w:name w:val="Normal (Web)"/>
    <w:basedOn w:val="Normal"/>
    <w:uiPriority w:val="99"/>
    <w:unhideWhenUsed/>
    <w:rsid w:val="00DA6A34"/>
    <w:pPr>
      <w:widowControl/>
      <w:spacing w:before="100" w:beforeAutospacing="1" w:after="100" w:afterAutospacing="1"/>
    </w:pPr>
    <w:rPr>
      <w:szCs w:val="24"/>
    </w:rPr>
  </w:style>
  <w:style w:type="paragraph" w:styleId="Revision">
    <w:name w:val="Revision"/>
    <w:hidden/>
    <w:uiPriority w:val="99"/>
    <w:semiHidden/>
    <w:rsid w:val="00261E9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s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s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1517</Words>
  <Characters>8896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2026-02-10T13:02:00Z</dcterms:created>
  <dcterms:modified xsi:type="dcterms:W3CDTF">2026-02-11T10:37:00Z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B10-0107/2026</vt:lpwstr>
  </property>
  <property fmtid="{D5CDD505-2E9C-101B-9397-08002B2CF9AE}" pid="4" name="&lt;Type&gt;">
    <vt:lpwstr>RR</vt:lpwstr>
  </property>
</Properties>
</file>