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35D2" w14:paraId="3327FB1A" w14:textId="77777777" w:rsidTr="0010095E">
        <w:trPr>
          <w:trHeight w:hRule="exact" w:val="1418"/>
        </w:trPr>
        <w:tc>
          <w:tcPr>
            <w:tcW w:w="6804" w:type="dxa"/>
            <w:shd w:val="clear" w:color="auto" w:fill="auto"/>
            <w:vAlign w:val="center"/>
          </w:tcPr>
          <w:p w14:paraId="63720C12" w14:textId="77777777" w:rsidR="00751A4A" w:rsidRPr="00CB35D2" w:rsidRDefault="00AA05E2" w:rsidP="0010095E">
            <w:pPr>
              <w:pStyle w:val="EPName"/>
            </w:pPr>
            <w:r w:rsidRPr="00CB35D2">
              <w:t>Europaparlamentet</w:t>
            </w:r>
          </w:p>
          <w:p w14:paraId="2945EFDF" w14:textId="77777777" w:rsidR="00751A4A" w:rsidRPr="00CB35D2" w:rsidRDefault="005F1B17" w:rsidP="005F1B17">
            <w:pPr>
              <w:pStyle w:val="EPTerm"/>
              <w:rPr>
                <w:rStyle w:val="HideTWBExt"/>
                <w:noProof w:val="0"/>
                <w:vanish w:val="0"/>
                <w:color w:val="auto"/>
              </w:rPr>
            </w:pPr>
            <w:r w:rsidRPr="00CB35D2">
              <w:t>2024</w:t>
            </w:r>
            <w:r w:rsidR="00817416" w:rsidRPr="00CB35D2">
              <w:t>-202</w:t>
            </w:r>
            <w:r w:rsidRPr="00CB35D2">
              <w:t>9</w:t>
            </w:r>
          </w:p>
        </w:tc>
        <w:tc>
          <w:tcPr>
            <w:tcW w:w="2268" w:type="dxa"/>
            <w:shd w:val="clear" w:color="auto" w:fill="auto"/>
          </w:tcPr>
          <w:p w14:paraId="7B1015F9" w14:textId="77777777" w:rsidR="00751A4A" w:rsidRPr="00CB35D2" w:rsidRDefault="00187494" w:rsidP="0010095E">
            <w:pPr>
              <w:pStyle w:val="EPLogo"/>
            </w:pPr>
            <w:r w:rsidRPr="00CB35D2">
              <w:rPr>
                <w:noProof/>
                <w:lang w:eastAsia="ja-JP"/>
              </w:rPr>
              <w:drawing>
                <wp:inline distT="0" distB="0" distL="0" distR="0" wp14:anchorId="142ED39D" wp14:editId="6378DE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D8E1D9" w14:textId="77777777" w:rsidR="00D058B8" w:rsidRPr="00CB35D2" w:rsidRDefault="00D058B8" w:rsidP="004C5D52">
      <w:pPr>
        <w:pStyle w:val="LineTop"/>
      </w:pPr>
    </w:p>
    <w:p w14:paraId="5E5D0DA8" w14:textId="77777777" w:rsidR="00680577" w:rsidRPr="00CB35D2" w:rsidRDefault="00AA05E2" w:rsidP="00680577">
      <w:pPr>
        <w:pStyle w:val="EPBodyTA1"/>
      </w:pPr>
      <w:r w:rsidRPr="00CB35D2">
        <w:t>ANTAGNA TEXTER</w:t>
      </w:r>
    </w:p>
    <w:p w14:paraId="32E1DF57" w14:textId="77777777" w:rsidR="00D058B8" w:rsidRPr="00CB35D2" w:rsidRDefault="00D058B8" w:rsidP="00D058B8">
      <w:pPr>
        <w:pStyle w:val="LineBottom"/>
      </w:pPr>
    </w:p>
    <w:p w14:paraId="1E41E95E" w14:textId="2AEC6CD0" w:rsidR="00AA05E2" w:rsidRPr="00CB35D2" w:rsidRDefault="00AA05E2" w:rsidP="00AA05E2">
      <w:pPr>
        <w:pStyle w:val="ATHeading1"/>
      </w:pPr>
      <w:bookmarkStart w:id="0" w:name="TANumber"/>
      <w:r w:rsidRPr="00CB35D2">
        <w:t>P10_TA(2026)00</w:t>
      </w:r>
      <w:bookmarkEnd w:id="0"/>
      <w:r w:rsidR="00F5604C">
        <w:t>41</w:t>
      </w:r>
    </w:p>
    <w:p w14:paraId="61A2900A" w14:textId="337EB770" w:rsidR="00AA05E2" w:rsidRPr="00CB35D2" w:rsidRDefault="001F0EDF" w:rsidP="00AA05E2">
      <w:pPr>
        <w:pStyle w:val="ATHeading2"/>
      </w:pPr>
      <w:bookmarkStart w:id="1" w:name="title"/>
      <w:r>
        <w:t>D</w:t>
      </w:r>
      <w:r w:rsidR="00AA05E2" w:rsidRPr="00CB35D2">
        <w:t>en genetiskt modifierade sojabönan DBN-09004-6</w:t>
      </w:r>
      <w:bookmarkEnd w:id="1"/>
    </w:p>
    <w:p w14:paraId="347CC81E" w14:textId="77777777" w:rsidR="00AA05E2" w:rsidRPr="00CB35D2" w:rsidRDefault="00AA05E2" w:rsidP="00AA05E2">
      <w:pPr>
        <w:rPr>
          <w:i/>
          <w:vanish/>
        </w:rPr>
      </w:pPr>
      <w:r w:rsidRPr="00CB35D2">
        <w:rPr>
          <w:i/>
        </w:rPr>
        <w:fldChar w:fldCharType="begin"/>
      </w:r>
      <w:r w:rsidRPr="00CB35D2">
        <w:rPr>
          <w:i/>
        </w:rPr>
        <w:instrText xml:space="preserve"> TC"(</w:instrText>
      </w:r>
      <w:bookmarkStart w:id="2" w:name="DocNumber"/>
      <w:r w:rsidRPr="00CB35D2">
        <w:rPr>
          <w:i/>
        </w:rPr>
        <w:instrText>B10-0107/2026</w:instrText>
      </w:r>
      <w:bookmarkEnd w:id="2"/>
      <w:r w:rsidRPr="00CB35D2">
        <w:rPr>
          <w:i/>
        </w:rPr>
        <w:instrText xml:space="preserve">)"\l3 \n&gt; \* MERGEFORMAT </w:instrText>
      </w:r>
      <w:r w:rsidRPr="00CB35D2">
        <w:rPr>
          <w:i/>
        </w:rPr>
        <w:fldChar w:fldCharType="end"/>
      </w:r>
    </w:p>
    <w:p w14:paraId="321603BC" w14:textId="77777777" w:rsidR="00AA05E2" w:rsidRPr="00CB35D2" w:rsidRDefault="00AA05E2" w:rsidP="00AA05E2">
      <w:pPr>
        <w:rPr>
          <w:vanish/>
        </w:rPr>
      </w:pPr>
      <w:bookmarkStart w:id="3" w:name="PE"/>
      <w:r w:rsidRPr="00CB35D2">
        <w:rPr>
          <w:vanish/>
        </w:rPr>
        <w:t>PE782.192</w:t>
      </w:r>
      <w:bookmarkEnd w:id="3"/>
    </w:p>
    <w:p w14:paraId="60AA35E5" w14:textId="5782152D" w:rsidR="00AA05E2" w:rsidRPr="00CB35D2" w:rsidRDefault="00AA05E2" w:rsidP="00301905">
      <w:pPr>
        <w:pStyle w:val="ATHeading3"/>
      </w:pPr>
      <w:bookmarkStart w:id="4" w:name="Sujet"/>
      <w:r w:rsidRPr="00CB35D2">
        <w:t xml:space="preserve">Europaparlamentets resolution av den </w:t>
      </w:r>
      <w:r w:rsidR="001F0EDF">
        <w:t>11</w:t>
      </w:r>
      <w:r w:rsidR="001F0EDF" w:rsidRPr="00CB35D2">
        <w:t xml:space="preserve"> </w:t>
      </w:r>
      <w:r w:rsidR="001F0EDF">
        <w:t>februari</w:t>
      </w:r>
      <w:r w:rsidR="001F0EDF" w:rsidRPr="00CB35D2">
        <w:t xml:space="preserve"> </w:t>
      </w:r>
      <w:r w:rsidRPr="00CB35D2">
        <w:t xml:space="preserve">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w:t>
      </w:r>
      <w:bookmarkStart w:id="5" w:name="References"/>
      <w:bookmarkEnd w:id="4"/>
      <w:r w:rsidRPr="00CB35D2">
        <w:t>(D111472/02 – 2026/2523(RSP))</w:t>
      </w:r>
      <w:bookmarkEnd w:id="5"/>
    </w:p>
    <w:p w14:paraId="7B66D6D1" w14:textId="77777777" w:rsidR="00680F79" w:rsidRPr="00CB35D2" w:rsidRDefault="00680F79" w:rsidP="00680F79">
      <w:pPr>
        <w:pStyle w:val="EPComma"/>
      </w:pPr>
      <w:bookmarkStart w:id="6" w:name="TextBodyBegin"/>
      <w:bookmarkEnd w:id="6"/>
      <w:r w:rsidRPr="00CB35D2">
        <w:rPr>
          <w:i/>
          <w:iCs/>
        </w:rPr>
        <w:t>Europaparlamentet utfärdar denna resolution</w:t>
      </w:r>
    </w:p>
    <w:p w14:paraId="334BFEAC" w14:textId="77777777" w:rsidR="00680F79" w:rsidRPr="00CB35D2" w:rsidRDefault="00680F79" w:rsidP="00680F79">
      <w:pPr>
        <w:pStyle w:val="NormalHanging12a"/>
      </w:pPr>
      <w:r w:rsidRPr="00CB35D2">
        <w:t>–</w:t>
      </w:r>
      <w:r w:rsidRPr="00CB35D2">
        <w:tab/>
        <w:t>med beaktande av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(D111472/02),</w:t>
      </w:r>
    </w:p>
    <w:p w14:paraId="0575D1F2" w14:textId="77777777" w:rsidR="00680F79" w:rsidRPr="00CB35D2" w:rsidRDefault="00680F79" w:rsidP="00680F79">
      <w:pPr>
        <w:pStyle w:val="NormalHanging12a"/>
      </w:pPr>
      <w:r w:rsidRPr="00CB35D2">
        <w:t>–</w:t>
      </w:r>
      <w:r w:rsidRPr="00CB35D2">
        <w:tab/>
        <w:t>med beaktande av Europaparlamentets och rådets förordning (EG) nr 1829/2003 av den 22 september 2003 om genetiskt modifierade livsmedel och foder</w:t>
      </w:r>
      <w:r w:rsidRPr="00CB35D2">
        <w:rPr>
          <w:rStyle w:val="FootnoteReference"/>
        </w:rPr>
        <w:footnoteReference w:id="1"/>
      </w:r>
      <w:r w:rsidRPr="00CB35D2">
        <w:t>, särskilt artiklarna 7.3 och 19.3,</w:t>
      </w:r>
    </w:p>
    <w:p w14:paraId="1403F301" w14:textId="24C70D15" w:rsidR="00680F79" w:rsidRPr="00CB35D2" w:rsidRDefault="00680F79" w:rsidP="00680F79">
      <w:pPr>
        <w:pStyle w:val="NormalHanging12a"/>
      </w:pPr>
      <w:r w:rsidRPr="00CB35D2">
        <w:t>–</w:t>
      </w:r>
      <w:r w:rsidRPr="00CB35D2">
        <w:tab/>
        <w:t>med beaktande av omröstningen den 12 december 2025 i den ständiga kommitté för växter, djur, livsmedel och foder som avses i artikel 35 i förordning (EG) nr 1829/2003, där inget yttrande avgavs</w:t>
      </w:r>
      <w:bookmarkStart w:id="7" w:name="_Hlk219206484"/>
      <w:r w:rsidRPr="00CB35D2">
        <w:t>,</w:t>
      </w:r>
      <w:bookmarkEnd w:id="7"/>
      <w:r w:rsidR="001F0EDF">
        <w:t xml:space="preserve"> </w:t>
      </w:r>
      <w:r w:rsidR="001F0EDF" w:rsidRPr="001F0EDF">
        <w:t xml:space="preserve">samt omröstningen i omprövningskommittén den </w:t>
      </w:r>
      <w:r w:rsidR="001F0EDF">
        <w:t>27</w:t>
      </w:r>
      <w:r w:rsidR="001F0EDF" w:rsidRPr="001F0EDF">
        <w:t xml:space="preserve"> </w:t>
      </w:r>
      <w:r w:rsidR="001F0EDF">
        <w:t>januari</w:t>
      </w:r>
      <w:r w:rsidR="001F0EDF" w:rsidRPr="001F0EDF">
        <w:t xml:space="preserve"> 202</w:t>
      </w:r>
      <w:r w:rsidR="001F0EDF">
        <w:t>6</w:t>
      </w:r>
      <w:r w:rsidR="001F0EDF" w:rsidRPr="001F0EDF">
        <w:t>, där det inte heller avgavs något yttrande,</w:t>
      </w:r>
    </w:p>
    <w:p w14:paraId="768E28C7" w14:textId="77777777" w:rsidR="00680F79" w:rsidRPr="00CB35D2" w:rsidRDefault="00680F79" w:rsidP="00680F79">
      <w:pPr>
        <w:pStyle w:val="NormalHanging12a"/>
      </w:pPr>
      <w:r w:rsidRPr="00CB35D2">
        <w:t>–</w:t>
      </w:r>
      <w:r w:rsidRPr="00CB35D2">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CB35D2">
        <w:rPr>
          <w:rStyle w:val="FootnoteReference"/>
        </w:rPr>
        <w:footnoteReference w:id="2"/>
      </w:r>
      <w:r w:rsidRPr="00CB35D2">
        <w:t>,</w:t>
      </w:r>
    </w:p>
    <w:p w14:paraId="46BF5C12" w14:textId="77777777" w:rsidR="00680F79" w:rsidRPr="00CB35D2" w:rsidRDefault="00680F79" w:rsidP="00680F79">
      <w:pPr>
        <w:pStyle w:val="NormalHanging12a"/>
      </w:pPr>
      <w:r w:rsidRPr="00CB35D2">
        <w:t>–</w:t>
      </w:r>
      <w:r w:rsidRPr="00CB35D2">
        <w:tab/>
        <w:t xml:space="preserve">med beaktande av det yttrande som antogs av Europeiska myndigheten för </w:t>
      </w:r>
      <w:r w:rsidRPr="00CB35D2">
        <w:lastRenderedPageBreak/>
        <w:t>livsmedelssäkerhet (</w:t>
      </w:r>
      <w:proofErr w:type="spellStart"/>
      <w:r w:rsidRPr="00CB35D2">
        <w:t>Efsa</w:t>
      </w:r>
      <w:proofErr w:type="spellEnd"/>
      <w:r w:rsidRPr="00CB35D2">
        <w:t>) den 21 maj 2025, och som offentliggjordes den 7 juli 2025</w:t>
      </w:r>
      <w:r w:rsidRPr="00CB35D2">
        <w:rPr>
          <w:vertAlign w:val="superscript"/>
        </w:rPr>
        <w:footnoteReference w:id="3"/>
      </w:r>
      <w:r w:rsidRPr="00CB35D2">
        <w:t>,</w:t>
      </w:r>
    </w:p>
    <w:p w14:paraId="363BE918" w14:textId="77777777" w:rsidR="00680F79" w:rsidRPr="00CB35D2" w:rsidRDefault="00680F79" w:rsidP="00680F79">
      <w:pPr>
        <w:pStyle w:val="NormalHanging12a"/>
      </w:pPr>
      <w:r w:rsidRPr="00CB35D2">
        <w:t>–</w:t>
      </w:r>
      <w:r w:rsidRPr="00CB35D2">
        <w:tab/>
        <w:t>med beaktande av sina tidigare resolutioner där parlamentet har invänt mot godkännandet av genetiskt modifierade organismer</w:t>
      </w:r>
      <w:r w:rsidRPr="00CB35D2">
        <w:rPr>
          <w:vertAlign w:val="superscript"/>
        </w:rPr>
        <w:footnoteReference w:id="4"/>
      </w:r>
      <w:r w:rsidRPr="00CB35D2">
        <w:t>,</w:t>
      </w:r>
    </w:p>
    <w:p w14:paraId="336A0D4B" w14:textId="77777777" w:rsidR="00680F79" w:rsidRPr="00CB35D2" w:rsidRDefault="00680F79" w:rsidP="00680F79">
      <w:pPr>
        <w:pStyle w:val="NormalHanging12a"/>
      </w:pPr>
      <w:r w:rsidRPr="00CB35D2">
        <w:lastRenderedPageBreak/>
        <w:t>–</w:t>
      </w:r>
      <w:r w:rsidRPr="00CB35D2">
        <w:tab/>
        <w:t>med beaktande av artikel 115.2 och 115.3 i arbetsordningen,</w:t>
      </w:r>
    </w:p>
    <w:p w14:paraId="068CCC58" w14:textId="77777777" w:rsidR="00680F79" w:rsidRPr="00CB35D2" w:rsidRDefault="00680F79" w:rsidP="00680F79">
      <w:pPr>
        <w:pStyle w:val="NormalHanging12a"/>
      </w:pPr>
      <w:r w:rsidRPr="00CB35D2">
        <w:t>–</w:t>
      </w:r>
      <w:r w:rsidRPr="00CB35D2">
        <w:tab/>
        <w:t>med beaktande av förslaget till resolution från utskottet för miljö, klimat och livsmedelssäkerhet, och av följande skäl:</w:t>
      </w:r>
    </w:p>
    <w:p w14:paraId="6287F421" w14:textId="77777777" w:rsidR="00680F79" w:rsidRPr="00CB35D2" w:rsidRDefault="00680F79" w:rsidP="00680F79">
      <w:pPr>
        <w:pStyle w:val="NormalHanging12a"/>
        <w:ind w:hanging="570"/>
      </w:pPr>
      <w:r w:rsidRPr="00CB35D2">
        <w:t>A.</w:t>
      </w:r>
      <w:r w:rsidRPr="00CB35D2">
        <w:tab/>
        <w:t xml:space="preserve">Den 20 december 2019 lämnade </w:t>
      </w:r>
      <w:proofErr w:type="spellStart"/>
      <w:r w:rsidRPr="00CB35D2">
        <w:t>Perseus</w:t>
      </w:r>
      <w:proofErr w:type="spellEnd"/>
      <w:r w:rsidRPr="00CB35D2">
        <w:t xml:space="preserve"> BV, baserat i Belgien, på uppdrag av Beijing </w:t>
      </w:r>
      <w:proofErr w:type="spellStart"/>
      <w:r w:rsidRPr="00CB35D2">
        <w:t>DaBeiNong</w:t>
      </w:r>
      <w:proofErr w:type="spellEnd"/>
      <w:r w:rsidRPr="00CB35D2">
        <w:t xml:space="preserve"> </w:t>
      </w:r>
      <w:proofErr w:type="spellStart"/>
      <w:r w:rsidRPr="00CB35D2">
        <w:t>Biotechnology</w:t>
      </w:r>
      <w:proofErr w:type="spellEnd"/>
      <w:r w:rsidRPr="00CB35D2">
        <w:t xml:space="preserve"> Co., Ltd., baserat i Kina, i enlighet med artiklarna 5 och 17 i förordning (EG) nr 1829/2003, </w:t>
      </w:r>
      <w:r w:rsidRPr="00CB35D2">
        <w:rPr>
          <w:snapToGrid w:val="0"/>
        </w:rPr>
        <w:t>in en ansökan till Belgiens behöriga myndighet om att</w:t>
      </w:r>
      <w:r w:rsidRPr="00CB35D2">
        <w:t xml:space="preserve"> få släppa ut livsmedel, livsmedelsingredienser och foder som innehåller, består av eller har framställts av den genetiskt modifierade sojabönan DBN-09004-6 på marknaden. Ansökan gällde även utsläppande på marknaden av produkter som innehåller eller består av den genetiskt modifierade sojabönan för andra ändamål än livsmedel och foder, med undantag av odling.</w:t>
      </w:r>
    </w:p>
    <w:p w14:paraId="14AD7D9E" w14:textId="77777777" w:rsidR="00680F79" w:rsidRPr="00CB35D2" w:rsidRDefault="00680F79" w:rsidP="00680F79">
      <w:pPr>
        <w:pStyle w:val="NormalHanging12a"/>
        <w:ind w:hanging="570"/>
      </w:pPr>
      <w:bookmarkStart w:id="8" w:name="_Hlk218675754"/>
      <w:r w:rsidRPr="00CB35D2">
        <w:t>B.</w:t>
      </w:r>
      <w:r w:rsidRPr="00CB35D2">
        <w:tab/>
        <w:t xml:space="preserve">Den 7 juli 2025 antog </w:t>
      </w:r>
      <w:proofErr w:type="spellStart"/>
      <w:r w:rsidRPr="00CB35D2">
        <w:t>Efsa</w:t>
      </w:r>
      <w:proofErr w:type="spellEnd"/>
      <w:r w:rsidRPr="00CB35D2">
        <w:t xml:space="preserve"> ett positivt vetenskapligt yttrande i enlighet med artiklarna 6 och 18 i förordning (EG) nr 1829/2003, i vilket </w:t>
      </w:r>
      <w:proofErr w:type="spellStart"/>
      <w:r w:rsidRPr="00CB35D2">
        <w:t>Efsa</w:t>
      </w:r>
      <w:proofErr w:type="spellEnd"/>
      <w:r w:rsidRPr="00CB35D2">
        <w:t xml:space="preserve"> konstaterade att den genetiskt modifierade sojabönan, såsom den beskrivs i ansökan, är lika säker som sin konventionella motsvarighet och de testade icke genetiskt modifierade referenssorterna när det gäller potentiella effekter på människors och djurs hälsa och på miljön. Yttrandet tog inte upp ett antal bredare miljömässiga, samhällsekonomiska och kumulativa effekter som </w:t>
      </w:r>
      <w:proofErr w:type="spellStart"/>
      <w:r w:rsidRPr="00CB35D2">
        <w:t>Efsa</w:t>
      </w:r>
      <w:proofErr w:type="spellEnd"/>
      <w:r w:rsidRPr="00CB35D2">
        <w:t xml:space="preserve"> anser ligger utanför dess ansvarsområde.</w:t>
      </w:r>
    </w:p>
    <w:p w14:paraId="5EB8D1E4" w14:textId="77777777" w:rsidR="00680F79" w:rsidRPr="00CB35D2" w:rsidRDefault="00680F79" w:rsidP="00680F79">
      <w:pPr>
        <w:pStyle w:val="NormalHanging12a"/>
        <w:ind w:hanging="570"/>
      </w:pPr>
      <w:r w:rsidRPr="00CB35D2">
        <w:t>C.</w:t>
      </w:r>
      <w:r w:rsidRPr="00CB35D2">
        <w:tab/>
        <w:t xml:space="preserve">Den genetiskt modifierade sojabönan har utvecklats för att ge tolerans mot </w:t>
      </w:r>
      <w:proofErr w:type="spellStart"/>
      <w:r w:rsidRPr="00CB35D2">
        <w:t>glufosinat</w:t>
      </w:r>
      <w:proofErr w:type="spellEnd"/>
      <w:r w:rsidRPr="00CB35D2">
        <w:t xml:space="preserve"> och </w:t>
      </w:r>
      <w:proofErr w:type="spellStart"/>
      <w:r w:rsidRPr="00CB35D2">
        <w:t>glyfosat</w:t>
      </w:r>
      <w:proofErr w:type="spellEnd"/>
      <w:r w:rsidRPr="00CB35D2">
        <w:t>.</w:t>
      </w:r>
    </w:p>
    <w:bookmarkEnd w:id="8"/>
    <w:p w14:paraId="7358FA35" w14:textId="77777777" w:rsidR="00680F79" w:rsidRPr="00CB35D2" w:rsidRDefault="00680F79" w:rsidP="00680F79">
      <w:pPr>
        <w:pStyle w:val="NormalHanging12a"/>
      </w:pPr>
      <w:r w:rsidRPr="00CB35D2">
        <w:t>D.</w:t>
      </w:r>
      <w:r w:rsidRPr="00CB35D2">
        <w:tab/>
      </w:r>
      <w:proofErr w:type="spellStart"/>
      <w:r w:rsidRPr="00CB35D2">
        <w:t>Efsas</w:t>
      </w:r>
      <w:proofErr w:type="spellEnd"/>
      <w:r w:rsidRPr="00CB35D2">
        <w:t xml:space="preserve"> riskbedömningar omfattade inte långsiktiga toxikologiska studier eller detaljerade analyser av kumulativa och kombinerade effekter, inbegripet potentiell interaktion med bekämpningsmedelsrester som vanligen används vid odling av sojabönor.</w:t>
      </w:r>
    </w:p>
    <w:p w14:paraId="3783B00D" w14:textId="77777777" w:rsidR="00680F79" w:rsidRPr="00CB35D2" w:rsidRDefault="00680F79" w:rsidP="00680F79">
      <w:pPr>
        <w:pStyle w:val="NormalHanging12a"/>
        <w:rPr>
          <w:color w:val="000000" w:themeColor="text1"/>
          <w:szCs w:val="24"/>
        </w:rPr>
      </w:pPr>
      <w:r w:rsidRPr="00CB35D2">
        <w:rPr>
          <w:color w:val="000000" w:themeColor="text1"/>
        </w:rPr>
        <w:t>E.</w:t>
      </w:r>
      <w:r w:rsidRPr="00CB35D2">
        <w:rPr>
          <w:color w:val="000000" w:themeColor="text1"/>
        </w:rPr>
        <w:tab/>
      </w:r>
      <w:r w:rsidRPr="00CB35D2">
        <w:t xml:space="preserve">De allra flesta genetiskt modifierade grödor, inbegripet den genetiskt modifierade sojabönan, har modifierats genetiskt så att de är toleranta mot en eller flera </w:t>
      </w:r>
      <w:r w:rsidRPr="00CB35D2">
        <w:lastRenderedPageBreak/>
        <w:t>”kompletterande” herbicider som kan användas under hela odlingen av den genetiskt modifierade grödan utan att grödan dör, vilket skulle vara fallet med icke</w:t>
      </w:r>
      <w:r w:rsidRPr="00CB35D2">
        <w:noBreakHyphen/>
        <w:t xml:space="preserve">herbicidtoleranta grödor. </w:t>
      </w:r>
      <w:r w:rsidRPr="00CB35D2">
        <w:rPr>
          <w:color w:val="000000" w:themeColor="text1"/>
        </w:rPr>
        <w:t>Flera studier visar att herbicidtoleranta genetiskt modifierade grödor leder till en ökad användning av kompletterande herbicider, till stor del på grund av att det uppstår herbicidtolerant ogräs</w:t>
      </w:r>
      <w:r w:rsidRPr="00CB35D2">
        <w:rPr>
          <w:rStyle w:val="FootnoteReference"/>
          <w:color w:val="000000" w:themeColor="text1"/>
          <w:szCs w:val="24"/>
        </w:rPr>
        <w:footnoteReference w:id="5"/>
      </w:r>
      <w:r w:rsidRPr="00CB35D2">
        <w:rPr>
          <w:color w:val="000000" w:themeColor="text1"/>
        </w:rPr>
        <w:t>.</w:t>
      </w:r>
    </w:p>
    <w:p w14:paraId="5205B2AC" w14:textId="77777777" w:rsidR="00680F79" w:rsidRPr="00CB35D2" w:rsidRDefault="00680F79" w:rsidP="00680F79">
      <w:pPr>
        <w:spacing w:after="240"/>
        <w:ind w:left="567" w:hanging="567"/>
        <w:rPr>
          <w:color w:val="000000" w:themeColor="text1"/>
          <w:szCs w:val="24"/>
        </w:rPr>
      </w:pPr>
      <w:r w:rsidRPr="00CB35D2">
        <w:t>F.</w:t>
      </w:r>
      <w:r w:rsidRPr="00CB35D2">
        <w:tab/>
        <w:t>Herbicidtoleranta genetiskt modifierade grödor gör att jordbrukare fastnar i ett ogräsbekämpningssystem som till stor del eller helt och hållet är beroende av herbicider. Detta beror på att det tas ut en avgift för genetiskt modifierat utsäde som kan motiveras endast om de jordbrukare som köper sådant utsäde också besprutar med de kompletterande herbiciderna.</w:t>
      </w:r>
      <w:r w:rsidRPr="00CB35D2">
        <w:rPr>
          <w:color w:val="000000" w:themeColor="text1"/>
        </w:rPr>
        <w:t xml:space="preserve"> Ett ökat beroende av kompletterande herbicider på gårdar som odlar den genetiskt modifierade sojabönan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CB35D2">
        <w:rPr>
          <w:rStyle w:val="FootnoteReference"/>
          <w:color w:val="000000" w:themeColor="text1"/>
          <w:szCs w:val="24"/>
        </w:rPr>
        <w:footnoteReference w:id="6"/>
      </w:r>
      <w:r w:rsidRPr="00CB35D2">
        <w:rPr>
          <w:color w:val="000000" w:themeColor="text1"/>
        </w:rPr>
        <w:t>.</w:t>
      </w:r>
    </w:p>
    <w:p w14:paraId="3FA4430E" w14:textId="77777777" w:rsidR="00680F79" w:rsidRPr="00CB35D2" w:rsidRDefault="00680F79" w:rsidP="00680F79">
      <w:pPr>
        <w:pStyle w:val="NormalWeb"/>
        <w:widowControl w:val="0"/>
        <w:spacing w:before="0" w:beforeAutospacing="0" w:after="240" w:afterAutospacing="0"/>
        <w:ind w:left="567" w:hanging="567"/>
      </w:pPr>
      <w:r w:rsidRPr="00CB35D2">
        <w:t>G.</w:t>
      </w:r>
      <w:r w:rsidRPr="00CB35D2">
        <w:tab/>
      </w:r>
      <w:proofErr w:type="spellStart"/>
      <w:r w:rsidRPr="00CB35D2">
        <w:t>Glufosinat</w:t>
      </w:r>
      <w:proofErr w:type="spellEnd"/>
      <w:r w:rsidRPr="00CB35D2">
        <w:t xml:space="preserve"> klassificeras som ett reproduktionstoxiskt ämne i kategori 1B och omfattas därför av uteslutningskriterierna i Europaparlamentets och rådets förordning (EG) nr 1107/2009</w:t>
      </w:r>
      <w:r w:rsidRPr="00CB35D2">
        <w:rPr>
          <w:rStyle w:val="FootnoteReference"/>
        </w:rPr>
        <w:footnoteReference w:id="7"/>
      </w:r>
      <w:r w:rsidRPr="00CB35D2">
        <w:t xml:space="preserve">. Godkännandet av </w:t>
      </w:r>
      <w:proofErr w:type="spellStart"/>
      <w:r w:rsidRPr="00CB35D2">
        <w:t>glufosinat</w:t>
      </w:r>
      <w:proofErr w:type="spellEnd"/>
      <w:r w:rsidRPr="00CB35D2">
        <w:t xml:space="preserve"> för användning i unionen löpte ut den 31 juli 2018.</w:t>
      </w:r>
    </w:p>
    <w:p w14:paraId="1BAD505F" w14:textId="77777777" w:rsidR="00680F79" w:rsidRPr="00CB35D2" w:rsidRDefault="00680F79" w:rsidP="00680F79">
      <w:pPr>
        <w:pStyle w:val="NormalHanging12a"/>
      </w:pPr>
      <w:r w:rsidRPr="00CB35D2">
        <w:t>H.</w:t>
      </w:r>
      <w:r w:rsidRPr="00CB35D2">
        <w:tab/>
        <w:t xml:space="preserve">Allvarliga frågetecken kvarstår kring huruvida </w:t>
      </w:r>
      <w:proofErr w:type="spellStart"/>
      <w:r w:rsidRPr="00CB35D2">
        <w:t>glyfosat</w:t>
      </w:r>
      <w:proofErr w:type="spellEnd"/>
      <w:r w:rsidRPr="00CB35D2">
        <w:t xml:space="preserve"> är cancerframkallande. </w:t>
      </w:r>
      <w:proofErr w:type="spellStart"/>
      <w:r w:rsidRPr="00CB35D2">
        <w:t>Efsa</w:t>
      </w:r>
      <w:proofErr w:type="spellEnd"/>
      <w:r w:rsidRPr="00CB35D2">
        <w:t xml:space="preserve"> kom i november 2015 fram till att </w:t>
      </w:r>
      <w:proofErr w:type="spellStart"/>
      <w:r w:rsidRPr="00CB35D2">
        <w:t>glyfosat</w:t>
      </w:r>
      <w:proofErr w:type="spellEnd"/>
      <w:r w:rsidRPr="00CB35D2">
        <w:t xml:space="preserve">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w:t>
      </w:r>
      <w:proofErr w:type="spellStart"/>
      <w:r w:rsidRPr="00CB35D2">
        <w:t>glyfosat</w:t>
      </w:r>
      <w:proofErr w:type="spellEnd"/>
      <w:r w:rsidRPr="00CB35D2">
        <w:t xml:space="preserve"> som troligtvis cancerframkallande för människor. Ett antal nyligen genomförda expertgranskade vetenskapliga studier bekräftar den cancerframkallande potentialen hos </w:t>
      </w:r>
      <w:proofErr w:type="spellStart"/>
      <w:r w:rsidRPr="00CB35D2">
        <w:t>glyfosat</w:t>
      </w:r>
      <w:proofErr w:type="spellEnd"/>
      <w:r w:rsidRPr="00CB35D2">
        <w:rPr>
          <w:rStyle w:val="FootnoteReference"/>
        </w:rPr>
        <w:footnoteReference w:id="8"/>
      </w:r>
      <w:r w:rsidRPr="00CB35D2">
        <w:t xml:space="preserve">. Tidskriften </w:t>
      </w:r>
      <w:proofErr w:type="spellStart"/>
      <w:r w:rsidRPr="00CB35D2">
        <w:t>Regulatory</w:t>
      </w:r>
      <w:proofErr w:type="spellEnd"/>
      <w:r w:rsidRPr="00CB35D2">
        <w:t xml:space="preserve"> </w:t>
      </w:r>
      <w:proofErr w:type="spellStart"/>
      <w:r w:rsidRPr="00CB35D2">
        <w:t>Toxicology</w:t>
      </w:r>
      <w:proofErr w:type="spellEnd"/>
      <w:r w:rsidRPr="00CB35D2">
        <w:t xml:space="preserve"> and </w:t>
      </w:r>
      <w:proofErr w:type="spellStart"/>
      <w:r w:rsidRPr="00CB35D2">
        <w:t>Pharmacology</w:t>
      </w:r>
      <w:proofErr w:type="spellEnd"/>
      <w:r w:rsidRPr="00CB35D2">
        <w:t xml:space="preserve"> har formellt dragit tillbaka den vetenskapliga rapporten </w:t>
      </w:r>
      <w:proofErr w:type="spellStart"/>
      <w:r w:rsidRPr="00CB35D2">
        <w:rPr>
          <w:i/>
        </w:rPr>
        <w:t>Safety</w:t>
      </w:r>
      <w:proofErr w:type="spellEnd"/>
      <w:r w:rsidRPr="00CB35D2">
        <w:rPr>
          <w:i/>
        </w:rPr>
        <w:t xml:space="preserve"> </w:t>
      </w:r>
      <w:proofErr w:type="spellStart"/>
      <w:r w:rsidRPr="00CB35D2">
        <w:rPr>
          <w:i/>
        </w:rPr>
        <w:t>Evaluation</w:t>
      </w:r>
      <w:proofErr w:type="spellEnd"/>
      <w:r w:rsidRPr="00CB35D2">
        <w:rPr>
          <w:i/>
        </w:rPr>
        <w:t xml:space="preserve"> and Risk </w:t>
      </w:r>
      <w:proofErr w:type="spellStart"/>
      <w:r w:rsidRPr="00CB35D2">
        <w:rPr>
          <w:i/>
        </w:rPr>
        <w:t>Assessment</w:t>
      </w:r>
      <w:proofErr w:type="spellEnd"/>
      <w:r w:rsidRPr="00CB35D2">
        <w:rPr>
          <w:i/>
        </w:rPr>
        <w:t xml:space="preserve"> </w:t>
      </w:r>
      <w:proofErr w:type="spellStart"/>
      <w:r w:rsidRPr="00CB35D2">
        <w:rPr>
          <w:i/>
        </w:rPr>
        <w:t>of</w:t>
      </w:r>
      <w:proofErr w:type="spellEnd"/>
      <w:r w:rsidRPr="00CB35D2">
        <w:rPr>
          <w:i/>
        </w:rPr>
        <w:t xml:space="preserve"> the </w:t>
      </w:r>
      <w:proofErr w:type="spellStart"/>
      <w:r w:rsidRPr="00CB35D2">
        <w:rPr>
          <w:i/>
        </w:rPr>
        <w:t>Herbicide</w:t>
      </w:r>
      <w:proofErr w:type="spellEnd"/>
      <w:r w:rsidRPr="00CB35D2">
        <w:rPr>
          <w:i/>
        </w:rPr>
        <w:t xml:space="preserve"> Roundup and </w:t>
      </w:r>
      <w:proofErr w:type="spellStart"/>
      <w:r w:rsidRPr="00CB35D2">
        <w:rPr>
          <w:i/>
        </w:rPr>
        <w:t>Its</w:t>
      </w:r>
      <w:proofErr w:type="spellEnd"/>
      <w:r w:rsidRPr="00CB35D2">
        <w:rPr>
          <w:i/>
        </w:rPr>
        <w:t xml:space="preserve"> Active </w:t>
      </w:r>
      <w:proofErr w:type="spellStart"/>
      <w:r w:rsidRPr="00CB35D2">
        <w:rPr>
          <w:i/>
        </w:rPr>
        <w:t>Ingredient</w:t>
      </w:r>
      <w:proofErr w:type="spellEnd"/>
      <w:r w:rsidRPr="00CB35D2">
        <w:rPr>
          <w:i/>
        </w:rPr>
        <w:t xml:space="preserve">, </w:t>
      </w:r>
      <w:proofErr w:type="spellStart"/>
      <w:r w:rsidRPr="00CB35D2">
        <w:rPr>
          <w:i/>
        </w:rPr>
        <w:t>Glyphosate</w:t>
      </w:r>
      <w:proofErr w:type="spellEnd"/>
      <w:r w:rsidRPr="00CB35D2">
        <w:rPr>
          <w:i/>
        </w:rPr>
        <w:t>, for Humans</w:t>
      </w:r>
      <w:r w:rsidRPr="00CB35D2">
        <w:t xml:space="preserve">, som offentliggjordes 2000 och som har använts för att försvara </w:t>
      </w:r>
      <w:proofErr w:type="spellStart"/>
      <w:r w:rsidRPr="00CB35D2">
        <w:t>glyfosats</w:t>
      </w:r>
      <w:proofErr w:type="spellEnd"/>
      <w:r w:rsidRPr="00CB35D2">
        <w:t xml:space="preserve"> säkerhet i många riskbedömningar, eftersom farhågor uttryckts om rapportens </w:t>
      </w:r>
      <w:proofErr w:type="spellStart"/>
      <w:r w:rsidRPr="00CB35D2">
        <w:t>upphovsmannaskap</w:t>
      </w:r>
      <w:proofErr w:type="spellEnd"/>
      <w:r w:rsidRPr="00CB35D2">
        <w:t xml:space="preserve">, </w:t>
      </w:r>
      <w:r w:rsidRPr="00CB35D2">
        <w:lastRenderedPageBreak/>
        <w:t>forskningsresultatens giltighet i samband med förvrängning av bidragen från författarna och studiens sponsor och potentiella intressekonflikter hos författarna</w:t>
      </w:r>
      <w:r w:rsidRPr="00CB35D2">
        <w:rPr>
          <w:rStyle w:val="FootnoteReference"/>
        </w:rPr>
        <w:footnoteReference w:id="9"/>
      </w:r>
      <w:r w:rsidRPr="00CB35D2">
        <w:t>.</w:t>
      </w:r>
    </w:p>
    <w:p w14:paraId="62F10FA5" w14:textId="77777777" w:rsidR="00680F79" w:rsidRPr="00CB35D2" w:rsidRDefault="00680F79" w:rsidP="00680F79">
      <w:pPr>
        <w:pStyle w:val="NormalHanging12a"/>
        <w:widowControl/>
      </w:pPr>
      <w:r w:rsidRPr="00CB35D2">
        <w:t>I.</w:t>
      </w:r>
      <w:r w:rsidRPr="00CB35D2">
        <w:tab/>
        <w:t>Oberoende övervakning och kontroll av potentiella negativa effekter på den biologiska mångfalden, markhälsan, pollinerare och icke-målorganismer är fortfarande inte tillräckligt garanterad.</w:t>
      </w:r>
    </w:p>
    <w:p w14:paraId="54F2238D" w14:textId="77777777" w:rsidR="00680F79" w:rsidRPr="00CB35D2" w:rsidRDefault="00680F79" w:rsidP="00680F79">
      <w:pPr>
        <w:spacing w:after="240"/>
        <w:ind w:left="567" w:hanging="567"/>
      </w:pPr>
      <w:r w:rsidRPr="00CB35D2">
        <w:t>J.</w:t>
      </w:r>
      <w:r w:rsidRPr="00CB35D2">
        <w:tab/>
        <w:t>Försiktighetsprincipen, som stadfästs i artikel 191 i fördraget om Europeiska unionens funktionssätt, bör tillämpas när det råder vetenskaplig osäkerhet.</w:t>
      </w:r>
    </w:p>
    <w:p w14:paraId="684AC6AA" w14:textId="77777777" w:rsidR="00680F79" w:rsidRPr="00CB35D2" w:rsidRDefault="00680F79" w:rsidP="00680F79">
      <w:pPr>
        <w:spacing w:after="240"/>
        <w:ind w:left="567" w:hanging="567"/>
      </w:pPr>
      <w:r w:rsidRPr="00CB35D2">
        <w:t>K.</w:t>
      </w:r>
      <w:r w:rsidRPr="00CB35D2">
        <w:tab/>
        <w:t>Enligt förordning (EG) nr 1829/2003 får genetiskt modifierade livsmedel och foder inte ha negativa effekter på människors eller djurs hälsa eller för miljön.</w:t>
      </w:r>
    </w:p>
    <w:p w14:paraId="17B45DEC" w14:textId="77777777" w:rsidR="00680F79" w:rsidRPr="00CB35D2" w:rsidRDefault="00680F79" w:rsidP="00680F79">
      <w:pPr>
        <w:pStyle w:val="NormalWeb"/>
        <w:widowControl w:val="0"/>
        <w:spacing w:before="0" w:beforeAutospacing="0" w:after="240" w:afterAutospacing="0"/>
        <w:ind w:left="567" w:hanging="567"/>
      </w:pPr>
      <w:r w:rsidRPr="00CB35D2">
        <w:t>L.</w:t>
      </w:r>
      <w:r w:rsidRPr="00CB35D2">
        <w:tab/>
        <w:t>Unionens godkännande av den genetiskt modifierade sojabönan skulle inte vara förenligt med internationella åtaganden om minskning av bekämpningsmedel</w:t>
      </w:r>
      <w:r w:rsidRPr="00CB35D2">
        <w:rPr>
          <w:vertAlign w:val="superscript"/>
        </w:rPr>
        <w:footnoteReference w:id="10"/>
      </w:r>
      <w:r w:rsidRPr="00CB35D2">
        <w:t xml:space="preserve">, med tanke på människors, djurs och miljöns ökade exponering för </w:t>
      </w:r>
      <w:proofErr w:type="spellStart"/>
      <w:r w:rsidRPr="00CB35D2">
        <w:t>glyfosat</w:t>
      </w:r>
      <w:proofErr w:type="spellEnd"/>
      <w:r w:rsidRPr="00CB35D2">
        <w:t xml:space="preserve"> och </w:t>
      </w:r>
      <w:proofErr w:type="spellStart"/>
      <w:r w:rsidRPr="00CB35D2">
        <w:t>glufosinat</w:t>
      </w:r>
      <w:proofErr w:type="spellEnd"/>
      <w:r w:rsidRPr="00CB35D2">
        <w:t xml:space="preserve"> i länder som odlar denna herbicidtoleranta genetiskt modifierade gröda, tillsammans med de potentiellt allvarliga hälsoeffekterna.</w:t>
      </w:r>
    </w:p>
    <w:p w14:paraId="7D83EB5E" w14:textId="77777777" w:rsidR="00680F79" w:rsidRPr="00CB35D2" w:rsidRDefault="00680F79" w:rsidP="00680F79">
      <w:pPr>
        <w:spacing w:after="240"/>
        <w:ind w:left="567" w:hanging="567"/>
      </w:pPr>
      <w:r w:rsidRPr="00CB35D2">
        <w:t>M.</w:t>
      </w:r>
      <w:r w:rsidRPr="00CB35D2">
        <w:tab/>
        <w:t>Utkastet till kommissionens genomförandebeslut skulle möjliggöra import till unionen som inte uppfyller de normer som unionens jordbrukare iakttar, vilket skulle medföra en konkurrensnackdel för dem.</w:t>
      </w:r>
    </w:p>
    <w:p w14:paraId="48E95DAC" w14:textId="77777777" w:rsidR="00680F79" w:rsidRPr="00CB35D2" w:rsidRDefault="00680F79" w:rsidP="00680F79">
      <w:pPr>
        <w:spacing w:after="240"/>
        <w:ind w:left="567" w:hanging="567"/>
      </w:pPr>
      <w:r w:rsidRPr="00CB35D2">
        <w:t>N.</w:t>
      </w:r>
      <w:r w:rsidRPr="00CB35D2">
        <w:tab/>
        <w:t>I slutsatserna från den strategiska dialogen om framtiden för EU:s jordbruk</w:t>
      </w:r>
      <w:r w:rsidRPr="00CB35D2">
        <w:rPr>
          <w:rStyle w:val="FootnoteReference"/>
        </w:rPr>
        <w:footnoteReference w:id="11"/>
      </w:r>
      <w:r w:rsidRPr="00CB35D2">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14:paraId="3BBB784F" w14:textId="77777777" w:rsidR="00680F79" w:rsidRPr="00CB35D2" w:rsidRDefault="00680F79" w:rsidP="00680F79">
      <w:pPr>
        <w:spacing w:after="240"/>
        <w:ind w:left="567" w:hanging="567"/>
      </w:pPr>
      <w:r w:rsidRPr="00CB35D2">
        <w:t>O.</w:t>
      </w:r>
      <w:r w:rsidRPr="00CB35D2">
        <w:tab/>
        <w:t>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22034CF6" w14:textId="77777777" w:rsidR="00680F79" w:rsidRPr="00CB35D2" w:rsidRDefault="00680F79" w:rsidP="00680F79">
      <w:pPr>
        <w:pStyle w:val="NormalWeb"/>
        <w:widowControl w:val="0"/>
        <w:shd w:val="clear" w:color="auto" w:fill="FFFFFF"/>
        <w:spacing w:before="0" w:beforeAutospacing="0" w:after="240" w:afterAutospacing="0"/>
        <w:ind w:left="567" w:hanging="567"/>
        <w:rPr>
          <w:color w:val="000000" w:themeColor="text1"/>
        </w:rPr>
      </w:pPr>
      <w:r w:rsidRPr="00CB35D2">
        <w:rPr>
          <w:color w:val="000000" w:themeColor="text1"/>
        </w:rPr>
        <w:t>P.</w:t>
      </w:r>
      <w:r w:rsidRPr="00CB35D2">
        <w:rPr>
          <w:color w:val="000000" w:themeColor="text1"/>
        </w:rPr>
        <w:tab/>
        <w:t>Trots att kommissionen själv erkänner de demokratiska bristerna, det bristande stödet från medlemsstaterna och parlamentets invändningar fortsätter kommissionen att godkänna genetiskt modifierade organismer.</w:t>
      </w:r>
    </w:p>
    <w:p w14:paraId="73AC402C" w14:textId="77777777" w:rsidR="00680F79" w:rsidRPr="00CB35D2" w:rsidRDefault="00680F79" w:rsidP="00680F79">
      <w:pPr>
        <w:spacing w:after="240"/>
        <w:ind w:left="567" w:hanging="567"/>
      </w:pPr>
      <w:r w:rsidRPr="00CB35D2">
        <w:t>Q.</w:t>
      </w:r>
      <w:r w:rsidRPr="00CB35D2">
        <w:tab/>
      </w:r>
      <w:proofErr w:type="spellStart"/>
      <w:r w:rsidRPr="00CB35D2">
        <w:t>One</w:t>
      </w:r>
      <w:proofErr w:type="spellEnd"/>
      <w:r w:rsidRPr="00CB35D2">
        <w:t xml:space="preserve"> </w:t>
      </w:r>
      <w:proofErr w:type="spellStart"/>
      <w:r w:rsidRPr="00CB35D2">
        <w:t>health</w:t>
      </w:r>
      <w:proofErr w:type="spellEnd"/>
      <w:r w:rsidRPr="00CB35D2">
        <w:t>-modellen förutsätter att man tar hänsyn till det ömsesidiga beroendet mellan människors, djurs, växters och miljöns hälsa vid bedömningen av genetiskt modifierade organismers långsiktiga hållbarhet och säkerhet.</w:t>
      </w:r>
    </w:p>
    <w:p w14:paraId="3226CAC7" w14:textId="6ECFF7AF" w:rsidR="00680F79" w:rsidRPr="00CB35D2" w:rsidRDefault="00680F79" w:rsidP="00680F79">
      <w:pPr>
        <w:spacing w:after="240"/>
        <w:ind w:left="567" w:hanging="567"/>
      </w:pPr>
      <w:r w:rsidRPr="00CB35D2">
        <w:t>R.</w:t>
      </w:r>
      <w:r w:rsidRPr="00CB35D2">
        <w:tab/>
        <w:t xml:space="preserve">Denna resolution kommer </w:t>
      </w:r>
      <w:r w:rsidR="007706A3">
        <w:t xml:space="preserve">nästan </w:t>
      </w:r>
      <w:r w:rsidRPr="00CB35D2">
        <w:t xml:space="preserve">att vara den 100:e resolutionen med invändningar mot </w:t>
      </w:r>
      <w:r w:rsidRPr="00CB35D2">
        <w:lastRenderedPageBreak/>
        <w:t xml:space="preserve">godkännande av import av genetiskt modifierade grödor som Europaparlamentet har antagit. </w:t>
      </w:r>
    </w:p>
    <w:p w14:paraId="153DF243" w14:textId="77777777" w:rsidR="00680F79" w:rsidRPr="00CB35D2" w:rsidRDefault="00680F79" w:rsidP="00680F79">
      <w:pPr>
        <w:pStyle w:val="NormalHanging12a"/>
      </w:pPr>
      <w:r w:rsidRPr="00CB35D2">
        <w:t>1.</w:t>
      </w:r>
      <w:r w:rsidRPr="00CB35D2">
        <w:tab/>
        <w:t>Europaparlamentet anser att utkastet till kommissionens genomförandebeslut överskrider de genomförandebefogenheter som fastställs i förordning (EG) nr 1829/2003.</w:t>
      </w:r>
    </w:p>
    <w:p w14:paraId="0483B023" w14:textId="77777777" w:rsidR="00680F79" w:rsidRPr="00CB35D2" w:rsidRDefault="00680F79" w:rsidP="00680F79">
      <w:pPr>
        <w:pStyle w:val="NormalHanging12a"/>
      </w:pPr>
      <w:bookmarkStart w:id="9" w:name="_Hlk218675825"/>
      <w:r w:rsidRPr="00CB35D2">
        <w:t>2.</w:t>
      </w:r>
      <w:r w:rsidRPr="00CB35D2">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CB35D2">
        <w:rPr>
          <w:vertAlign w:val="superscript"/>
        </w:rPr>
        <w:footnoteReference w:id="12"/>
      </w:r>
      <w:r w:rsidRPr="00CB35D2">
        <w:t xml:space="preserve">,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 </w:t>
      </w:r>
    </w:p>
    <w:bookmarkEnd w:id="9"/>
    <w:p w14:paraId="4B08E03E" w14:textId="77777777" w:rsidR="00680F79" w:rsidRPr="00CB35D2" w:rsidRDefault="00680F79" w:rsidP="00680F79">
      <w:pPr>
        <w:pStyle w:val="NormalHanging12a"/>
      </w:pPr>
      <w:r w:rsidRPr="00CB35D2">
        <w:t>3.</w:t>
      </w:r>
      <w:r w:rsidRPr="00CB35D2">
        <w:tab/>
        <w:t>Europaparlamentet uppmanar kommissionen att dra tillbaka sitt utkast till genomförandebeslut.</w:t>
      </w:r>
    </w:p>
    <w:p w14:paraId="2E8F86D6" w14:textId="77777777" w:rsidR="00680F79" w:rsidRPr="00CB35D2" w:rsidRDefault="00680F79" w:rsidP="00680F79">
      <w:pPr>
        <w:spacing w:after="240"/>
        <w:ind w:left="567" w:hanging="567"/>
      </w:pPr>
      <w:r w:rsidRPr="00CB35D2">
        <w:t>4.</w:t>
      </w:r>
      <w:r w:rsidRPr="00CB35D2">
        <w:tab/>
        <w:t xml:space="preserve">Europaparlamentet uppmanar kommissionen att inte godkänna den genetiskt modifierade sojabönan på grund av bristen på tillräckliga belägg för långsiktiga effekter på den biologiska mångfalden, livsmedelssäkerheten, jordbrukarnas försörjningsmöjligheter och djurhälsan i enlighet med </w:t>
      </w:r>
      <w:proofErr w:type="spellStart"/>
      <w:r w:rsidRPr="00CB35D2">
        <w:t>One</w:t>
      </w:r>
      <w:proofErr w:type="spellEnd"/>
      <w:r w:rsidRPr="00CB35D2">
        <w:t> </w:t>
      </w:r>
      <w:proofErr w:type="spellStart"/>
      <w:r w:rsidRPr="00CB35D2">
        <w:t>health</w:t>
      </w:r>
      <w:proofErr w:type="spellEnd"/>
      <w:r w:rsidRPr="00CB35D2">
        <w:t>-modellen.</w:t>
      </w:r>
    </w:p>
    <w:p w14:paraId="53349130" w14:textId="77777777" w:rsidR="00680F79" w:rsidRPr="00CB35D2" w:rsidRDefault="00680F79" w:rsidP="00680F79">
      <w:pPr>
        <w:spacing w:after="240"/>
        <w:ind w:left="567" w:hanging="567"/>
      </w:pPr>
      <w:bookmarkStart w:id="10" w:name="_Hlk210900300"/>
      <w:r w:rsidRPr="00CB35D2">
        <w:t>5.</w:t>
      </w:r>
      <w:r w:rsidRPr="00CB35D2">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10"/>
      <w:r w:rsidRPr="00CB35D2">
        <w:t>.</w:t>
      </w:r>
    </w:p>
    <w:p w14:paraId="22B2C94A" w14:textId="77777777" w:rsidR="00680F79" w:rsidRPr="00CB35D2" w:rsidRDefault="00680F79" w:rsidP="00680F79">
      <w:pPr>
        <w:spacing w:after="240"/>
        <w:ind w:left="567" w:hanging="567"/>
      </w:pPr>
      <w:bookmarkStart w:id="11" w:name="_Hlk210900241"/>
      <w:r w:rsidRPr="00CB35D2">
        <w:t>6.</w:t>
      </w:r>
      <w:r w:rsidRPr="00CB35D2">
        <w:tab/>
        <w:t xml:space="preserve">Europaparlamentet betonar i detta avseende att godkännande av import för användning som livsmedel, foder eller produkter av genetiskt modifierade växter som har gjorts toleranta mot herbicider som är förbjudna i unionen, såsom </w:t>
      </w:r>
      <w:proofErr w:type="spellStart"/>
      <w:r w:rsidRPr="00CB35D2">
        <w:t>glufosinat</w:t>
      </w:r>
      <w:proofErr w:type="spellEnd"/>
      <w:r w:rsidRPr="00CB35D2">
        <w:t>, är oförenligt med unionens internationella åtaganden enligt bland annat FN:s konvention om biologisk mångfald och FN:s mål för hållbar utveckling, inbegripet Kunming-Montreal-ramen, och att det gör att EU:s jordbrukare inte har likvärdiga förutsättningar.</w:t>
      </w:r>
      <w:bookmarkEnd w:id="11"/>
    </w:p>
    <w:p w14:paraId="3FE0D01C" w14:textId="248BCA3C" w:rsidR="00CB35D2" w:rsidRPr="00CB35D2" w:rsidRDefault="00680F79" w:rsidP="00CB35D2">
      <w:pPr>
        <w:pStyle w:val="NormalHanging12a"/>
      </w:pPr>
      <w:r w:rsidRPr="00CB35D2">
        <w:t>7.</w:t>
      </w:r>
      <w:r w:rsidRPr="00CB35D2">
        <w:tab/>
        <w:t>Europaparlamentet uppdrar åt talmannen att översända denna resolution till rådet och kommissionen samt till medlemsstaternas regeringar och parlament.</w:t>
      </w:r>
    </w:p>
    <w:p w14:paraId="15D89AC3" w14:textId="0FF715D1" w:rsidR="00E365E1" w:rsidRPr="00CB35D2" w:rsidRDefault="00E365E1" w:rsidP="00AA05E2"/>
    <w:sectPr w:rsidR="00E365E1" w:rsidRPr="00CB35D2" w:rsidSect="00CB35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FF6F1" w14:textId="77777777" w:rsidR="00AA05E2" w:rsidRPr="00CB35D2" w:rsidRDefault="00AA05E2">
      <w:r w:rsidRPr="00CB35D2">
        <w:separator/>
      </w:r>
    </w:p>
  </w:endnote>
  <w:endnote w:type="continuationSeparator" w:id="0">
    <w:p w14:paraId="61A34D68" w14:textId="77777777" w:rsidR="00AA05E2" w:rsidRPr="00CB35D2" w:rsidRDefault="00AA05E2">
      <w:r w:rsidRPr="00CB35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F0BF" w14:textId="77777777" w:rsidR="00064002" w:rsidRPr="00CB35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5375" w14:textId="77777777" w:rsidR="00064002" w:rsidRPr="00CB35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8E152" w14:textId="77777777" w:rsidR="00064002" w:rsidRPr="00CB35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14CC3" w14:textId="77777777" w:rsidR="00AA05E2" w:rsidRPr="00CB35D2" w:rsidRDefault="00AA05E2">
      <w:r w:rsidRPr="00CB35D2">
        <w:separator/>
      </w:r>
    </w:p>
  </w:footnote>
  <w:footnote w:type="continuationSeparator" w:id="0">
    <w:p w14:paraId="01B96CAD" w14:textId="77777777" w:rsidR="00AA05E2" w:rsidRPr="00CB35D2" w:rsidRDefault="00AA05E2">
      <w:r w:rsidRPr="00CB35D2">
        <w:continuationSeparator/>
      </w:r>
    </w:p>
  </w:footnote>
  <w:footnote w:id="1">
    <w:p w14:paraId="46D26B04" w14:textId="1633E70E" w:rsidR="00680F79" w:rsidRPr="00301905" w:rsidRDefault="00680F79" w:rsidP="00CB35D2">
      <w:pPr>
        <w:pStyle w:val="FootnoteText"/>
        <w:ind w:left="567" w:hanging="567"/>
        <w:rPr>
          <w:sz w:val="24"/>
          <w:lang w:val="fr-BE"/>
        </w:rPr>
      </w:pPr>
      <w:r w:rsidRPr="00CB35D2">
        <w:rPr>
          <w:rStyle w:val="FootnoteReference"/>
          <w:sz w:val="24"/>
          <w:lang w:val="sv-SE"/>
        </w:rPr>
        <w:footnoteRef/>
      </w:r>
      <w:r w:rsidR="00CB35D2" w:rsidRPr="00301905">
        <w:rPr>
          <w:sz w:val="24"/>
          <w:lang w:val="fr-BE"/>
        </w:rPr>
        <w:t xml:space="preserve"> </w:t>
      </w:r>
      <w:r w:rsidR="00CB35D2" w:rsidRPr="00301905">
        <w:rPr>
          <w:sz w:val="24"/>
          <w:lang w:val="fr-BE"/>
        </w:rPr>
        <w:tab/>
      </w:r>
      <w:r w:rsidRPr="00301905">
        <w:rPr>
          <w:sz w:val="24"/>
          <w:lang w:val="fr-BE"/>
        </w:rPr>
        <w:t xml:space="preserve">EUT L 268, 18.10.2003, s. 1, </w:t>
      </w:r>
      <w:proofErr w:type="gramStart"/>
      <w:r w:rsidRPr="00301905">
        <w:rPr>
          <w:sz w:val="24"/>
          <w:lang w:val="fr-BE"/>
        </w:rPr>
        <w:t>ELI:</w:t>
      </w:r>
      <w:proofErr w:type="gramEnd"/>
      <w:r w:rsidRPr="00301905">
        <w:rPr>
          <w:sz w:val="24"/>
          <w:lang w:val="fr-BE"/>
        </w:rPr>
        <w:t> </w:t>
      </w:r>
      <w:hyperlink r:id="rId1" w:history="1">
        <w:r w:rsidRPr="00301905">
          <w:rPr>
            <w:rStyle w:val="Hyperlink"/>
            <w:sz w:val="24"/>
            <w:lang w:val="fr-BE"/>
          </w:rPr>
          <w:t>http://data.europa.eu/eli/reg/2003/1829/oj</w:t>
        </w:r>
      </w:hyperlink>
      <w:r w:rsidRPr="00301905">
        <w:rPr>
          <w:sz w:val="24"/>
          <w:u w:val="single"/>
          <w:lang w:val="fr-BE"/>
        </w:rPr>
        <w:t>.</w:t>
      </w:r>
    </w:p>
  </w:footnote>
  <w:footnote w:id="2">
    <w:p w14:paraId="11604A6E" w14:textId="3AE7E30E" w:rsidR="00680F79" w:rsidRPr="00301905" w:rsidRDefault="00680F79" w:rsidP="00CB35D2">
      <w:pPr>
        <w:pStyle w:val="FootnoteText"/>
        <w:ind w:left="567" w:hanging="567"/>
        <w:rPr>
          <w:sz w:val="24"/>
          <w:lang w:val="fr-BE"/>
        </w:rPr>
      </w:pPr>
      <w:r w:rsidRPr="00CB35D2">
        <w:rPr>
          <w:rStyle w:val="FootnoteReference"/>
          <w:sz w:val="24"/>
          <w:lang w:val="sv-SE"/>
        </w:rPr>
        <w:footnoteRef/>
      </w:r>
      <w:r w:rsidR="00CB35D2" w:rsidRPr="00301905">
        <w:rPr>
          <w:sz w:val="24"/>
          <w:lang w:val="fr-BE"/>
        </w:rPr>
        <w:t xml:space="preserve"> </w:t>
      </w:r>
      <w:r w:rsidR="00CB35D2" w:rsidRPr="00301905">
        <w:rPr>
          <w:sz w:val="24"/>
          <w:lang w:val="fr-BE"/>
        </w:rPr>
        <w:tab/>
      </w:r>
      <w:r w:rsidRPr="00301905">
        <w:rPr>
          <w:sz w:val="24"/>
          <w:lang w:val="fr-BE"/>
        </w:rPr>
        <w:t xml:space="preserve">EUT L 55, 28.2.2011, s. 13, </w:t>
      </w:r>
      <w:proofErr w:type="gramStart"/>
      <w:r w:rsidRPr="00301905">
        <w:rPr>
          <w:sz w:val="24"/>
          <w:lang w:val="fr-BE"/>
        </w:rPr>
        <w:t>ELI:</w:t>
      </w:r>
      <w:proofErr w:type="gramEnd"/>
      <w:r w:rsidRPr="00301905">
        <w:rPr>
          <w:sz w:val="24"/>
          <w:lang w:val="fr-BE"/>
        </w:rPr>
        <w:t> </w:t>
      </w:r>
      <w:hyperlink r:id="rId2" w:history="1">
        <w:r w:rsidRPr="00301905">
          <w:rPr>
            <w:rStyle w:val="Hyperlink"/>
            <w:sz w:val="24"/>
            <w:lang w:val="fr-BE"/>
          </w:rPr>
          <w:t>http://data.europa.eu/eli/reg/2011/182/oj</w:t>
        </w:r>
      </w:hyperlink>
      <w:r w:rsidRPr="00301905">
        <w:rPr>
          <w:rStyle w:val="Hyperlink"/>
          <w:sz w:val="24"/>
          <w:lang w:val="fr-BE"/>
        </w:rPr>
        <w:t>.</w:t>
      </w:r>
    </w:p>
  </w:footnote>
  <w:footnote w:id="3">
    <w:p w14:paraId="36140680" w14:textId="75834E2A"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 xml:space="preserve">Vetenskapligt yttrande från </w:t>
      </w:r>
      <w:proofErr w:type="spellStart"/>
      <w:r w:rsidRPr="00CB35D2">
        <w:rPr>
          <w:sz w:val="24"/>
          <w:lang w:val="sv-SE"/>
        </w:rPr>
        <w:t>Efsas</w:t>
      </w:r>
      <w:proofErr w:type="spellEnd"/>
      <w:r w:rsidRPr="00CB35D2">
        <w:rPr>
          <w:sz w:val="24"/>
          <w:lang w:val="sv-SE"/>
        </w:rPr>
        <w:t xml:space="preserve"> panel för genetiskt modifierade organismer över bedömningen av den genetiskt modifierade sojabönan DBN9004 (ansökan EFSA-GMO-BE-2019-165)’, </w:t>
      </w:r>
      <w:r w:rsidRPr="00CB35D2">
        <w:rPr>
          <w:i/>
          <w:sz w:val="24"/>
          <w:lang w:val="sv-SE"/>
        </w:rPr>
        <w:t>EFSA Journal</w:t>
      </w:r>
      <w:r w:rsidRPr="00CB35D2">
        <w:rPr>
          <w:sz w:val="24"/>
          <w:lang w:val="sv-SE"/>
        </w:rPr>
        <w:t xml:space="preserve"> 2025, 23(7):e9503, </w:t>
      </w:r>
      <w:hyperlink r:id="rId3" w:history="1">
        <w:r w:rsidRPr="00CB35D2">
          <w:rPr>
            <w:rStyle w:val="Hyperlink"/>
            <w:sz w:val="24"/>
            <w:lang w:val="sv-SE"/>
          </w:rPr>
          <w:t>https://doi.org/10.2903/j.efsa.2025.9503</w:t>
        </w:r>
      </w:hyperlink>
      <w:r w:rsidRPr="00CB35D2">
        <w:rPr>
          <w:sz w:val="24"/>
          <w:lang w:val="sv-SE"/>
        </w:rPr>
        <w:t xml:space="preserve">. </w:t>
      </w:r>
    </w:p>
  </w:footnote>
  <w:footnote w:id="4">
    <w:p w14:paraId="394A1A3E" w14:textId="358676E4" w:rsidR="00680F79" w:rsidRPr="00CB35D2" w:rsidRDefault="00680F79" w:rsidP="00CB35D2">
      <w:pPr>
        <w:pStyle w:val="FootnoteText"/>
        <w:ind w:left="567" w:hanging="567"/>
        <w:rPr>
          <w:sz w:val="24"/>
          <w:vertAlign w:val="superscript"/>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4FFB552F" w14:textId="7F982979" w:rsidR="00680F79" w:rsidRPr="00CB35D2" w:rsidRDefault="00CB35D2" w:rsidP="00301905">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/C/2025/1797/oj</w:t>
        </w:r>
      </w:hyperlink>
      <w:r w:rsidR="00680F79" w:rsidRPr="00CB35D2">
        <w:rPr>
          <w:sz w:val="24"/>
          <w:lang w:val="sv-SE"/>
        </w:rPr>
        <w:t>).</w:t>
      </w:r>
    </w:p>
    <w:p w14:paraId="77FFC769" w14:textId="44709CC1" w:rsidR="00680F79" w:rsidRPr="00CB35D2" w:rsidRDefault="00CB35D2" w:rsidP="00CB35D2">
      <w:pPr>
        <w:pStyle w:val="FootnoteText"/>
        <w:keepN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/C/2025/1798/oj</w:t>
        </w:r>
      </w:hyperlink>
      <w:r w:rsidR="00680F79" w:rsidRPr="00CB35D2">
        <w:rPr>
          <w:sz w:val="24"/>
          <w:lang w:val="sv-SE"/>
        </w:rPr>
        <w:t>).</w:t>
      </w:r>
    </w:p>
    <w:p w14:paraId="2A91F118" w14:textId="2F3A7001"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/C/2025/1799/oj</w:t>
        </w:r>
      </w:hyperlink>
      <w:r w:rsidR="00680F79" w:rsidRPr="00CB35D2">
        <w:rPr>
          <w:sz w:val="24"/>
          <w:lang w:val="sv-SE"/>
        </w:rPr>
        <w:t>).</w:t>
      </w:r>
    </w:p>
    <w:p w14:paraId="3BDAF990" w14:textId="6FE7B2AC"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/C/2025/1800/oj</w:t>
        </w:r>
      </w:hyperlink>
      <w:r w:rsidR="00680F79" w:rsidRPr="00CB35D2">
        <w:rPr>
          <w:sz w:val="24"/>
          <w:lang w:val="sv-SE"/>
        </w:rPr>
        <w:t>).</w:t>
      </w:r>
    </w:p>
    <w:p w14:paraId="5AA4ECF7" w14:textId="26BE684C"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/C/2025/1801/oj</w:t>
        </w:r>
      </w:hyperlink>
      <w:r w:rsidR="00680F79" w:rsidRPr="00CB35D2">
        <w:rPr>
          <w:sz w:val="24"/>
          <w:lang w:val="sv-SE"/>
        </w:rPr>
        <w:t>).</w:t>
      </w:r>
    </w:p>
    <w:p w14:paraId="0423AFE7" w14:textId="71B3F02B"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/C/2025/1802/oj</w:t>
        </w:r>
      </w:hyperlink>
      <w:r w:rsidR="00680F79" w:rsidRPr="00CB35D2">
        <w:rPr>
          <w:sz w:val="24"/>
          <w:lang w:val="sv-SE"/>
        </w:rPr>
        <w:t>).</w:t>
      </w:r>
    </w:p>
    <w:p w14:paraId="681FE12B" w14:textId="1F11832E"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/C/2025/1803/oj</w:t>
        </w:r>
      </w:hyperlink>
      <w:r w:rsidR="00680F79" w:rsidRPr="00CB35D2">
        <w:rPr>
          <w:sz w:val="24"/>
          <w:lang w:val="sv-SE"/>
        </w:rPr>
        <w:t>).</w:t>
      </w:r>
    </w:p>
    <w:p w14:paraId="2A0E2DED" w14:textId="7DE2425D"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/C/2025/1804/oj</w:t>
        </w:r>
      </w:hyperlink>
      <w:r w:rsidR="00680F79" w:rsidRPr="00CB35D2">
        <w:rPr>
          <w:sz w:val="24"/>
          <w:lang w:val="sv-SE"/>
        </w:rPr>
        <w:t>).</w:t>
      </w:r>
    </w:p>
    <w:p w14:paraId="7D04A7DF" w14:textId="6C18F500"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adress."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/C/2025/2246/oj</w:t>
        </w:r>
      </w:hyperlink>
      <w:r w:rsidR="00680F79" w:rsidRPr="00CB35D2">
        <w:rPr>
          <w:sz w:val="24"/>
          <w:lang w:val="sv-SE"/>
        </w:rPr>
        <w:t>).</w:t>
      </w:r>
    </w:p>
    <w:p w14:paraId="36A920DB" w14:textId="147BEDB9"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history="1">
        <w:r w:rsidR="00680F79" w:rsidRPr="00CB35D2">
          <w:rPr>
            <w:rStyle w:val="Hyperlink"/>
            <w:sz w:val="24"/>
            <w:lang w:val="sv-SE"/>
          </w:rPr>
          <w:t>http://data.europa.eu/</w:t>
        </w:r>
        <w:proofErr w:type="spellStart"/>
        <w:r w:rsidR="00680F79" w:rsidRPr="00CB35D2">
          <w:rPr>
            <w:rStyle w:val="Hyperlink"/>
            <w:sz w:val="24"/>
            <w:lang w:val="sv-SE"/>
          </w:rPr>
          <w:t>eli</w:t>
        </w:r>
        <w:proofErr w:type="spellEnd"/>
        <w:r w:rsidR="00680F79" w:rsidRPr="00CB35D2">
          <w:rPr>
            <w:rStyle w:val="Hyperlink"/>
            <w:sz w:val="24"/>
            <w:lang w:val="sv-SE"/>
          </w:rPr>
          <w:t>/C/2025/2247/oj</w:t>
        </w:r>
      </w:hyperlink>
      <w:r w:rsidR="00680F79" w:rsidRPr="00CB35D2">
        <w:rPr>
          <w:sz w:val="24"/>
          <w:lang w:val="sv-SE"/>
        </w:rPr>
        <w:t>).</w:t>
      </w:r>
    </w:p>
    <w:p w14:paraId="115E3B5E" w14:textId="4E28095F"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w:t>
      </w:r>
      <w:r w:rsidR="00075B23" w:rsidRPr="00075B23">
        <w:rPr>
          <w:sz w:val="24"/>
          <w:lang w:val="sv-SE"/>
        </w:rPr>
        <w:t xml:space="preserve">Antagna texter, </w:t>
      </w:r>
      <w:r w:rsidR="00680F79" w:rsidRPr="00CB35D2">
        <w:rPr>
          <w:sz w:val="24"/>
          <w:lang w:val="sv-SE"/>
        </w:rPr>
        <w:t>P10_TA(2025)0106).</w:t>
      </w:r>
    </w:p>
    <w:p w14:paraId="67183566" w14:textId="6FD1E374"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w:t>
      </w:r>
      <w:r w:rsidR="00075B23" w:rsidRPr="00075B23">
        <w:rPr>
          <w:sz w:val="24"/>
          <w:lang w:val="sv-SE"/>
        </w:rPr>
        <w:t xml:space="preserve">Antagna texter, </w:t>
      </w:r>
      <w:r w:rsidR="00680F79" w:rsidRPr="00CB35D2">
        <w:rPr>
          <w:sz w:val="24"/>
          <w:lang w:val="sv-SE"/>
        </w:rPr>
        <w:t>P10_TA(2025)0222).</w:t>
      </w:r>
    </w:p>
    <w:p w14:paraId="26C5895C" w14:textId="0A6D3A1F"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w:t>
      </w:r>
      <w:r w:rsidR="00075B23" w:rsidRPr="00075B23">
        <w:rPr>
          <w:sz w:val="24"/>
          <w:lang w:val="sv-SE"/>
        </w:rPr>
        <w:t xml:space="preserve">Antagna texter, </w:t>
      </w:r>
      <w:r w:rsidR="00680F79" w:rsidRPr="00CB35D2">
        <w:rPr>
          <w:sz w:val="24"/>
          <w:lang w:val="sv-SE"/>
        </w:rPr>
        <w:t>P10_TA(2025)0288).</w:t>
      </w:r>
    </w:p>
    <w:p w14:paraId="03335934" w14:textId="2F1E6836"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w:t>
      </w:r>
      <w:r w:rsidR="00075B23" w:rsidRPr="00075B23">
        <w:rPr>
          <w:sz w:val="24"/>
          <w:lang w:val="sv-SE"/>
        </w:rPr>
        <w:t xml:space="preserve">Antagna texter, </w:t>
      </w:r>
      <w:r w:rsidR="00680F79" w:rsidRPr="00CB35D2">
        <w:rPr>
          <w:sz w:val="24"/>
          <w:lang w:val="sv-SE"/>
        </w:rPr>
        <w:t>P10_TA(2025)0289).</w:t>
      </w:r>
    </w:p>
    <w:p w14:paraId="63F1DE01" w14:textId="454459AF"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w:t>
      </w:r>
      <w:r w:rsidR="00075B23" w:rsidRPr="00075B23">
        <w:rPr>
          <w:sz w:val="24"/>
          <w:lang w:val="sv-SE"/>
        </w:rPr>
        <w:t xml:space="preserve">Antagna texter, </w:t>
      </w:r>
      <w:r w:rsidR="00680F79" w:rsidRPr="00CB35D2">
        <w:rPr>
          <w:sz w:val="24"/>
          <w:lang w:val="sv-SE"/>
        </w:rPr>
        <w:t>P10_TA(2025)0290).</w:t>
      </w:r>
    </w:p>
    <w:p w14:paraId="50DEBC75" w14:textId="2F6BE177"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w:t>
      </w:r>
      <w:r w:rsidR="00075B23" w:rsidRPr="00075B23">
        <w:rPr>
          <w:sz w:val="24"/>
          <w:lang w:val="sv-SE"/>
        </w:rPr>
        <w:t xml:space="preserve">Antagna texter, </w:t>
      </w:r>
      <w:r w:rsidR="00680F79" w:rsidRPr="00CB35D2">
        <w:rPr>
          <w:sz w:val="24"/>
          <w:lang w:val="sv-SE"/>
        </w:rPr>
        <w:t>P10_TA(2025)0291).</w:t>
      </w:r>
    </w:p>
    <w:p w14:paraId="0BF0BB29" w14:textId="2636943F"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w:t>
      </w:r>
      <w:r w:rsidR="00075B23" w:rsidRPr="00075B23">
        <w:rPr>
          <w:sz w:val="24"/>
          <w:lang w:val="sv-SE"/>
        </w:rPr>
        <w:t xml:space="preserve">Antagna texter, </w:t>
      </w:r>
      <w:r w:rsidR="00680F79" w:rsidRPr="00CB35D2">
        <w:rPr>
          <w:sz w:val="24"/>
          <w:lang w:val="sv-SE"/>
        </w:rPr>
        <w:t>P10_TA(2025)0292).</w:t>
      </w:r>
    </w:p>
    <w:p w14:paraId="2D48C187" w14:textId="056562E4" w:rsidR="00680F79" w:rsidRPr="00CB35D2" w:rsidRDefault="00CB35D2" w:rsidP="00CB35D2">
      <w:pPr>
        <w:pStyle w:val="FootnoteText"/>
        <w:ind w:left="567" w:hanging="567"/>
        <w:rPr>
          <w:sz w:val="24"/>
          <w:vertAlign w:val="superscript"/>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w:t>
      </w:r>
      <w:r w:rsidR="00075B23" w:rsidRPr="00075B23">
        <w:rPr>
          <w:sz w:val="24"/>
          <w:lang w:val="sv-SE"/>
        </w:rPr>
        <w:t xml:space="preserve">Antagna texter, </w:t>
      </w:r>
      <w:r w:rsidR="00680F79" w:rsidRPr="00CB35D2">
        <w:rPr>
          <w:sz w:val="24"/>
          <w:lang w:val="sv-SE"/>
        </w:rPr>
        <w:t>P10_TA(2025)0327).</w:t>
      </w:r>
    </w:p>
    <w:p w14:paraId="5B352345" w14:textId="3DC41CD1" w:rsidR="00680F79" w:rsidRPr="00CB35D2" w:rsidRDefault="00CB35D2" w:rsidP="00CB35D2">
      <w:pPr>
        <w:pStyle w:val="FootnoteText"/>
        <w:ind w:left="567" w:hanging="567"/>
        <w:rPr>
          <w:sz w:val="24"/>
          <w:lang w:val="sv-SE"/>
        </w:rPr>
      </w:pPr>
      <w:r w:rsidRPr="00CB35D2">
        <w:rPr>
          <w:sz w:val="24"/>
          <w:lang w:val="sv-SE"/>
        </w:rPr>
        <w:t xml:space="preserve"> </w:t>
      </w:r>
      <w:r w:rsidRPr="00CB35D2">
        <w:rPr>
          <w:sz w:val="24"/>
          <w:lang w:val="sv-SE"/>
        </w:rPr>
        <w:tab/>
      </w:r>
      <w:r w:rsidR="00680F79" w:rsidRPr="00CB35D2">
        <w:rPr>
          <w:sz w:val="24"/>
          <w:lang w:val="sv-SE"/>
        </w:rPr>
        <w:t>– 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w:t>
      </w:r>
      <w:r w:rsidR="00075B23" w:rsidRPr="00075B23">
        <w:rPr>
          <w:sz w:val="24"/>
          <w:lang w:val="sv-SE"/>
        </w:rPr>
        <w:t xml:space="preserve">Antagna texter, </w:t>
      </w:r>
      <w:r w:rsidR="00680F79" w:rsidRPr="00CB35D2">
        <w:rPr>
          <w:sz w:val="24"/>
          <w:lang w:val="sv-SE"/>
        </w:rPr>
        <w:t>P10_TA(2025)0328).</w:t>
      </w:r>
    </w:p>
  </w:footnote>
  <w:footnote w:id="5">
    <w:p w14:paraId="2096F5FF" w14:textId="7E7829FA"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shd w:val="clear" w:color="auto" w:fill="FFFFFF"/>
          <w:lang w:val="sv-SE"/>
        </w:rPr>
        <w:t xml:space="preserve"> </w:t>
      </w:r>
      <w:r w:rsidR="00CB35D2" w:rsidRPr="00CB35D2">
        <w:rPr>
          <w:sz w:val="24"/>
          <w:shd w:val="clear" w:color="auto" w:fill="FFFFFF"/>
          <w:lang w:val="sv-SE"/>
        </w:rPr>
        <w:tab/>
      </w:r>
      <w:r w:rsidRPr="00CB35D2">
        <w:rPr>
          <w:sz w:val="24"/>
          <w:shd w:val="clear" w:color="auto" w:fill="FFFFFF"/>
          <w:lang w:val="sv-SE"/>
        </w:rPr>
        <w:t>Se t.ex. Bonny, S., ”</w:t>
      </w:r>
      <w:proofErr w:type="spellStart"/>
      <w:r w:rsidRPr="00CB35D2">
        <w:rPr>
          <w:sz w:val="24"/>
          <w:shd w:val="clear" w:color="auto" w:fill="FFFFFF"/>
          <w:lang w:val="sv-SE"/>
        </w:rPr>
        <w:t>Genetically</w:t>
      </w:r>
      <w:proofErr w:type="spellEnd"/>
      <w:r w:rsidRPr="00CB35D2">
        <w:rPr>
          <w:sz w:val="24"/>
          <w:shd w:val="clear" w:color="auto" w:fill="FFFFFF"/>
          <w:lang w:val="sv-SE"/>
        </w:rPr>
        <w:t xml:space="preserve"> </w:t>
      </w:r>
      <w:proofErr w:type="spellStart"/>
      <w:r w:rsidRPr="00CB35D2">
        <w:rPr>
          <w:sz w:val="24"/>
          <w:shd w:val="clear" w:color="auto" w:fill="FFFFFF"/>
          <w:lang w:val="sv-SE"/>
        </w:rPr>
        <w:t>Modified</w:t>
      </w:r>
      <w:proofErr w:type="spellEnd"/>
      <w:r w:rsidRPr="00CB35D2">
        <w:rPr>
          <w:sz w:val="24"/>
          <w:shd w:val="clear" w:color="auto" w:fill="FFFFFF"/>
          <w:lang w:val="sv-SE"/>
        </w:rPr>
        <w:t xml:space="preserve"> </w:t>
      </w:r>
      <w:proofErr w:type="spellStart"/>
      <w:r w:rsidRPr="00CB35D2">
        <w:rPr>
          <w:sz w:val="24"/>
          <w:shd w:val="clear" w:color="auto" w:fill="FFFFFF"/>
          <w:lang w:val="sv-SE"/>
        </w:rPr>
        <w:t>Herbicide</w:t>
      </w:r>
      <w:proofErr w:type="spellEnd"/>
      <w:r w:rsidRPr="00CB35D2">
        <w:rPr>
          <w:sz w:val="24"/>
          <w:shd w:val="clear" w:color="auto" w:fill="FFFFFF"/>
          <w:lang w:val="sv-SE"/>
        </w:rPr>
        <w:t xml:space="preserve">-Tolerant </w:t>
      </w:r>
      <w:proofErr w:type="spellStart"/>
      <w:r w:rsidRPr="00CB35D2">
        <w:rPr>
          <w:sz w:val="24"/>
          <w:shd w:val="clear" w:color="auto" w:fill="FFFFFF"/>
          <w:lang w:val="sv-SE"/>
        </w:rPr>
        <w:t>Crops</w:t>
      </w:r>
      <w:proofErr w:type="spellEnd"/>
      <w:r w:rsidRPr="00CB35D2">
        <w:rPr>
          <w:sz w:val="24"/>
          <w:shd w:val="clear" w:color="auto" w:fill="FFFFFF"/>
          <w:lang w:val="sv-SE"/>
        </w:rPr>
        <w:t xml:space="preserve">, </w:t>
      </w:r>
      <w:proofErr w:type="spellStart"/>
      <w:r w:rsidRPr="00CB35D2">
        <w:rPr>
          <w:sz w:val="24"/>
          <w:shd w:val="clear" w:color="auto" w:fill="FFFFFF"/>
          <w:lang w:val="sv-SE"/>
        </w:rPr>
        <w:t>Weeds</w:t>
      </w:r>
      <w:proofErr w:type="spellEnd"/>
      <w:r w:rsidRPr="00CB35D2">
        <w:rPr>
          <w:sz w:val="24"/>
          <w:shd w:val="clear" w:color="auto" w:fill="FFFFFF"/>
          <w:lang w:val="sv-SE"/>
        </w:rPr>
        <w:t xml:space="preserve">, and </w:t>
      </w:r>
      <w:proofErr w:type="spellStart"/>
      <w:r w:rsidRPr="00CB35D2">
        <w:rPr>
          <w:sz w:val="24"/>
          <w:shd w:val="clear" w:color="auto" w:fill="FFFFFF"/>
          <w:lang w:val="sv-SE"/>
        </w:rPr>
        <w:t>Herbicides</w:t>
      </w:r>
      <w:proofErr w:type="spellEnd"/>
      <w:r w:rsidRPr="00CB35D2">
        <w:rPr>
          <w:sz w:val="24"/>
          <w:shd w:val="clear" w:color="auto" w:fill="FFFFFF"/>
          <w:lang w:val="sv-SE"/>
        </w:rPr>
        <w:t xml:space="preserve">: </w:t>
      </w:r>
      <w:proofErr w:type="spellStart"/>
      <w:r w:rsidRPr="00CB35D2">
        <w:rPr>
          <w:sz w:val="24"/>
          <w:shd w:val="clear" w:color="auto" w:fill="FFFFFF"/>
          <w:lang w:val="sv-SE"/>
        </w:rPr>
        <w:t>Overview</w:t>
      </w:r>
      <w:proofErr w:type="spellEnd"/>
      <w:r w:rsidRPr="00CB35D2">
        <w:rPr>
          <w:sz w:val="24"/>
          <w:shd w:val="clear" w:color="auto" w:fill="FFFFFF"/>
          <w:lang w:val="sv-SE"/>
        </w:rPr>
        <w:t xml:space="preserve"> and </w:t>
      </w:r>
      <w:proofErr w:type="spellStart"/>
      <w:r w:rsidRPr="00CB35D2">
        <w:rPr>
          <w:sz w:val="24"/>
          <w:shd w:val="clear" w:color="auto" w:fill="FFFFFF"/>
          <w:lang w:val="sv-SE"/>
        </w:rPr>
        <w:t>Impact</w:t>
      </w:r>
      <w:proofErr w:type="spellEnd"/>
      <w:r w:rsidRPr="00CB35D2">
        <w:rPr>
          <w:sz w:val="24"/>
          <w:shd w:val="clear" w:color="auto" w:fill="FFFFFF"/>
          <w:lang w:val="sv-SE"/>
        </w:rPr>
        <w:t xml:space="preserve">”, </w:t>
      </w:r>
      <w:proofErr w:type="spellStart"/>
      <w:r w:rsidRPr="00CB35D2">
        <w:rPr>
          <w:i/>
          <w:sz w:val="24"/>
          <w:shd w:val="clear" w:color="auto" w:fill="FFFFFF"/>
          <w:lang w:val="sv-SE"/>
        </w:rPr>
        <w:t>Environmental</w:t>
      </w:r>
      <w:proofErr w:type="spellEnd"/>
      <w:r w:rsidRPr="00CB35D2">
        <w:rPr>
          <w:i/>
          <w:sz w:val="24"/>
          <w:shd w:val="clear" w:color="auto" w:fill="FFFFFF"/>
          <w:lang w:val="sv-SE"/>
        </w:rPr>
        <w:t xml:space="preserve"> Management</w:t>
      </w:r>
      <w:r w:rsidRPr="00CB35D2">
        <w:rPr>
          <w:sz w:val="24"/>
          <w:shd w:val="clear" w:color="auto" w:fill="FFFFFF"/>
          <w:lang w:val="sv-SE"/>
        </w:rPr>
        <w:t xml:space="preserve">, januari 2016, 57(1), s. 31–48, </w:t>
      </w:r>
      <w:hyperlink r:id="rId14" w:history="1">
        <w:r w:rsidRPr="00CB35D2">
          <w:rPr>
            <w:rStyle w:val="Hyperlink"/>
            <w:sz w:val="24"/>
            <w:shd w:val="clear" w:color="auto" w:fill="FFFFFF"/>
            <w:lang w:val="sv-SE"/>
          </w:rPr>
          <w:t>https://doi.org/10.1007/s00267-015-0589-7</w:t>
        </w:r>
      </w:hyperlink>
      <w:r w:rsidRPr="00CB35D2">
        <w:rPr>
          <w:sz w:val="24"/>
          <w:shd w:val="clear" w:color="auto" w:fill="FFFFFF"/>
          <w:lang w:val="sv-SE"/>
        </w:rPr>
        <w:t xml:space="preserve"> och </w:t>
      </w:r>
      <w:proofErr w:type="spellStart"/>
      <w:r w:rsidRPr="00CB35D2">
        <w:rPr>
          <w:sz w:val="24"/>
          <w:shd w:val="clear" w:color="auto" w:fill="FFFFFF"/>
          <w:lang w:val="sv-SE"/>
        </w:rPr>
        <w:t>Benbrook</w:t>
      </w:r>
      <w:proofErr w:type="spellEnd"/>
      <w:r w:rsidRPr="00CB35D2">
        <w:rPr>
          <w:sz w:val="24"/>
          <w:shd w:val="clear" w:color="auto" w:fill="FFFFFF"/>
          <w:lang w:val="sv-SE"/>
        </w:rPr>
        <w:t>, C.M., ”</w:t>
      </w:r>
      <w:proofErr w:type="spellStart"/>
      <w:r w:rsidRPr="00CB35D2">
        <w:rPr>
          <w:sz w:val="24"/>
          <w:shd w:val="clear" w:color="auto" w:fill="FFFFFF"/>
          <w:lang w:val="sv-SE"/>
        </w:rPr>
        <w:t>Impacts</w:t>
      </w:r>
      <w:proofErr w:type="spellEnd"/>
      <w:r w:rsidRPr="00CB35D2">
        <w:rPr>
          <w:sz w:val="24"/>
          <w:shd w:val="clear" w:color="auto" w:fill="FFFFFF"/>
          <w:lang w:val="sv-SE"/>
        </w:rPr>
        <w:t xml:space="preserve"> </w:t>
      </w:r>
      <w:proofErr w:type="spellStart"/>
      <w:r w:rsidRPr="00CB35D2">
        <w:rPr>
          <w:sz w:val="24"/>
          <w:shd w:val="clear" w:color="auto" w:fill="FFFFFF"/>
          <w:lang w:val="sv-SE"/>
        </w:rPr>
        <w:t>of</w:t>
      </w:r>
      <w:proofErr w:type="spellEnd"/>
      <w:r w:rsidRPr="00CB35D2">
        <w:rPr>
          <w:sz w:val="24"/>
          <w:shd w:val="clear" w:color="auto" w:fill="FFFFFF"/>
          <w:lang w:val="sv-SE"/>
        </w:rPr>
        <w:t xml:space="preserve"> </w:t>
      </w:r>
      <w:proofErr w:type="spellStart"/>
      <w:r w:rsidRPr="00CB35D2">
        <w:rPr>
          <w:sz w:val="24"/>
          <w:shd w:val="clear" w:color="auto" w:fill="FFFFFF"/>
          <w:lang w:val="sv-SE"/>
        </w:rPr>
        <w:t>genetically</w:t>
      </w:r>
      <w:proofErr w:type="spellEnd"/>
      <w:r w:rsidRPr="00CB35D2">
        <w:rPr>
          <w:sz w:val="24"/>
          <w:shd w:val="clear" w:color="auto" w:fill="FFFFFF"/>
          <w:lang w:val="sv-SE"/>
        </w:rPr>
        <w:t xml:space="preserve"> </w:t>
      </w:r>
      <w:proofErr w:type="spellStart"/>
      <w:r w:rsidRPr="00CB35D2">
        <w:rPr>
          <w:sz w:val="24"/>
          <w:shd w:val="clear" w:color="auto" w:fill="FFFFFF"/>
          <w:lang w:val="sv-SE"/>
        </w:rPr>
        <w:t>engineered</w:t>
      </w:r>
      <w:proofErr w:type="spellEnd"/>
      <w:r w:rsidRPr="00CB35D2">
        <w:rPr>
          <w:sz w:val="24"/>
          <w:shd w:val="clear" w:color="auto" w:fill="FFFFFF"/>
          <w:lang w:val="sv-SE"/>
        </w:rPr>
        <w:t xml:space="preserve"> </w:t>
      </w:r>
      <w:proofErr w:type="spellStart"/>
      <w:r w:rsidRPr="00CB35D2">
        <w:rPr>
          <w:sz w:val="24"/>
          <w:shd w:val="clear" w:color="auto" w:fill="FFFFFF"/>
          <w:lang w:val="sv-SE"/>
        </w:rPr>
        <w:t>crops</w:t>
      </w:r>
      <w:proofErr w:type="spellEnd"/>
      <w:r w:rsidRPr="00CB35D2">
        <w:rPr>
          <w:sz w:val="24"/>
          <w:shd w:val="clear" w:color="auto" w:fill="FFFFFF"/>
          <w:lang w:val="sv-SE"/>
        </w:rPr>
        <w:t xml:space="preserve"> on </w:t>
      </w:r>
      <w:proofErr w:type="spellStart"/>
      <w:r w:rsidRPr="00CB35D2">
        <w:rPr>
          <w:sz w:val="24"/>
          <w:shd w:val="clear" w:color="auto" w:fill="FFFFFF"/>
          <w:lang w:val="sv-SE"/>
        </w:rPr>
        <w:t>pesticide</w:t>
      </w:r>
      <w:proofErr w:type="spellEnd"/>
      <w:r w:rsidRPr="00CB35D2">
        <w:rPr>
          <w:sz w:val="24"/>
          <w:shd w:val="clear" w:color="auto" w:fill="FFFFFF"/>
          <w:lang w:val="sv-SE"/>
        </w:rPr>
        <w:t xml:space="preserve"> </w:t>
      </w:r>
      <w:proofErr w:type="spellStart"/>
      <w:r w:rsidRPr="00CB35D2">
        <w:rPr>
          <w:sz w:val="24"/>
          <w:shd w:val="clear" w:color="auto" w:fill="FFFFFF"/>
          <w:lang w:val="sv-SE"/>
        </w:rPr>
        <w:t>use</w:t>
      </w:r>
      <w:proofErr w:type="spellEnd"/>
      <w:r w:rsidRPr="00CB35D2">
        <w:rPr>
          <w:sz w:val="24"/>
          <w:shd w:val="clear" w:color="auto" w:fill="FFFFFF"/>
          <w:lang w:val="sv-SE"/>
        </w:rPr>
        <w:t xml:space="preserve"> in the U.S. – the </w:t>
      </w:r>
      <w:proofErr w:type="spellStart"/>
      <w:r w:rsidRPr="00CB35D2">
        <w:rPr>
          <w:sz w:val="24"/>
          <w:shd w:val="clear" w:color="auto" w:fill="FFFFFF"/>
          <w:lang w:val="sv-SE"/>
        </w:rPr>
        <w:t>first</w:t>
      </w:r>
      <w:proofErr w:type="spellEnd"/>
      <w:r w:rsidRPr="00CB35D2">
        <w:rPr>
          <w:sz w:val="24"/>
          <w:shd w:val="clear" w:color="auto" w:fill="FFFFFF"/>
          <w:lang w:val="sv-SE"/>
        </w:rPr>
        <w:t xml:space="preserve"> </w:t>
      </w:r>
      <w:proofErr w:type="spellStart"/>
      <w:r w:rsidRPr="00CB35D2">
        <w:rPr>
          <w:sz w:val="24"/>
          <w:shd w:val="clear" w:color="auto" w:fill="FFFFFF"/>
          <w:lang w:val="sv-SE"/>
        </w:rPr>
        <w:t>sixteen</w:t>
      </w:r>
      <w:proofErr w:type="spellEnd"/>
      <w:r w:rsidRPr="00CB35D2">
        <w:rPr>
          <w:sz w:val="24"/>
          <w:shd w:val="clear" w:color="auto" w:fill="FFFFFF"/>
          <w:lang w:val="sv-SE"/>
        </w:rPr>
        <w:t xml:space="preserve"> </w:t>
      </w:r>
      <w:proofErr w:type="spellStart"/>
      <w:r w:rsidRPr="00CB35D2">
        <w:rPr>
          <w:sz w:val="24"/>
          <w:shd w:val="clear" w:color="auto" w:fill="FFFFFF"/>
          <w:lang w:val="sv-SE"/>
        </w:rPr>
        <w:t>years</w:t>
      </w:r>
      <w:proofErr w:type="spellEnd"/>
      <w:r w:rsidRPr="00CB35D2">
        <w:rPr>
          <w:sz w:val="24"/>
          <w:shd w:val="clear" w:color="auto" w:fill="FFFFFF"/>
          <w:lang w:val="sv-SE"/>
        </w:rPr>
        <w:t xml:space="preserve">”, </w:t>
      </w:r>
      <w:proofErr w:type="spellStart"/>
      <w:r w:rsidRPr="00CB35D2">
        <w:rPr>
          <w:i/>
          <w:sz w:val="24"/>
          <w:shd w:val="clear" w:color="auto" w:fill="FFFFFF"/>
          <w:lang w:val="sv-SE"/>
        </w:rPr>
        <w:t>Environmental</w:t>
      </w:r>
      <w:proofErr w:type="spellEnd"/>
      <w:r w:rsidRPr="00CB35D2">
        <w:rPr>
          <w:i/>
          <w:sz w:val="24"/>
          <w:shd w:val="clear" w:color="auto" w:fill="FFFFFF"/>
          <w:lang w:val="sv-SE"/>
        </w:rPr>
        <w:t xml:space="preserve"> Sciences </w:t>
      </w:r>
      <w:proofErr w:type="spellStart"/>
      <w:r w:rsidRPr="00CB35D2">
        <w:rPr>
          <w:i/>
          <w:sz w:val="24"/>
          <w:shd w:val="clear" w:color="auto" w:fill="FFFFFF"/>
          <w:lang w:val="sv-SE"/>
        </w:rPr>
        <w:t>Europe</w:t>
      </w:r>
      <w:proofErr w:type="spellEnd"/>
      <w:r w:rsidRPr="00CB35D2">
        <w:rPr>
          <w:sz w:val="24"/>
          <w:shd w:val="clear" w:color="auto" w:fill="FFFFFF"/>
          <w:lang w:val="sv-SE"/>
        </w:rPr>
        <w:t xml:space="preserve">, 28 september 2012, volym 24(1), </w:t>
      </w:r>
      <w:hyperlink r:id="rId15" w:history="1">
        <w:r w:rsidRPr="00CB35D2">
          <w:rPr>
            <w:rStyle w:val="Hyperlink"/>
            <w:sz w:val="24"/>
            <w:lang w:val="sv-SE"/>
          </w:rPr>
          <w:t>https://doi.org/10.1186/2190-4715-24-24</w:t>
        </w:r>
      </w:hyperlink>
      <w:r w:rsidRPr="00CB35D2">
        <w:rPr>
          <w:sz w:val="24"/>
          <w:lang w:val="sv-SE"/>
        </w:rPr>
        <w:t>.</w:t>
      </w:r>
      <w:r w:rsidRPr="00CB35D2">
        <w:rPr>
          <w:sz w:val="24"/>
          <w:shd w:val="clear" w:color="auto" w:fill="FFFFFF"/>
          <w:lang w:val="sv-SE"/>
        </w:rPr>
        <w:t xml:space="preserve"> </w:t>
      </w:r>
    </w:p>
  </w:footnote>
  <w:footnote w:id="6">
    <w:p w14:paraId="5A67E8A3" w14:textId="10826858" w:rsidR="00680F79" w:rsidRPr="00CB35D2" w:rsidRDefault="00680F79" w:rsidP="00CB35D2">
      <w:pPr>
        <w:pStyle w:val="FootnoteText"/>
        <w:ind w:left="567" w:hanging="567"/>
        <w:rPr>
          <w:sz w:val="24"/>
          <w:shd w:val="clear" w:color="auto" w:fill="FFFFFF"/>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 xml:space="preserve">Se exempelvis: </w:t>
      </w:r>
      <w:hyperlink r:id="rId16" w:history="1">
        <w:r w:rsidRPr="00CB35D2">
          <w:rPr>
            <w:rStyle w:val="Hyperlink"/>
            <w:sz w:val="24"/>
            <w:lang w:val="sv-SE"/>
          </w:rPr>
          <w:t>Https://doi.org/10.1002/ps.8105</w:t>
        </w:r>
      </w:hyperlink>
      <w:r w:rsidRPr="00CB35D2">
        <w:rPr>
          <w:sz w:val="24"/>
          <w:shd w:val="clear" w:color="auto" w:fill="FFFFFF"/>
          <w:lang w:val="sv-SE"/>
        </w:rPr>
        <w:t xml:space="preserve"> och </w:t>
      </w:r>
      <w:hyperlink r:id="rId17" w:history="1">
        <w:r w:rsidRPr="00CB35D2">
          <w:rPr>
            <w:rStyle w:val="Hyperlink"/>
            <w:sz w:val="24"/>
            <w:lang w:val="sv-SE"/>
          </w:rPr>
          <w:t>https://doi.org/10.1016/j.geoforum.2009.03.009</w:t>
        </w:r>
      </w:hyperlink>
      <w:r w:rsidRPr="00CB35D2">
        <w:rPr>
          <w:sz w:val="24"/>
          <w:lang w:val="sv-SE"/>
        </w:rPr>
        <w:t>.</w:t>
      </w:r>
    </w:p>
  </w:footnote>
  <w:footnote w:id="7">
    <w:p w14:paraId="5F54AD79" w14:textId="23798286"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Europaparlamentets och rådets förordning (EG) nr 1107/2009 av den 21 oktober 2009 om utsläppande av växtskyddsmedel på marknaden och om upphävande av rådets direktiv 79/117/EEG och 91/414/EEG (EUT L 309, 24.11.2009, s. 1, ELI: </w:t>
      </w:r>
      <w:hyperlink r:id="rId18" w:history="1">
        <w:r w:rsidRPr="00CB35D2">
          <w:rPr>
            <w:rStyle w:val="Hyperlink"/>
            <w:sz w:val="24"/>
            <w:lang w:val="sv-SE"/>
          </w:rPr>
          <w:t>http://data.europa.eu/</w:t>
        </w:r>
        <w:proofErr w:type="spellStart"/>
        <w:r w:rsidRPr="00CB35D2">
          <w:rPr>
            <w:rStyle w:val="Hyperlink"/>
            <w:sz w:val="24"/>
            <w:lang w:val="sv-SE"/>
          </w:rPr>
          <w:t>eli</w:t>
        </w:r>
        <w:proofErr w:type="spellEnd"/>
        <w:r w:rsidRPr="00CB35D2">
          <w:rPr>
            <w:rStyle w:val="Hyperlink"/>
            <w:sz w:val="24"/>
            <w:lang w:val="sv-SE"/>
          </w:rPr>
          <w:t>/</w:t>
        </w:r>
        <w:proofErr w:type="spellStart"/>
        <w:r w:rsidRPr="00CB35D2">
          <w:rPr>
            <w:rStyle w:val="Hyperlink"/>
            <w:sz w:val="24"/>
            <w:lang w:val="sv-SE"/>
          </w:rPr>
          <w:t>reg</w:t>
        </w:r>
        <w:proofErr w:type="spellEnd"/>
        <w:r w:rsidRPr="00CB35D2">
          <w:rPr>
            <w:rStyle w:val="Hyperlink"/>
            <w:sz w:val="24"/>
            <w:lang w:val="sv-SE"/>
          </w:rPr>
          <w:t>/2009/1107/oj</w:t>
        </w:r>
      </w:hyperlink>
      <w:r w:rsidRPr="00CB35D2">
        <w:rPr>
          <w:sz w:val="24"/>
          <w:lang w:val="sv-SE"/>
        </w:rPr>
        <w:t>).</w:t>
      </w:r>
    </w:p>
  </w:footnote>
  <w:footnote w:id="8">
    <w:p w14:paraId="4E8FE940" w14:textId="63A1AC75"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 xml:space="preserve">Se exempelvis: </w:t>
      </w:r>
      <w:hyperlink r:id="rId19" w:history="1">
        <w:r w:rsidRPr="00CB35D2">
          <w:rPr>
            <w:rStyle w:val="Hyperlink"/>
            <w:sz w:val="24"/>
            <w:lang w:val="sv-SE"/>
          </w:rPr>
          <w:t>https://doi.org/10.1016/j.mrrev.2019.02.001</w:t>
        </w:r>
      </w:hyperlink>
      <w:r w:rsidRPr="00CB35D2">
        <w:rPr>
          <w:sz w:val="24"/>
          <w:lang w:val="sv-SE"/>
        </w:rPr>
        <w:t xml:space="preserve">, </w:t>
      </w:r>
      <w:hyperlink r:id="rId20" w:history="1">
        <w:r w:rsidRPr="00CB35D2">
          <w:rPr>
            <w:rStyle w:val="Hyperlink"/>
            <w:sz w:val="24"/>
            <w:lang w:val="sv-SE"/>
          </w:rPr>
          <w:t>https://doi.org/10.1093/ije/dyz017</w:t>
        </w:r>
      </w:hyperlink>
      <w:r w:rsidRPr="00CB35D2">
        <w:rPr>
          <w:sz w:val="24"/>
          <w:lang w:val="sv-SE"/>
        </w:rPr>
        <w:t xml:space="preserve">, </w:t>
      </w:r>
      <w:hyperlink r:id="rId21" w:history="1">
        <w:r w:rsidRPr="00CB35D2">
          <w:rPr>
            <w:rStyle w:val="Hyperlink"/>
            <w:sz w:val="24"/>
            <w:lang w:val="sv-SE"/>
          </w:rPr>
          <w:t>https://doi.org/10.1371/journal.pone.0219610</w:t>
        </w:r>
      </w:hyperlink>
      <w:r w:rsidRPr="00CB35D2">
        <w:rPr>
          <w:sz w:val="24"/>
          <w:lang w:val="sv-SE"/>
        </w:rPr>
        <w:t xml:space="preserve"> och </w:t>
      </w:r>
      <w:hyperlink r:id="rId22" w:history="1">
        <w:r w:rsidRPr="00CB35D2">
          <w:rPr>
            <w:rStyle w:val="Hyperlink"/>
            <w:sz w:val="24"/>
            <w:lang w:val="sv-SE"/>
          </w:rPr>
          <w:t>https://doi.org/10.1186/s13045-019-0767-9</w:t>
        </w:r>
      </w:hyperlink>
      <w:r w:rsidRPr="00CB35D2">
        <w:rPr>
          <w:sz w:val="24"/>
          <w:lang w:val="sv-SE"/>
        </w:rPr>
        <w:t>.</w:t>
      </w:r>
    </w:p>
  </w:footnote>
  <w:footnote w:id="9">
    <w:p w14:paraId="01F4247B" w14:textId="63399504"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hyperlink r:id="rId23" w:history="1">
        <w:r w:rsidRPr="00CB35D2">
          <w:rPr>
            <w:rStyle w:val="Hyperlink"/>
            <w:sz w:val="24"/>
            <w:lang w:val="sv-SE"/>
          </w:rPr>
          <w:t>https://doi.org/10.1006/rtph.1999.1371</w:t>
        </w:r>
      </w:hyperlink>
      <w:r w:rsidRPr="00CB35D2">
        <w:rPr>
          <w:sz w:val="24"/>
          <w:lang w:val="sv-SE"/>
        </w:rPr>
        <w:t xml:space="preserve">. </w:t>
      </w:r>
    </w:p>
  </w:footnote>
  <w:footnote w:id="10">
    <w:p w14:paraId="0E282933" w14:textId="07407085"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Vid COP15 i december 2022 enades man om en global ram för biologisk mångfald inom ramen för FN:s konvention om biologisk mångfald, som innehåller ett globalt mål om att minska risken för bekämpningsmedel med minst 50 % fram till 2030 (se:</w:t>
      </w:r>
      <w:r w:rsidRPr="00CB35D2">
        <w:rPr>
          <w:color w:val="000000" w:themeColor="text1"/>
          <w:sz w:val="24"/>
          <w:lang w:val="sv-SE"/>
        </w:rPr>
        <w:t xml:space="preserve"> </w:t>
      </w:r>
      <w:hyperlink r:id="rId24" w:history="1">
        <w:r w:rsidRPr="00CB35D2">
          <w:rPr>
            <w:rStyle w:val="Hyperlink"/>
            <w:sz w:val="24"/>
            <w:lang w:val="sv-SE"/>
          </w:rPr>
          <w:t>https://ec.europa.eu/commission/presscorner/detail/sv/ip_22_7834</w:t>
        </w:r>
      </w:hyperlink>
      <w:r w:rsidRPr="00CB35D2">
        <w:rPr>
          <w:sz w:val="24"/>
          <w:lang w:val="sv-SE"/>
        </w:rPr>
        <w:t>).</w:t>
      </w:r>
    </w:p>
  </w:footnote>
  <w:footnote w:id="11">
    <w:p w14:paraId="35C14AF1" w14:textId="24950F01"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hyperlink r:id="rId25" w:history="1">
        <w:r w:rsidRPr="00CB35D2">
          <w:rPr>
            <w:rStyle w:val="Hyperlink"/>
            <w:sz w:val="24"/>
            <w:lang w:val="sv-SE"/>
          </w:rPr>
          <w:t>https://commission.europa.eu/strategy-and-policy/priorities-2019-2024/european-green-deal/agriculture-and-green-deal/strategic-dialogue-future-eu-agriculture_sv</w:t>
        </w:r>
      </w:hyperlink>
      <w:r w:rsidRPr="00CB35D2">
        <w:rPr>
          <w:rStyle w:val="Hyperlink"/>
          <w:sz w:val="24"/>
          <w:lang w:val="sv-SE"/>
        </w:rPr>
        <w:t>.</w:t>
      </w:r>
      <w:r w:rsidRPr="00CB35D2">
        <w:rPr>
          <w:sz w:val="24"/>
          <w:lang w:val="sv-SE"/>
        </w:rPr>
        <w:t xml:space="preserve"> </w:t>
      </w:r>
    </w:p>
  </w:footnote>
  <w:footnote w:id="12">
    <w:p w14:paraId="5364DFFC" w14:textId="4E65D78D" w:rsidR="00680F79" w:rsidRPr="00CB35D2" w:rsidRDefault="00680F79" w:rsidP="00CB35D2">
      <w:pPr>
        <w:pStyle w:val="FootnoteText"/>
        <w:ind w:left="567" w:hanging="567"/>
        <w:rPr>
          <w:sz w:val="24"/>
          <w:lang w:val="sv-SE"/>
        </w:rPr>
      </w:pPr>
      <w:r w:rsidRPr="00CB35D2">
        <w:rPr>
          <w:rStyle w:val="FootnoteReference"/>
          <w:sz w:val="24"/>
          <w:lang w:val="sv-SE"/>
        </w:rPr>
        <w:footnoteRef/>
      </w:r>
      <w:r w:rsidR="00CB35D2" w:rsidRPr="00CB35D2">
        <w:rPr>
          <w:sz w:val="24"/>
          <w:lang w:val="sv-SE"/>
        </w:rPr>
        <w:t xml:space="preserve"> </w:t>
      </w:r>
      <w:r w:rsidR="00CB35D2" w:rsidRPr="00CB35D2">
        <w:rPr>
          <w:sz w:val="24"/>
          <w:lang w:val="sv-SE"/>
        </w:rPr>
        <w:tab/>
      </w:r>
      <w:r w:rsidRPr="00CB35D2">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w:t>
      </w:r>
      <w:r w:rsidRPr="00CB35D2">
        <w:rPr>
          <w:color w:val="000000" w:themeColor="text1"/>
          <w:sz w:val="24"/>
          <w:lang w:val="sv-SE"/>
        </w:rPr>
        <w:t> </w:t>
      </w:r>
      <w:hyperlink r:id="rId26" w:tgtFrame="Gives access to this document through its ELI URI." w:history="1">
        <w:r w:rsidRPr="00CB35D2">
          <w:rPr>
            <w:rStyle w:val="Hyperlink"/>
            <w:color w:val="0070C0"/>
            <w:sz w:val="24"/>
            <w:lang w:val="sv-SE"/>
          </w:rPr>
          <w:t>http://data.europa.eu/</w:t>
        </w:r>
        <w:proofErr w:type="spellStart"/>
        <w:r w:rsidRPr="00CB35D2">
          <w:rPr>
            <w:rStyle w:val="Hyperlink"/>
            <w:color w:val="0070C0"/>
            <w:sz w:val="24"/>
            <w:lang w:val="sv-SE"/>
          </w:rPr>
          <w:t>eli</w:t>
        </w:r>
        <w:proofErr w:type="spellEnd"/>
        <w:r w:rsidRPr="00CB35D2">
          <w:rPr>
            <w:rStyle w:val="Hyperlink"/>
            <w:color w:val="0070C0"/>
            <w:sz w:val="24"/>
            <w:lang w:val="sv-SE"/>
          </w:rPr>
          <w:t>/</w:t>
        </w:r>
        <w:proofErr w:type="spellStart"/>
        <w:r w:rsidRPr="00CB35D2">
          <w:rPr>
            <w:rStyle w:val="Hyperlink"/>
            <w:color w:val="0070C0"/>
            <w:sz w:val="24"/>
            <w:lang w:val="sv-SE"/>
          </w:rPr>
          <w:t>reg</w:t>
        </w:r>
        <w:proofErr w:type="spellEnd"/>
        <w:r w:rsidRPr="00CB35D2">
          <w:rPr>
            <w:rStyle w:val="Hyperlink"/>
            <w:color w:val="0070C0"/>
            <w:sz w:val="24"/>
            <w:lang w:val="sv-SE"/>
          </w:rPr>
          <w:t>/2002/178/oj</w:t>
        </w:r>
      </w:hyperlink>
      <w:r w:rsidRPr="00CB35D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95288" w14:textId="77777777" w:rsidR="00064002" w:rsidRPr="00CB35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A8E2" w14:textId="77777777" w:rsidR="00064002" w:rsidRPr="00CB35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F533" w14:textId="77777777" w:rsidR="00064002" w:rsidRPr="00CB35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4369009">
    <w:abstractNumId w:val="9"/>
  </w:num>
  <w:num w:numId="2" w16cid:durableId="88549354">
    <w:abstractNumId w:val="9"/>
  </w:num>
  <w:num w:numId="3" w16cid:durableId="1759598919">
    <w:abstractNumId w:val="7"/>
  </w:num>
  <w:num w:numId="4" w16cid:durableId="196821789">
    <w:abstractNumId w:val="7"/>
  </w:num>
  <w:num w:numId="5" w16cid:durableId="892621951">
    <w:abstractNumId w:val="6"/>
  </w:num>
  <w:num w:numId="6" w16cid:durableId="341932185">
    <w:abstractNumId w:val="6"/>
  </w:num>
  <w:num w:numId="7" w16cid:durableId="1443454526">
    <w:abstractNumId w:val="5"/>
  </w:num>
  <w:num w:numId="8" w16cid:durableId="1679649313">
    <w:abstractNumId w:val="5"/>
  </w:num>
  <w:num w:numId="9" w16cid:durableId="88082260">
    <w:abstractNumId w:val="4"/>
  </w:num>
  <w:num w:numId="10" w16cid:durableId="1759131464">
    <w:abstractNumId w:val="4"/>
  </w:num>
  <w:num w:numId="11" w16cid:durableId="1541046082">
    <w:abstractNumId w:val="8"/>
  </w:num>
  <w:num w:numId="12" w16cid:durableId="201528235">
    <w:abstractNumId w:val="8"/>
  </w:num>
  <w:num w:numId="13" w16cid:durableId="477183915">
    <w:abstractNumId w:val="3"/>
  </w:num>
  <w:num w:numId="14" w16cid:durableId="1076325453">
    <w:abstractNumId w:val="3"/>
  </w:num>
  <w:num w:numId="15" w16cid:durableId="1606619413">
    <w:abstractNumId w:val="2"/>
  </w:num>
  <w:num w:numId="16" w16cid:durableId="750463662">
    <w:abstractNumId w:val="2"/>
  </w:num>
  <w:num w:numId="17" w16cid:durableId="183251050">
    <w:abstractNumId w:val="1"/>
  </w:num>
  <w:num w:numId="18" w16cid:durableId="1613051823">
    <w:abstractNumId w:val="1"/>
  </w:num>
  <w:num w:numId="19" w16cid:durableId="765157127">
    <w:abstractNumId w:val="0"/>
  </w:num>
  <w:num w:numId="20" w16cid:durableId="1670907455">
    <w:abstractNumId w:val="0"/>
  </w:num>
  <w:num w:numId="21" w16cid:durableId="1324433372">
    <w:abstractNumId w:val="9"/>
  </w:num>
  <w:num w:numId="22" w16cid:durableId="397636183">
    <w:abstractNumId w:val="7"/>
  </w:num>
  <w:num w:numId="23" w16cid:durableId="1659382657">
    <w:abstractNumId w:val="6"/>
  </w:num>
  <w:num w:numId="24" w16cid:durableId="585847705">
    <w:abstractNumId w:val="5"/>
  </w:num>
  <w:num w:numId="25" w16cid:durableId="1295136907">
    <w:abstractNumId w:val="4"/>
  </w:num>
  <w:num w:numId="26" w16cid:durableId="913661119">
    <w:abstractNumId w:val="8"/>
  </w:num>
  <w:num w:numId="27" w16cid:durableId="1491367669">
    <w:abstractNumId w:val="3"/>
  </w:num>
  <w:num w:numId="28" w16cid:durableId="1942568069">
    <w:abstractNumId w:val="2"/>
  </w:num>
  <w:num w:numId="29" w16cid:durableId="1887714204">
    <w:abstractNumId w:val="1"/>
  </w:num>
  <w:num w:numId="30" w16cid:durableId="1989168009">
    <w:abstractNumId w:val="0"/>
  </w:num>
  <w:num w:numId="31" w16cid:durableId="1101880152">
    <w:abstractNumId w:val="9"/>
  </w:num>
  <w:num w:numId="32" w16cid:durableId="2037190962">
    <w:abstractNumId w:val="7"/>
  </w:num>
  <w:num w:numId="33" w16cid:durableId="2031374921">
    <w:abstractNumId w:val="6"/>
  </w:num>
  <w:num w:numId="34" w16cid:durableId="573007939">
    <w:abstractNumId w:val="5"/>
  </w:num>
  <w:num w:numId="35" w16cid:durableId="2054619711">
    <w:abstractNumId w:val="4"/>
  </w:num>
  <w:num w:numId="36" w16cid:durableId="951861146">
    <w:abstractNumId w:val="8"/>
  </w:num>
  <w:num w:numId="37" w16cid:durableId="1861123382">
    <w:abstractNumId w:val="3"/>
  </w:num>
  <w:num w:numId="38" w16cid:durableId="718743519">
    <w:abstractNumId w:val="2"/>
  </w:num>
  <w:num w:numId="39" w16cid:durableId="1294170483">
    <w:abstractNumId w:val="1"/>
  </w:num>
  <w:num w:numId="40" w16cid:durableId="565920025">
    <w:abstractNumId w:val="0"/>
  </w:num>
  <w:num w:numId="41" w16cid:durableId="348802836">
    <w:abstractNumId w:val="10"/>
  </w:num>
  <w:num w:numId="42" w16cid:durableId="1500804796">
    <w:abstractNumId w:val="10"/>
  </w:num>
  <w:num w:numId="43" w16cid:durableId="1717972518">
    <w:abstractNumId w:val="10"/>
  </w:num>
  <w:num w:numId="44" w16cid:durableId="807358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SV"/>
    <w:docVar w:name="dvnumam" w:val="0"/>
    <w:docVar w:name="dvpe" w:val="782.192"/>
    <w:docVar w:name="dvtitre" w:val="Europaparlamentets resolution av den xx xx 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D111472/02 – 2026/2523(RSP))"/>
  </w:docVars>
  <w:rsids>
    <w:rsidRoot w:val="00AA05E2"/>
    <w:rsid w:val="00002272"/>
    <w:rsid w:val="00064002"/>
    <w:rsid w:val="000677B9"/>
    <w:rsid w:val="00075B23"/>
    <w:rsid w:val="000831BA"/>
    <w:rsid w:val="000A42CC"/>
    <w:rsid w:val="000E7DD9"/>
    <w:rsid w:val="0010095E"/>
    <w:rsid w:val="00125B37"/>
    <w:rsid w:val="00187494"/>
    <w:rsid w:val="001F0EDF"/>
    <w:rsid w:val="001F32AE"/>
    <w:rsid w:val="002767FF"/>
    <w:rsid w:val="002B18FE"/>
    <w:rsid w:val="002B5493"/>
    <w:rsid w:val="00301905"/>
    <w:rsid w:val="00343214"/>
    <w:rsid w:val="00361C00"/>
    <w:rsid w:val="00395FA1"/>
    <w:rsid w:val="003E15D4"/>
    <w:rsid w:val="00411CCE"/>
    <w:rsid w:val="0041666E"/>
    <w:rsid w:val="00421060"/>
    <w:rsid w:val="00471C19"/>
    <w:rsid w:val="004867E3"/>
    <w:rsid w:val="00494A28"/>
    <w:rsid w:val="004C0004"/>
    <w:rsid w:val="004C5D52"/>
    <w:rsid w:val="00504B1F"/>
    <w:rsid w:val="0050519A"/>
    <w:rsid w:val="005072A1"/>
    <w:rsid w:val="00514517"/>
    <w:rsid w:val="00545827"/>
    <w:rsid w:val="00560270"/>
    <w:rsid w:val="005C2568"/>
    <w:rsid w:val="005F1B17"/>
    <w:rsid w:val="006037C0"/>
    <w:rsid w:val="006631B6"/>
    <w:rsid w:val="00680577"/>
    <w:rsid w:val="00680F79"/>
    <w:rsid w:val="006F74FA"/>
    <w:rsid w:val="00731ADD"/>
    <w:rsid w:val="00734777"/>
    <w:rsid w:val="00747932"/>
    <w:rsid w:val="00751A4A"/>
    <w:rsid w:val="00756632"/>
    <w:rsid w:val="00762C74"/>
    <w:rsid w:val="007706A3"/>
    <w:rsid w:val="00786EC0"/>
    <w:rsid w:val="007D1690"/>
    <w:rsid w:val="007E22AD"/>
    <w:rsid w:val="00817416"/>
    <w:rsid w:val="00842779"/>
    <w:rsid w:val="00865F67"/>
    <w:rsid w:val="00881A7B"/>
    <w:rsid w:val="008840E5"/>
    <w:rsid w:val="00887B3E"/>
    <w:rsid w:val="008B55F1"/>
    <w:rsid w:val="008C2AC6"/>
    <w:rsid w:val="00930C23"/>
    <w:rsid w:val="0093193B"/>
    <w:rsid w:val="009509D8"/>
    <w:rsid w:val="00950B64"/>
    <w:rsid w:val="00981893"/>
    <w:rsid w:val="00A1687D"/>
    <w:rsid w:val="00A43E52"/>
    <w:rsid w:val="00A4678D"/>
    <w:rsid w:val="00A778C7"/>
    <w:rsid w:val="00AA05E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5D2"/>
    <w:rsid w:val="00CC2357"/>
    <w:rsid w:val="00CF071A"/>
    <w:rsid w:val="00D058B8"/>
    <w:rsid w:val="00D56C11"/>
    <w:rsid w:val="00D834A0"/>
    <w:rsid w:val="00D872DF"/>
    <w:rsid w:val="00D91E21"/>
    <w:rsid w:val="00DA7FCD"/>
    <w:rsid w:val="00E254D8"/>
    <w:rsid w:val="00E365E1"/>
    <w:rsid w:val="00E820A4"/>
    <w:rsid w:val="00EB006A"/>
    <w:rsid w:val="00EB4772"/>
    <w:rsid w:val="00ED169E"/>
    <w:rsid w:val="00ED4235"/>
    <w:rsid w:val="00F04346"/>
    <w:rsid w:val="00F075DC"/>
    <w:rsid w:val="00F149E9"/>
    <w:rsid w:val="00F5134D"/>
    <w:rsid w:val="00F5604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93D8D"/>
  <w15:chartTrackingRefBased/>
  <w15:docId w15:val="{DC5E70E1-8DA9-4DAB-9972-D5D7F8DA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80F79"/>
    <w:pPr>
      <w:spacing w:before="480" w:after="240"/>
    </w:pPr>
  </w:style>
  <w:style w:type="paragraph" w:customStyle="1" w:styleId="NormalHanging12a">
    <w:name w:val="NormalHanging12a"/>
    <w:basedOn w:val="Normal"/>
    <w:uiPriority w:val="99"/>
    <w:qFormat/>
    <w:rsid w:val="00680F79"/>
    <w:pPr>
      <w:spacing w:after="240"/>
      <w:ind w:left="567" w:hanging="567"/>
    </w:pPr>
  </w:style>
  <w:style w:type="character" w:styleId="Hyperlink">
    <w:name w:val="Hyperlink"/>
    <w:basedOn w:val="DefaultParagraphFont"/>
    <w:uiPriority w:val="99"/>
    <w:rsid w:val="00680F79"/>
    <w:rPr>
      <w:color w:val="0563C1" w:themeColor="hyperlink"/>
      <w:u w:val="single"/>
    </w:rPr>
  </w:style>
  <w:style w:type="paragraph" w:styleId="NormalWeb">
    <w:name w:val="Normal (Web)"/>
    <w:basedOn w:val="Normal"/>
    <w:uiPriority w:val="99"/>
    <w:unhideWhenUsed/>
    <w:rsid w:val="00680F79"/>
    <w:pPr>
      <w:widowControl/>
      <w:spacing w:before="100" w:beforeAutospacing="1" w:after="100" w:afterAutospacing="1"/>
    </w:pPr>
    <w:rPr>
      <w:szCs w:val="24"/>
    </w:rPr>
  </w:style>
  <w:style w:type="paragraph" w:styleId="Revision">
    <w:name w:val="Revision"/>
    <w:hidden/>
    <w:uiPriority w:val="99"/>
    <w:semiHidden/>
    <w:rsid w:val="001F0ED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sv"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sv/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1477</Words>
  <Characters>9680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2026-02-11T11:38:00Z</dcterms:created>
  <dcterms:modified xsi:type="dcterms:W3CDTF">2026-02-11T11:38:00Z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B10-0107/2026</vt:lpwstr>
  </property>
  <property fmtid="{D5CDD505-2E9C-101B-9397-08002B2CF9AE}" pid="4" name="&lt;Type&gt;">
    <vt:lpwstr>RR</vt:lpwstr>
  </property>
</Properties>
</file>