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3DE6" w14:paraId="41B504D1" w14:textId="77777777" w:rsidTr="0010095E">
        <w:trPr>
          <w:trHeight w:hRule="exact" w:val="1418"/>
        </w:trPr>
        <w:tc>
          <w:tcPr>
            <w:tcW w:w="6804" w:type="dxa"/>
            <w:shd w:val="clear" w:color="auto" w:fill="auto"/>
            <w:vAlign w:val="center"/>
          </w:tcPr>
          <w:p w14:paraId="4BA34B31" w14:textId="77777777" w:rsidR="00751A4A" w:rsidRPr="00AE3DE6" w:rsidRDefault="00AE6321" w:rsidP="0010095E">
            <w:pPr>
              <w:pStyle w:val="EPName"/>
            </w:pPr>
            <w:r w:rsidRPr="00AE3DE6">
              <w:t>Euroopan parlamentti</w:t>
            </w:r>
          </w:p>
          <w:p w14:paraId="5288780F" w14:textId="77777777" w:rsidR="00751A4A" w:rsidRPr="00AE3DE6" w:rsidRDefault="005F1B17" w:rsidP="005F1B17">
            <w:pPr>
              <w:pStyle w:val="EPTerm"/>
              <w:rPr>
                <w:rStyle w:val="HideTWBExt"/>
                <w:noProof w:val="0"/>
                <w:vanish w:val="0"/>
                <w:color w:val="auto"/>
              </w:rPr>
            </w:pPr>
            <w:r w:rsidRPr="00AE3DE6">
              <w:t>2024</w:t>
            </w:r>
            <w:r w:rsidR="00817416" w:rsidRPr="00AE3DE6">
              <w:t>-202</w:t>
            </w:r>
            <w:r w:rsidRPr="00AE3DE6">
              <w:t>9</w:t>
            </w:r>
          </w:p>
        </w:tc>
        <w:tc>
          <w:tcPr>
            <w:tcW w:w="2268" w:type="dxa"/>
            <w:shd w:val="clear" w:color="auto" w:fill="auto"/>
          </w:tcPr>
          <w:p w14:paraId="5872A872" w14:textId="77777777" w:rsidR="00751A4A" w:rsidRPr="00AE3DE6" w:rsidRDefault="00187494" w:rsidP="0010095E">
            <w:pPr>
              <w:pStyle w:val="EPLogo"/>
            </w:pPr>
            <w:r w:rsidRPr="00AE3DE6">
              <w:rPr>
                <w:noProof/>
                <w:lang w:eastAsia="ja-JP"/>
              </w:rPr>
              <w:drawing>
                <wp:inline distT="0" distB="0" distL="0" distR="0" wp14:anchorId="743D4FA6" wp14:editId="6F259A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8692E0" w14:textId="77777777" w:rsidR="00D058B8" w:rsidRPr="00AE3DE6" w:rsidRDefault="00D058B8" w:rsidP="004C5D52">
      <w:pPr>
        <w:pStyle w:val="LineTop"/>
      </w:pPr>
    </w:p>
    <w:p w14:paraId="3DBD8A1F" w14:textId="77777777" w:rsidR="00680577" w:rsidRPr="00AE3DE6" w:rsidRDefault="00AE6321" w:rsidP="00680577">
      <w:pPr>
        <w:pStyle w:val="EPBodyTA1"/>
      </w:pPr>
      <w:r w:rsidRPr="00AE3DE6">
        <w:t>HYVÄKSYTYT TEKSTIT</w:t>
      </w:r>
    </w:p>
    <w:p w14:paraId="2B688C92" w14:textId="77777777" w:rsidR="00D058B8" w:rsidRPr="00AE3DE6" w:rsidRDefault="00D058B8" w:rsidP="00D058B8">
      <w:pPr>
        <w:pStyle w:val="LineBottom"/>
      </w:pPr>
    </w:p>
    <w:p w14:paraId="64E5978D" w14:textId="17A055A3" w:rsidR="00AE6321" w:rsidRPr="00AE3DE6" w:rsidRDefault="00AE6321" w:rsidP="00AE6321">
      <w:pPr>
        <w:pStyle w:val="ATHeading1"/>
      </w:pPr>
      <w:bookmarkStart w:id="0" w:name="TANumber"/>
      <w:r w:rsidRPr="00AE3DE6">
        <w:t>P10_TA(2026)00</w:t>
      </w:r>
      <w:r w:rsidR="0053789A">
        <w:t>42</w:t>
      </w:r>
      <w:bookmarkEnd w:id="0"/>
    </w:p>
    <w:p w14:paraId="56F3E63F" w14:textId="0EC6CC37" w:rsidR="00AE6321" w:rsidRPr="00AE3DE6" w:rsidRDefault="003546C2" w:rsidP="003546C2">
      <w:pPr>
        <w:pStyle w:val="ATHeading2"/>
      </w:pPr>
      <w:bookmarkStart w:id="1" w:name="title"/>
      <w:r>
        <w:t>M</w:t>
      </w:r>
      <w:r w:rsidRPr="003546C2">
        <w:rPr>
          <w:bCs/>
        </w:rPr>
        <w:t>uuntogeeninen maissi T25 (ACSZMØØ3-</w:t>
      </w:r>
      <w:r w:rsidRPr="0053789A">
        <w:rPr>
          <w:bCs/>
        </w:rPr>
        <w:t>2)</w:t>
      </w:r>
      <w:bookmarkEnd w:id="1"/>
    </w:p>
    <w:p w14:paraId="65D4D98C" w14:textId="77777777" w:rsidR="00AE6321" w:rsidRPr="00AE3DE6" w:rsidRDefault="00AE6321" w:rsidP="00AE6321">
      <w:pPr>
        <w:rPr>
          <w:i/>
          <w:vanish/>
        </w:rPr>
      </w:pPr>
      <w:r w:rsidRPr="00AE3DE6">
        <w:rPr>
          <w:i/>
        </w:rPr>
        <w:fldChar w:fldCharType="begin"/>
      </w:r>
      <w:r w:rsidRPr="00AE3DE6">
        <w:rPr>
          <w:i/>
        </w:rPr>
        <w:instrText xml:space="preserve"> TC"(</w:instrText>
      </w:r>
      <w:bookmarkStart w:id="2" w:name="DocNumber"/>
      <w:r w:rsidRPr="00AE3DE6">
        <w:rPr>
          <w:i/>
        </w:rPr>
        <w:instrText>B10-0106/2026</w:instrText>
      </w:r>
      <w:bookmarkEnd w:id="2"/>
      <w:r w:rsidRPr="00AE3DE6">
        <w:rPr>
          <w:i/>
        </w:rPr>
        <w:instrText xml:space="preserve">)"\l3 \n&gt; \* MERGEFORMAT </w:instrText>
      </w:r>
      <w:r w:rsidRPr="00AE3DE6">
        <w:rPr>
          <w:i/>
        </w:rPr>
        <w:fldChar w:fldCharType="end"/>
      </w:r>
    </w:p>
    <w:p w14:paraId="31AAC7D2" w14:textId="77777777" w:rsidR="00AE6321" w:rsidRPr="00AE3DE6" w:rsidRDefault="00AE6321" w:rsidP="00AE6321">
      <w:pPr>
        <w:rPr>
          <w:vanish/>
        </w:rPr>
      </w:pPr>
      <w:bookmarkStart w:id="3" w:name="PE"/>
      <w:r w:rsidRPr="00AE3DE6">
        <w:rPr>
          <w:vanish/>
        </w:rPr>
        <w:t>PE782.204</w:t>
      </w:r>
      <w:bookmarkEnd w:id="3"/>
    </w:p>
    <w:p w14:paraId="7FC095B5" w14:textId="77777777" w:rsidR="00AE6321" w:rsidRPr="00AE3DE6" w:rsidRDefault="00AE6321" w:rsidP="00AE6321">
      <w:pPr>
        <w:pStyle w:val="ATHeading3"/>
      </w:pPr>
      <w:bookmarkStart w:id="4" w:name="Sujet"/>
      <w:r w:rsidRPr="00AE3DE6">
        <w:t>Euroopan parlamentin päätöslauselma 11. helmikuuta 2026 ehdotuksesta komission täytäntöönpanopäätökseksi muuntogeenistä maissia T25 (ACS-ZMØØ3-2) sisältävien, siitä koostuvien tai siitä valmistettujen tuotteiden markkinoille saattamista koskevan luvan uusimisesta Euroopan parlamentin ja neuvoston asetuksen (EY) N:o 1829/2003 mukaisesti</w:t>
      </w:r>
      <w:bookmarkEnd w:id="4"/>
      <w:r w:rsidRPr="00AE3DE6">
        <w:t xml:space="preserve"> </w:t>
      </w:r>
      <w:bookmarkStart w:id="5" w:name="References"/>
      <w:r w:rsidRPr="00AE3DE6">
        <w:t>(D111473/02 – 2026/2535(RSP))</w:t>
      </w:r>
      <w:bookmarkEnd w:id="5"/>
    </w:p>
    <w:p w14:paraId="5158B4B9" w14:textId="77777777" w:rsidR="001402AF" w:rsidRPr="00AE3DE6" w:rsidRDefault="001402AF" w:rsidP="00A43A98">
      <w:pPr>
        <w:pStyle w:val="EPComma"/>
        <w:widowControl/>
      </w:pPr>
      <w:bookmarkStart w:id="6" w:name="TextBodyBegin"/>
      <w:bookmarkEnd w:id="6"/>
      <w:r w:rsidRPr="00AE3DE6">
        <w:rPr>
          <w:i/>
          <w:iCs/>
        </w:rPr>
        <w:t>Euroopan parlamentti</w:t>
      </w:r>
      <w:r w:rsidRPr="00AE3DE6">
        <w:t>, joka</w:t>
      </w:r>
    </w:p>
    <w:p w14:paraId="5319EF41" w14:textId="77777777" w:rsidR="001402AF" w:rsidRPr="00AE3DE6" w:rsidRDefault="001402AF" w:rsidP="00A43A98">
      <w:pPr>
        <w:pStyle w:val="NormalHanging12a"/>
        <w:widowControl/>
      </w:pPr>
      <w:r w:rsidRPr="00AE3DE6">
        <w:t>–</w:t>
      </w:r>
      <w:r w:rsidRPr="00AE3DE6">
        <w:tab/>
        <w:t>ottaa huomioon ehdotuksen komission täytäntöönpanopäätökseksi muuntogeenistä maissia T25 (ACS-ZMØØ3-2) sisältävien, siitä koostuvien tai siitä valmistettujen tuotteiden markkinoille saattamista koskevan luvan uusimisesta Euroopan parlamentin ja neuvoston asetuksen (EY) N:o 1829/2003 mukaisesti (D111473/02),</w:t>
      </w:r>
    </w:p>
    <w:p w14:paraId="24FC667C" w14:textId="77777777" w:rsidR="001402AF" w:rsidRPr="00AE3DE6" w:rsidRDefault="001402AF" w:rsidP="00A43A98">
      <w:pPr>
        <w:pStyle w:val="NormalHanging12a"/>
        <w:widowControl/>
      </w:pPr>
      <w:r w:rsidRPr="00AE3DE6">
        <w:t>–</w:t>
      </w:r>
      <w:r w:rsidRPr="00AE3DE6">
        <w:tab/>
        <w:t>ottaa huomioon muuntogeenisistä elintarvikkeista ja rehuista 22. syyskuuta 2003 annetun Euroopan parlamentin ja neuvoston asetuksen (EY) N:o 1829/2003</w:t>
      </w:r>
      <w:r w:rsidRPr="00AE3DE6">
        <w:rPr>
          <w:vertAlign w:val="superscript"/>
        </w:rPr>
        <w:footnoteReference w:id="1"/>
      </w:r>
      <w:r w:rsidRPr="00AE3DE6">
        <w:t xml:space="preserve"> ja erityisesti sen 11 artiklan 3 kohdan ja 23 artiklan 3 kohdan,</w:t>
      </w:r>
    </w:p>
    <w:p w14:paraId="01F45CAC" w14:textId="366E9442" w:rsidR="001402AF" w:rsidRPr="00AE3DE6" w:rsidRDefault="001402AF" w:rsidP="00A43A98">
      <w:pPr>
        <w:pStyle w:val="NormalHanging12a"/>
        <w:widowControl/>
      </w:pPr>
      <w:r w:rsidRPr="00AE3DE6">
        <w:t>–</w:t>
      </w:r>
      <w:r w:rsidRPr="00AE3DE6">
        <w:tab/>
        <w:t xml:space="preserve">ottaa huomioon asetuksen (EY) N:o 1829/2003 35 artiklassa tarkoitetussa </w:t>
      </w:r>
      <w:bookmarkStart w:id="7" w:name="_Hlk210664905"/>
      <w:r w:rsidRPr="00AE3DE6">
        <w:t>pysyvässä kasvi-, eläin-, elintarvike- ja rehukomiteassa</w:t>
      </w:r>
      <w:bookmarkEnd w:id="7"/>
      <w:r w:rsidRPr="00AE3DE6">
        <w:t xml:space="preserve"> 12. joulukuuta 2025 toimitetun äänestyksen</w:t>
      </w:r>
      <w:bookmarkStart w:id="8" w:name="_Hlk219206382"/>
      <w:r w:rsidRPr="00AE3DE6">
        <w:t>, jossa päätettiin olla antamatta lausuntoa,</w:t>
      </w:r>
      <w:r w:rsidR="00D749E5">
        <w:t xml:space="preserve"> </w:t>
      </w:r>
      <w:bookmarkStart w:id="9" w:name="_Hlk221541678"/>
      <w:r w:rsidR="00D749E5" w:rsidRPr="00D749E5">
        <w:t xml:space="preserve">ja muutoksenhakukomiteassa </w:t>
      </w:r>
      <w:r w:rsidR="00D749E5">
        <w:t>27</w:t>
      </w:r>
      <w:r w:rsidR="00D749E5" w:rsidRPr="00D749E5">
        <w:t>. </w:t>
      </w:r>
      <w:r w:rsidR="00D749E5">
        <w:t>tammi</w:t>
      </w:r>
      <w:r w:rsidR="00D749E5" w:rsidRPr="00D749E5">
        <w:t>kuuta 202</w:t>
      </w:r>
      <w:r w:rsidR="00D749E5">
        <w:t>6</w:t>
      </w:r>
      <w:r w:rsidR="00D749E5" w:rsidRPr="00D749E5">
        <w:t xml:space="preserve"> toimitetun äänestyksen, jossa päätettiin niin ikään olla antamatta lausuntoa</w:t>
      </w:r>
      <w:r w:rsidR="00D749E5">
        <w:t>,</w:t>
      </w:r>
      <w:r w:rsidRPr="00AE3DE6">
        <w:t xml:space="preserve"> </w:t>
      </w:r>
    </w:p>
    <w:bookmarkEnd w:id="8"/>
    <w:bookmarkEnd w:id="9"/>
    <w:p w14:paraId="1693D9C0" w14:textId="77777777" w:rsidR="001402AF" w:rsidRPr="00AE3DE6" w:rsidRDefault="001402AF" w:rsidP="00A43A98">
      <w:pPr>
        <w:pStyle w:val="NormalHanging12a"/>
        <w:widowControl/>
      </w:pPr>
      <w:r w:rsidRPr="00AE3DE6">
        <w:t>–</w:t>
      </w:r>
      <w:r w:rsidRPr="00AE3DE6">
        <w:tab/>
        <w:t>ottaa huomioon yleisistä säännöistä ja periaatteista, joiden mukaisesti jäsenvaltiot valvovat komission täytäntöönpanovallan käyttöä, 16. helmikuuta 2011 annetun Euroopan parlamentin ja neuvoston asetuksen (EU) N:o 182/2011 11 artiklan</w:t>
      </w:r>
      <w:r w:rsidRPr="00AE3DE6">
        <w:rPr>
          <w:vertAlign w:val="superscript"/>
        </w:rPr>
        <w:footnoteReference w:id="2"/>
      </w:r>
      <w:r w:rsidRPr="00AE3DE6">
        <w:t>,</w:t>
      </w:r>
    </w:p>
    <w:p w14:paraId="4115551F" w14:textId="77777777" w:rsidR="001402AF" w:rsidRPr="00AE3DE6" w:rsidRDefault="001402AF" w:rsidP="00A43A98">
      <w:pPr>
        <w:pStyle w:val="NormalHanging12a"/>
        <w:widowControl/>
      </w:pPr>
      <w:r w:rsidRPr="00AE3DE6">
        <w:t>–</w:t>
      </w:r>
      <w:r w:rsidRPr="00AE3DE6">
        <w:tab/>
        <w:t>ottaa huomioon Euroopan elintarviketurvallisuusviranomaisen (EFSA) 30. kesäkuuta 2025 antaman lausunnon, joka julkaistiin 8. elokuuta 2025</w:t>
      </w:r>
      <w:r w:rsidRPr="00AE3DE6">
        <w:rPr>
          <w:vertAlign w:val="superscript"/>
        </w:rPr>
        <w:footnoteReference w:id="3"/>
      </w:r>
      <w:r w:rsidRPr="00AE3DE6">
        <w:t>,</w:t>
      </w:r>
    </w:p>
    <w:p w14:paraId="6A6F63D8" w14:textId="2B54B514" w:rsidR="001402AF" w:rsidRPr="00AE3DE6" w:rsidRDefault="001402AF" w:rsidP="00A43A98">
      <w:pPr>
        <w:pStyle w:val="NormalHanging12a"/>
        <w:widowControl/>
      </w:pPr>
      <w:r w:rsidRPr="00AE3DE6">
        <w:lastRenderedPageBreak/>
        <w:t>–</w:t>
      </w:r>
      <w:r w:rsidRPr="00AE3DE6">
        <w:tab/>
        <w:t>ottaa huomioon aiemmat päätöslauselmansa, joissa vastustetaan lupien myöntämistä muuntogeenisille organismeille</w:t>
      </w:r>
      <w:bookmarkStart w:id="11" w:name="_Hlk210666451"/>
      <w:r w:rsidRPr="00AE3DE6">
        <w:rPr>
          <w:vertAlign w:val="superscript"/>
        </w:rPr>
        <w:footnoteReference w:id="4"/>
      </w:r>
      <w:bookmarkEnd w:id="11"/>
      <w:r w:rsidRPr="00AE3DE6">
        <w:t>,</w:t>
      </w:r>
    </w:p>
    <w:p w14:paraId="4E5650A6" w14:textId="77777777" w:rsidR="001402AF" w:rsidRPr="00AE3DE6" w:rsidRDefault="001402AF" w:rsidP="00A43A98">
      <w:pPr>
        <w:pStyle w:val="NormalHanging12a"/>
        <w:widowControl/>
      </w:pPr>
      <w:r w:rsidRPr="00AE3DE6">
        <w:lastRenderedPageBreak/>
        <w:t>–</w:t>
      </w:r>
      <w:r w:rsidRPr="00AE3DE6">
        <w:tab/>
        <w:t>ottaa huomioon työjärjestyksen 115 artiklan 2 ja 3 kohdan,</w:t>
      </w:r>
    </w:p>
    <w:p w14:paraId="6060E1D2" w14:textId="77777777" w:rsidR="001402AF" w:rsidRPr="00AE3DE6" w:rsidRDefault="001402AF" w:rsidP="00A43A98">
      <w:pPr>
        <w:pStyle w:val="NormalHanging12a"/>
        <w:widowControl/>
      </w:pPr>
      <w:r w:rsidRPr="00AE3DE6">
        <w:t>–</w:t>
      </w:r>
      <w:r w:rsidRPr="00AE3DE6">
        <w:tab/>
        <w:t>ottaa huomioon ympäristön, ilmaston ja elintarvikkeiden turvallisuuden valiokunnan päätöslauselmaesityksen,</w:t>
      </w:r>
    </w:p>
    <w:p w14:paraId="7FC4163E" w14:textId="77777777" w:rsidR="001402AF" w:rsidRPr="00AE3DE6" w:rsidRDefault="001402AF" w:rsidP="00A43A98">
      <w:pPr>
        <w:pStyle w:val="NormalHanging12a"/>
        <w:widowControl/>
      </w:pPr>
      <w:r w:rsidRPr="00AE3DE6">
        <w:t>A.</w:t>
      </w:r>
      <w:r w:rsidRPr="00AE3DE6">
        <w:tab/>
        <w:t>ottaa huomioon, että komission täytäntöönpanopäätöksellä (EU) 2015/697</w:t>
      </w:r>
      <w:r w:rsidRPr="00AE3DE6">
        <w:rPr>
          <w:rStyle w:val="FootnoteReference"/>
        </w:rPr>
        <w:footnoteReference w:id="5"/>
      </w:r>
      <w:r w:rsidRPr="00AE3DE6">
        <w:t xml:space="preserve"> uusittiin muuntogeenisestä maissista T25, jäljempänä ’muuntogeeninen maissi’, valmistettujen elintarvikkeiden ja elintarvikkeiden ainesosien sekä muuntogeneettistä maissia sisältävien, siitä koostuvien tai siitä valmistettujen rehujen markkinoille saattamista koskeva lupa ja että komission täytäntöönpanopäätöksellä hyväksyttiin myös muuntogeenistä maissia sisältävien tai siitä koostuvien elintarvikkeiden, elintarvikkeiden ainesosien ja muiden tuotteiden kuin elintarvikkeiden ja rehujen markkinoille saattaminen samoihin käyttötarkoituksiin kuin mikä tahansa muu maissi, viljelyä lukuun ottamatta; </w:t>
      </w:r>
    </w:p>
    <w:p w14:paraId="20964A60" w14:textId="77777777" w:rsidR="001402AF" w:rsidRPr="00AE3DE6" w:rsidRDefault="001402AF" w:rsidP="00A43A98">
      <w:pPr>
        <w:pStyle w:val="NormalHanging12a"/>
        <w:widowControl/>
        <w:ind w:hanging="570"/>
      </w:pPr>
      <w:r w:rsidRPr="00AE3DE6">
        <w:t>B.</w:t>
      </w:r>
      <w:r w:rsidRPr="00AE3DE6">
        <w:tab/>
        <w:t xml:space="preserve">ottaa huomioon, että Saksaan sijoittautunut BASF SE toimitti 22. maaliskuuta 2024 Yhdysvaltoihin sijoittautuneen BASF Agricultural Solutions </w:t>
      </w:r>
      <w:proofErr w:type="spellStart"/>
      <w:r w:rsidRPr="00AE3DE6">
        <w:t>Seed</w:t>
      </w:r>
      <w:proofErr w:type="spellEnd"/>
      <w:r w:rsidRPr="00AE3DE6">
        <w:t xml:space="preserve"> US </w:t>
      </w:r>
      <w:proofErr w:type="spellStart"/>
      <w:r w:rsidRPr="00AE3DE6">
        <w:t>LLC:n</w:t>
      </w:r>
      <w:proofErr w:type="spellEnd"/>
      <w:r w:rsidRPr="00AE3DE6">
        <w:t xml:space="preserve"> puolesta komissiolle hakemuksen kyseisen luvan uusimiseksi asetuksen (EY) N:o 1829/2003 11 ja 23 artiklan mukaisesti;</w:t>
      </w:r>
    </w:p>
    <w:p w14:paraId="40B01679" w14:textId="77777777" w:rsidR="001402AF" w:rsidRPr="00AE3DE6" w:rsidRDefault="001402AF" w:rsidP="00A43A98">
      <w:pPr>
        <w:pStyle w:val="NormalHanging12a"/>
        <w:widowControl/>
      </w:pPr>
      <w:r w:rsidRPr="00AE3DE6">
        <w:t>C.</w:t>
      </w:r>
      <w:r w:rsidRPr="00AE3DE6">
        <w:tab/>
        <w:t xml:space="preserve">ottaa huomioon, että EFSA antoi 8. elokuuta 2025 muuntogeenistä maissia koskevan myönteisen lausunnon, jossa todettiin, ettei uusimista koskeva hakemus sisällä näyttöä sellaisista uusista vaaroista, muutoksista altistumisessa tai tieteellisistä epävarmuustekijöistä, joiden vuoksi olisi muutettava </w:t>
      </w:r>
      <w:proofErr w:type="spellStart"/>
      <w:r w:rsidRPr="00AE3DE6">
        <w:t>EFSAn</w:t>
      </w:r>
      <w:proofErr w:type="spellEnd"/>
      <w:r w:rsidRPr="00AE3DE6">
        <w:t xml:space="preserve"> vuonna 2013 antaman muuntogeenistä maissia koskevan alkuperäisen riskinarvioinnin päätelmiä</w:t>
      </w:r>
      <w:r w:rsidRPr="00AE3DE6">
        <w:rPr>
          <w:rStyle w:val="FootnoteReference"/>
        </w:rPr>
        <w:footnoteReference w:id="6"/>
      </w:r>
      <w:r w:rsidRPr="00AE3DE6">
        <w:t>; ottaa huomioon, että EFSA katsoo monien laajempien ympäristöön liittyvien, sosioekonomisten ja kumulatiivisten vaikutusten jäävän sen toimivallan ulkopuolelle, minkä vuoksi se ei käsitellyt niitä lausunnoissaan;</w:t>
      </w:r>
    </w:p>
    <w:p w14:paraId="3E5AF261" w14:textId="77777777" w:rsidR="001402AF" w:rsidRPr="00AE3DE6" w:rsidRDefault="001402AF" w:rsidP="00A43A98">
      <w:pPr>
        <w:pStyle w:val="NormalHanging12a"/>
        <w:widowControl/>
      </w:pPr>
      <w:r w:rsidRPr="00AE3DE6">
        <w:t>D.</w:t>
      </w:r>
      <w:r w:rsidRPr="00AE3DE6">
        <w:tab/>
        <w:t xml:space="preserve">ottaa huomioon, että muuntogeeninen maissi on kehitetty sietämään </w:t>
      </w:r>
      <w:proofErr w:type="spellStart"/>
      <w:r w:rsidRPr="00AE3DE6">
        <w:t>glyfosinaattia</w:t>
      </w:r>
      <w:proofErr w:type="spellEnd"/>
      <w:r w:rsidRPr="00AE3DE6">
        <w:t xml:space="preserve">; </w:t>
      </w:r>
    </w:p>
    <w:p w14:paraId="42114596" w14:textId="77777777" w:rsidR="001402AF" w:rsidRPr="00AE3DE6" w:rsidRDefault="001402AF" w:rsidP="00A43A98">
      <w:pPr>
        <w:pStyle w:val="NormalHanging12a"/>
        <w:widowControl/>
      </w:pPr>
      <w:r w:rsidRPr="00AE3DE6">
        <w:lastRenderedPageBreak/>
        <w:t>E.</w:t>
      </w:r>
      <w:r w:rsidRPr="00AE3DE6">
        <w:tab/>
        <w:t xml:space="preserve">ottaa huomioon, että </w:t>
      </w:r>
      <w:proofErr w:type="spellStart"/>
      <w:r w:rsidRPr="00AE3DE6">
        <w:t>EFSAn</w:t>
      </w:r>
      <w:proofErr w:type="spellEnd"/>
      <w:r w:rsidRPr="00AE3DE6">
        <w:t xml:space="preserve"> tekemiin riskinarviointeihin ei sisältynyt pitkän ajan toksikologisia tutkimuksia eikä yksityiskohtaista analyysia kumulatiivisista ja yhteisvaikutuksista, kuten mahdollisesta vuorovaikutuksesta maissinviljelyssä yleisesti käytettyjen torjunta-aineiden jäämien kanssa;</w:t>
      </w:r>
    </w:p>
    <w:p w14:paraId="2BA756DF" w14:textId="77777777" w:rsidR="001402AF" w:rsidRPr="00AE3DE6" w:rsidRDefault="001402AF" w:rsidP="00A43A98">
      <w:pPr>
        <w:pStyle w:val="NormalHanging12a"/>
        <w:widowControl/>
        <w:rPr>
          <w:color w:val="000000" w:themeColor="text1"/>
          <w:szCs w:val="24"/>
        </w:rPr>
      </w:pPr>
      <w:r w:rsidRPr="00AE3DE6">
        <w:rPr>
          <w:color w:val="000000" w:themeColor="text1"/>
        </w:rPr>
        <w:t>F.</w:t>
      </w:r>
      <w:r w:rsidRPr="00AE3DE6">
        <w:rPr>
          <w:color w:val="000000" w:themeColor="text1"/>
        </w:rPr>
        <w:tab/>
      </w:r>
      <w:r w:rsidRPr="00AE3DE6">
        <w:t xml:space="preserve">ottaa huomioon, että suurinta osaa muuntogeenisistä viljelykasveista, muuntogeeninen maissi mukaan lukien, on muunnettu geneettisesti siten, että ne sietävät yhtä tai useampaa ”täydentävää” rikkakasvien torjunta-ainetta, jota voidaan käyttää koko muuntogeenisen viljelykasvin viljelyn ajan ilman, että viljelykasvi kuolee, kuten käy niiden viljelykasvien tapauksessa, jotka eivät siedä torjunta-aineita; </w:t>
      </w:r>
      <w:r w:rsidRPr="00AE3DE6">
        <w:rPr>
          <w:color w:val="000000" w:themeColor="text1"/>
        </w:rPr>
        <w:t>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w:t>
      </w:r>
      <w:r w:rsidRPr="00AE3DE6">
        <w:rPr>
          <w:color w:val="000000" w:themeColor="text1"/>
        </w:rPr>
        <w:noBreakHyphen/>
        <w:t>aineita</w:t>
      </w:r>
      <w:r w:rsidRPr="00AE3DE6">
        <w:rPr>
          <w:rStyle w:val="FootnoteReference"/>
          <w:color w:val="000000" w:themeColor="text1"/>
          <w:szCs w:val="24"/>
        </w:rPr>
        <w:footnoteReference w:id="7"/>
      </w:r>
      <w:r w:rsidRPr="00AE3DE6">
        <w:rPr>
          <w:color w:val="000000" w:themeColor="text1"/>
        </w:rPr>
        <w:t>;</w:t>
      </w:r>
    </w:p>
    <w:p w14:paraId="4DBC7883" w14:textId="77777777" w:rsidR="001402AF" w:rsidRPr="00AE3DE6" w:rsidRDefault="001402AF" w:rsidP="00A43A98">
      <w:pPr>
        <w:widowControl/>
        <w:spacing w:after="240"/>
        <w:ind w:left="567" w:hanging="567"/>
        <w:rPr>
          <w:color w:val="000000" w:themeColor="text1"/>
          <w:szCs w:val="24"/>
        </w:rPr>
      </w:pPr>
      <w:r w:rsidRPr="00AE3DE6">
        <w:t>G.</w:t>
      </w:r>
      <w:r w:rsidRPr="00AE3DE6">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w:t>
      </w:r>
      <w:r w:rsidRPr="00AE3DE6">
        <w:rPr>
          <w:color w:val="000000" w:themeColor="text1"/>
        </w:rPr>
        <w:t xml:space="preserve"> ottaa huomioon, että lisääntynyt riippuvuus täydentävistä rikkakasvien torjunta-aineista muuntogeenistä maissia viljelevillä tiloilla nopeuttaa näille torjunta-aineille sietokykyisten rikkakasvien ilmaantumista ja leviämistä, mikä johtaa noidankehään, jossa rikkakasvien torjunta-aineita on käytettävä jatkuvasti enemmän; toteaa, että rikkakasvien torjunta-aineiden liiallisesta käytöstä aiheutuvat haitalliset vaikutukset heikentävät maaperän terveyttä ja veden laatua, köyhdyttävät maanpäällistä ja -alaista biologista monimuotoisuutta ja lisäävät ihmisten ja eläinten altistumista, mahdollisesti myös sen kautta, että rikkakasvien torjunta</w:t>
      </w:r>
      <w:r w:rsidRPr="00AE3DE6">
        <w:rPr>
          <w:color w:val="000000" w:themeColor="text1"/>
        </w:rPr>
        <w:noBreakHyphen/>
        <w:t>aineiden jäämät elintarvikkeissa ja rehuissa lisääntyvät</w:t>
      </w:r>
      <w:r w:rsidRPr="00AE3DE6">
        <w:rPr>
          <w:rStyle w:val="FootnoteReference"/>
          <w:color w:val="000000" w:themeColor="text1"/>
          <w:szCs w:val="24"/>
        </w:rPr>
        <w:footnoteReference w:id="8"/>
      </w:r>
      <w:r w:rsidRPr="00AE3DE6">
        <w:rPr>
          <w:color w:val="000000" w:themeColor="text1"/>
        </w:rPr>
        <w:t>;</w:t>
      </w:r>
    </w:p>
    <w:p w14:paraId="526808B7" w14:textId="77777777" w:rsidR="001402AF" w:rsidRPr="00AE3DE6" w:rsidRDefault="001402AF" w:rsidP="00A43A98">
      <w:pPr>
        <w:pStyle w:val="NormalWeb"/>
        <w:spacing w:before="0" w:beforeAutospacing="0" w:after="240" w:afterAutospacing="0"/>
        <w:ind w:left="567" w:hanging="567"/>
      </w:pPr>
      <w:r w:rsidRPr="00AE3DE6">
        <w:t>H.</w:t>
      </w:r>
      <w:r w:rsidRPr="00AE3DE6">
        <w:tab/>
        <w:t xml:space="preserve">ottaa huomioon, että </w:t>
      </w:r>
      <w:proofErr w:type="spellStart"/>
      <w:r w:rsidRPr="00AE3DE6">
        <w:t>glufosinaatti</w:t>
      </w:r>
      <w:proofErr w:type="spellEnd"/>
      <w:r w:rsidRPr="00AE3DE6">
        <w:t xml:space="preserve"> on luokiteltu lisääntymiselle vaarallisten aineiden kategoriaan 1B ja näin ollen se täyttää Euroopan parlamentin ja neuvoston asetuksessa (EY) N:o 1107/2009 säädetyt poissulkemiskriteerit</w:t>
      </w:r>
      <w:r w:rsidRPr="00AE3DE6">
        <w:rPr>
          <w:rStyle w:val="FootnoteReference"/>
        </w:rPr>
        <w:footnoteReference w:id="9"/>
      </w:r>
      <w:r w:rsidRPr="00AE3DE6">
        <w:t xml:space="preserve">; ottaa huomioon, että </w:t>
      </w:r>
      <w:proofErr w:type="spellStart"/>
      <w:r w:rsidRPr="00AE3DE6">
        <w:t>glufosinaatin</w:t>
      </w:r>
      <w:proofErr w:type="spellEnd"/>
      <w:r w:rsidRPr="00AE3DE6">
        <w:t xml:space="preserve"> käyttöä unionissa koskevan hyväksynnän voimassaolo päättyi 31. heinäkuuta 2018;</w:t>
      </w:r>
    </w:p>
    <w:p w14:paraId="7C23271F" w14:textId="77777777" w:rsidR="001402AF" w:rsidRPr="00AE3DE6" w:rsidRDefault="001402AF" w:rsidP="00A43A98">
      <w:pPr>
        <w:pStyle w:val="NormalHanging12a"/>
        <w:widowControl/>
      </w:pPr>
      <w:r w:rsidRPr="00AE3DE6">
        <w:t>I.</w:t>
      </w:r>
      <w:r w:rsidRPr="00AE3DE6">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14:paraId="6BA0DDE0" w14:textId="77777777" w:rsidR="001402AF" w:rsidRPr="00AE3DE6" w:rsidRDefault="001402AF" w:rsidP="00A43A98">
      <w:pPr>
        <w:widowControl/>
        <w:spacing w:after="240"/>
        <w:ind w:left="567" w:hanging="567"/>
      </w:pPr>
      <w:r w:rsidRPr="00AE3DE6">
        <w:lastRenderedPageBreak/>
        <w:t>J.</w:t>
      </w:r>
      <w:r w:rsidRPr="00AE3DE6">
        <w:tab/>
        <w:t>katsoo, että tapauksissa, joissa tieteellistä varmuutta ei ole, olisi sovellettava Euroopan unionin toiminnasta tehdyn sopimuksen 191 artiklassa tarkoitettua ennalta varautumisen periaatetta;</w:t>
      </w:r>
    </w:p>
    <w:p w14:paraId="156CBFE8" w14:textId="77777777" w:rsidR="001402AF" w:rsidRPr="00AE3DE6" w:rsidRDefault="001402AF" w:rsidP="00A43A98">
      <w:pPr>
        <w:widowControl/>
        <w:spacing w:after="240"/>
        <w:ind w:left="567" w:hanging="567"/>
      </w:pPr>
      <w:r w:rsidRPr="00AE3DE6">
        <w:t>K.</w:t>
      </w:r>
      <w:r w:rsidRPr="00AE3DE6">
        <w:tab/>
        <w:t>ottaa huomioon, että asetuksen (EY) N:o 1829/2003 mukaan muuntogeeniset elintarvikkeet tai rehut eivät saa vaikuttaa haitallisesti ihmisten terveyteen, eläinten terveyteen tai ympäristöön;</w:t>
      </w:r>
    </w:p>
    <w:p w14:paraId="080ADF8E" w14:textId="77777777" w:rsidR="001402AF" w:rsidRPr="00AE3DE6" w:rsidRDefault="001402AF" w:rsidP="00A43A98">
      <w:pPr>
        <w:pStyle w:val="NormalWeb"/>
        <w:spacing w:before="0" w:beforeAutospacing="0" w:after="240" w:afterAutospacing="0"/>
        <w:ind w:left="567" w:hanging="567"/>
      </w:pPr>
      <w:r w:rsidRPr="00AE3DE6">
        <w:t>L.</w:t>
      </w:r>
      <w:r w:rsidRPr="00AE3DE6">
        <w:tab/>
        <w:t>toteaa, että muuntogeeniselle maissille myönnetyn unionin luvan uusiminen ei olisi torjunta-aineiden vähentämistä koskevien kansainvälisten sitoumusten mukainen</w:t>
      </w:r>
      <w:r w:rsidRPr="00AE3DE6">
        <w:rPr>
          <w:vertAlign w:val="superscript"/>
        </w:rPr>
        <w:footnoteReference w:id="10"/>
      </w:r>
      <w:r w:rsidRPr="00AE3DE6">
        <w:t xml:space="preserve">, kun otetaan huomioon ihmisten, eläinten ja ympäristön lisääntynyt altistuminen glyfosaatille ja </w:t>
      </w:r>
      <w:proofErr w:type="spellStart"/>
      <w:r w:rsidRPr="00AE3DE6">
        <w:t>glufosinaatille</w:t>
      </w:r>
      <w:proofErr w:type="spellEnd"/>
      <w:r w:rsidRPr="00AE3DE6">
        <w:t xml:space="preserve"> maissa, joissa viljellään kyseistä torjunta-aineita sietävää muuntogeenistä kasvia, sekä siihen mahdollisesti liittyvät vakavat terveysvaikutukset;</w:t>
      </w:r>
    </w:p>
    <w:p w14:paraId="242F0DE0" w14:textId="77777777" w:rsidR="001402AF" w:rsidRPr="00AE3DE6" w:rsidRDefault="001402AF" w:rsidP="00A43A98">
      <w:pPr>
        <w:widowControl/>
        <w:spacing w:after="240"/>
        <w:ind w:left="567" w:hanging="567"/>
      </w:pPr>
      <w:r w:rsidRPr="00AE3DE6">
        <w:t>M.</w:t>
      </w:r>
      <w:r w:rsidRPr="00AE3DE6">
        <w:tab/>
        <w:t>toteaa, että luonnos komission täytäntöönpanopäätökseksi sallisi edelleen sen, että unioniin tuodaan tuotteita, jotka eivät ole unionin viljelijöiden noudattamien normien mukaisia, mikä asettaisi unionin viljelijät epäedulliseen kilpailuasemaan;</w:t>
      </w:r>
    </w:p>
    <w:p w14:paraId="3C340232" w14:textId="77777777" w:rsidR="001402AF" w:rsidRPr="00AE3DE6" w:rsidRDefault="001402AF" w:rsidP="00A43A98">
      <w:pPr>
        <w:widowControl/>
        <w:spacing w:after="240"/>
        <w:ind w:left="567" w:hanging="567"/>
      </w:pPr>
      <w:r w:rsidRPr="00AE3DE6">
        <w:t>N.</w:t>
      </w:r>
      <w:r w:rsidRPr="00AE3DE6">
        <w:tab/>
        <w:t>ottaa huomioon, että EU:n maatalouden tulevaisuudesta käydyn strategisen vuoropuhelun päätelmissä</w:t>
      </w:r>
      <w:r w:rsidRPr="00AE3DE6">
        <w:rPr>
          <w:rStyle w:val="FootnoteReference"/>
        </w:rPr>
        <w:footnoteReference w:id="11"/>
      </w:r>
      <w:r w:rsidRPr="00AE3DE6">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2024 ja 2025 mielenosoituksissa;</w:t>
      </w:r>
    </w:p>
    <w:p w14:paraId="32451E5E" w14:textId="77777777" w:rsidR="001402AF" w:rsidRPr="00AE3DE6" w:rsidRDefault="001402AF" w:rsidP="00A43A98">
      <w:pPr>
        <w:widowControl/>
        <w:spacing w:after="240"/>
        <w:ind w:left="567" w:hanging="567"/>
      </w:pPr>
      <w:r w:rsidRPr="00AE3DE6">
        <w:t>O.</w:t>
      </w:r>
      <w:r w:rsidRPr="00AE3DE6">
        <w:tab/>
        <w:t>toteaa korostaneensa toistuvasti, että jatkuvan demokratiavajeen korjaamiseksi komission ei pitäisi antaa lupaa muuntogeenisille organismeille silloin, kun jäsenvaltiot eivät ole saavuttaneet määräenemmistöä pysyvässä kasvi-, eläin-, elintarvike- ja rehukomiteassa tai muutoksenhakukomiteassa;</w:t>
      </w:r>
    </w:p>
    <w:p w14:paraId="20AACCB3" w14:textId="77777777" w:rsidR="001402AF" w:rsidRPr="00AE3DE6" w:rsidRDefault="001402AF" w:rsidP="00A43A98">
      <w:pPr>
        <w:pStyle w:val="NormalWeb"/>
        <w:shd w:val="clear" w:color="auto" w:fill="FFFFFF"/>
        <w:spacing w:before="0" w:beforeAutospacing="0" w:after="240" w:afterAutospacing="0"/>
        <w:ind w:left="567" w:hanging="567"/>
        <w:rPr>
          <w:color w:val="000000" w:themeColor="text1"/>
        </w:rPr>
      </w:pPr>
      <w:r w:rsidRPr="00AE3DE6">
        <w:rPr>
          <w:color w:val="000000" w:themeColor="text1"/>
        </w:rPr>
        <w:t>P.</w:t>
      </w:r>
      <w:r w:rsidRPr="00AE3DE6">
        <w:rPr>
          <w:color w:val="000000" w:themeColor="text1"/>
        </w:rPr>
        <w:tab/>
        <w:t>toteaa, että komissio jatkaa lupien myöntämistä muuntogeenisille organismeille, vaikka se itse myöntää demokraattisuuden puutteen, ja huolimatta jäsenvaltioiden tuen puuttumisesta ja parlamentin vastustuksesta;</w:t>
      </w:r>
    </w:p>
    <w:p w14:paraId="537BAC9E" w14:textId="77777777" w:rsidR="001402AF" w:rsidRPr="00AE3DE6" w:rsidRDefault="001402AF" w:rsidP="00A43A98">
      <w:pPr>
        <w:widowControl/>
        <w:spacing w:after="240"/>
        <w:ind w:left="567" w:hanging="567"/>
      </w:pPr>
      <w:r w:rsidRPr="00AE3DE6">
        <w:t>Q.</w:t>
      </w:r>
      <w:r w:rsidRPr="00AE3DE6">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4A9A0F13" w14:textId="77777777" w:rsidR="001402AF" w:rsidRPr="00AE3DE6" w:rsidRDefault="001402AF" w:rsidP="00A43A98">
      <w:pPr>
        <w:pStyle w:val="NormalHanging12a"/>
        <w:widowControl/>
      </w:pPr>
      <w:r w:rsidRPr="00AE3DE6">
        <w:t>1.</w:t>
      </w:r>
      <w:r w:rsidRPr="00AE3DE6">
        <w:tab/>
        <w:t>katsoo, että ehdotus komission täytäntöönpanopäätökseksi ylittää asetuksessa (</w:t>
      </w:r>
      <w:bookmarkStart w:id="19" w:name="_Hlk219209229"/>
      <w:r w:rsidRPr="00AE3DE6">
        <w:t>EY) N:o </w:t>
      </w:r>
      <w:bookmarkEnd w:id="19"/>
      <w:r w:rsidRPr="00AE3DE6">
        <w:t>1829/2003 säädetyn täytäntöönpanovallan;</w:t>
      </w:r>
    </w:p>
    <w:p w14:paraId="13413867" w14:textId="77777777" w:rsidR="001402AF" w:rsidRPr="00AE3DE6" w:rsidRDefault="001402AF" w:rsidP="00A43A98">
      <w:pPr>
        <w:pStyle w:val="NormalHanging12a"/>
        <w:widowControl/>
      </w:pPr>
      <w:r w:rsidRPr="00AE3DE6">
        <w:t>2.</w:t>
      </w:r>
      <w:r w:rsidRPr="00AE3DE6">
        <w:tab/>
        <w:t xml:space="preserve">katsoo, että ehdotus komission täytäntöönpanopäätökseksi ei ole unionin oikeuden mukainen, sillä se on yhteensopimaton asetuksen (EY) N:o 1829/2003 tavoitteen </w:t>
      </w:r>
      <w:r w:rsidRPr="00AE3DE6">
        <w:lastRenderedPageBreak/>
        <w:t>kanssa; toteaa, että kyseisen asetuksen tavoitteena on Euroopan parlamentin ja neuvoston asetuksessa (EY) N:o 178/2002</w:t>
      </w:r>
      <w:r w:rsidRPr="00AE3DE6">
        <w:rPr>
          <w:vertAlign w:val="superscript"/>
        </w:rPr>
        <w:footnoteReference w:id="12"/>
      </w:r>
      <w:r w:rsidRPr="00AE3DE6">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 </w:t>
      </w:r>
    </w:p>
    <w:p w14:paraId="481D7B7E" w14:textId="77777777" w:rsidR="001402AF" w:rsidRPr="00AE3DE6" w:rsidRDefault="001402AF" w:rsidP="00A43A98">
      <w:pPr>
        <w:pStyle w:val="NormalHanging12a"/>
        <w:widowControl/>
      </w:pPr>
      <w:r w:rsidRPr="00AE3DE6">
        <w:t>3.</w:t>
      </w:r>
      <w:r w:rsidRPr="00AE3DE6">
        <w:tab/>
        <w:t>pyytää komissiota peruuttamaan ehdotuksen täytäntöönpanopäätökseksi;</w:t>
      </w:r>
    </w:p>
    <w:p w14:paraId="2E1773D4" w14:textId="77777777" w:rsidR="001402AF" w:rsidRPr="00AE3DE6" w:rsidRDefault="001402AF" w:rsidP="00A43A98">
      <w:pPr>
        <w:widowControl/>
        <w:spacing w:after="240"/>
        <w:ind w:left="567" w:hanging="567"/>
      </w:pPr>
      <w:bookmarkStart w:id="20" w:name="_Hlk218675841"/>
      <w:r w:rsidRPr="00AE3DE6">
        <w:t>4.</w:t>
      </w:r>
      <w:r w:rsidRPr="00AE3DE6">
        <w:tab/>
        <w:t>pyytää komissiota olemaan uusimatta muuntogeeniselle maissille myönnettyä lupaa, koska biologiseen monimuotoisuuteen, elintarviketurvallisuuteen, viljelijöiden toimeentuloon ja eläinten terveyteen kohdistuvista pitkän aikavälin vaikutuksista ei ole riittävästi yhteinen terveys -mallin edellyttämää näyttöä;</w:t>
      </w:r>
    </w:p>
    <w:p w14:paraId="54C36ACD" w14:textId="77777777" w:rsidR="001402AF" w:rsidRPr="00AE3DE6" w:rsidRDefault="001402AF" w:rsidP="00A43A98">
      <w:pPr>
        <w:widowControl/>
        <w:spacing w:after="240"/>
        <w:ind w:left="567" w:hanging="567"/>
      </w:pPr>
      <w:bookmarkStart w:id="21" w:name="_Hlk210900300"/>
      <w:r w:rsidRPr="00AE3DE6">
        <w:t>5.</w:t>
      </w:r>
      <w:r w:rsidRPr="00AE3DE6">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21"/>
      <w:r w:rsidRPr="00AE3DE6">
        <w:t>;</w:t>
      </w:r>
    </w:p>
    <w:p w14:paraId="67E50BB1" w14:textId="77777777" w:rsidR="001402AF" w:rsidRPr="00AE3DE6" w:rsidRDefault="001402AF" w:rsidP="00A43A98">
      <w:pPr>
        <w:widowControl/>
        <w:spacing w:after="240"/>
        <w:ind w:left="567" w:hanging="567"/>
      </w:pPr>
      <w:bookmarkStart w:id="22" w:name="_Hlk210900241"/>
      <w:r w:rsidRPr="00AE3DE6">
        <w:t>6.</w:t>
      </w:r>
      <w:r w:rsidRPr="00AE3DE6">
        <w:tab/>
        <w:t xml:space="preserve">korostaa tässä yhteydessä, että luvan myöntäminen minkä tahansa sellaisesta muuntogeenisestä kasvista tuotetun elintarvikkeen, rehun tai tuotteen tuonnille, josta on tehty sietokykyinen unionissa kielletyille rikkakasvien torjunta-aineille, kuten </w:t>
      </w:r>
      <w:proofErr w:type="spellStart"/>
      <w:r w:rsidRPr="00AE3DE6">
        <w:t>glufosinaatille</w:t>
      </w:r>
      <w:proofErr w:type="spellEnd"/>
      <w:r w:rsidRPr="00AE3DE6">
        <w:t>, on ristiriidassa muun muassa biologista monimuotoisuutta koskevasta YK:n yleissopimuksesta ja YK:n kestävän kehityksen tavoitteista, mukaan lukien Kunmingin-Montrealin maailmanlaajuinen luonnon monimuotoisuuskehys, johtuvien unionin kansainvälisten sitoumusten kanssa ja johtaa unionin viljelijöiden kannalta epätasapuolisiin toimintaedellytyksiin;</w:t>
      </w:r>
    </w:p>
    <w:bookmarkEnd w:id="22"/>
    <w:p w14:paraId="58FE819B" w14:textId="05C66029" w:rsidR="00AE3DE6" w:rsidRPr="00AE3DE6" w:rsidRDefault="001402AF" w:rsidP="00A43A98">
      <w:pPr>
        <w:widowControl/>
        <w:spacing w:after="240"/>
        <w:ind w:left="567" w:hanging="567"/>
      </w:pPr>
      <w:r w:rsidRPr="00AE3DE6">
        <w:t>7.</w:t>
      </w:r>
      <w:r w:rsidRPr="00AE3DE6">
        <w:tab/>
      </w:r>
      <w:bookmarkEnd w:id="20"/>
      <w:r w:rsidRPr="00AE3DE6">
        <w:t xml:space="preserve">kehottaa puhemiestä välittämään tämän päätöslauselman neuvostolle ja komissiolle sekä jäsenvaltioiden hallituksille ja parlamenteille. </w:t>
      </w:r>
    </w:p>
    <w:sectPr w:rsidR="00AE3DE6" w:rsidRPr="00AE3DE6" w:rsidSect="00AE3D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2BBCD" w14:textId="77777777" w:rsidR="00AE6321" w:rsidRPr="00AE3DE6" w:rsidRDefault="00AE6321">
      <w:r w:rsidRPr="00AE3DE6">
        <w:separator/>
      </w:r>
    </w:p>
  </w:endnote>
  <w:endnote w:type="continuationSeparator" w:id="0">
    <w:p w14:paraId="2B0199FA" w14:textId="77777777" w:rsidR="00AE6321" w:rsidRPr="00AE3DE6" w:rsidRDefault="00AE6321">
      <w:r w:rsidRPr="00AE3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1635F" w14:textId="77777777" w:rsidR="00AE6321" w:rsidRPr="00AE3DE6" w:rsidRDefault="00AE6321">
      <w:r w:rsidRPr="00AE3DE6">
        <w:separator/>
      </w:r>
    </w:p>
  </w:footnote>
  <w:footnote w:type="continuationSeparator" w:id="0">
    <w:p w14:paraId="482A002E" w14:textId="77777777" w:rsidR="00AE6321" w:rsidRPr="00AE3DE6" w:rsidRDefault="00AE6321">
      <w:r w:rsidRPr="00AE3DE6">
        <w:continuationSeparator/>
      </w:r>
    </w:p>
  </w:footnote>
  <w:footnote w:id="1">
    <w:p w14:paraId="582D19D8" w14:textId="0830F045" w:rsidR="001402AF" w:rsidRPr="0053789A" w:rsidRDefault="001402AF" w:rsidP="00AE3DE6">
      <w:pPr>
        <w:pStyle w:val="FootnoteText"/>
        <w:ind w:left="567" w:hanging="567"/>
        <w:rPr>
          <w:sz w:val="24"/>
          <w:lang w:val="fr-BE"/>
        </w:rPr>
      </w:pPr>
      <w:r w:rsidRPr="00AE3DE6">
        <w:rPr>
          <w:rStyle w:val="FootnoteReference"/>
          <w:sz w:val="24"/>
          <w:lang w:val="fi-FI"/>
        </w:rPr>
        <w:footnoteRef/>
      </w:r>
      <w:r w:rsidR="00AE3DE6" w:rsidRPr="0053789A">
        <w:rPr>
          <w:sz w:val="24"/>
          <w:lang w:val="fr-BE"/>
        </w:rPr>
        <w:t xml:space="preserve"> </w:t>
      </w:r>
      <w:r w:rsidR="00AE3DE6" w:rsidRPr="0053789A">
        <w:rPr>
          <w:sz w:val="24"/>
          <w:lang w:val="fr-BE"/>
        </w:rPr>
        <w:tab/>
      </w:r>
      <w:r w:rsidRPr="0053789A">
        <w:rPr>
          <w:sz w:val="24"/>
          <w:lang w:val="fr-BE"/>
        </w:rPr>
        <w:t>EUVL L 268, 18.10.2003, s. 1, ELI: </w:t>
      </w:r>
      <w:hyperlink r:id="rId1" w:tooltip="Avaa asiakirjan ELI URI -osoitteen kautta." w:history="1">
        <w:r w:rsidRPr="0053789A">
          <w:rPr>
            <w:rStyle w:val="Hyperlink"/>
            <w:sz w:val="24"/>
            <w:lang w:val="fr-BE"/>
          </w:rPr>
          <w:t>http://data.europa.eu/eli/reg/2003/1829/oj</w:t>
        </w:r>
      </w:hyperlink>
      <w:r w:rsidRPr="0053789A">
        <w:rPr>
          <w:rStyle w:val="Hyperlink"/>
          <w:sz w:val="24"/>
          <w:lang w:val="fr-BE"/>
        </w:rPr>
        <w:t>.</w:t>
      </w:r>
    </w:p>
  </w:footnote>
  <w:footnote w:id="2">
    <w:p w14:paraId="55455493" w14:textId="0DFFFA41" w:rsidR="001402AF" w:rsidRPr="0053789A" w:rsidRDefault="001402AF" w:rsidP="00AE3DE6">
      <w:pPr>
        <w:pStyle w:val="FootnoteText"/>
        <w:ind w:left="567" w:hanging="567"/>
        <w:rPr>
          <w:sz w:val="24"/>
          <w:lang w:val="fr-BE"/>
        </w:rPr>
      </w:pPr>
      <w:r w:rsidRPr="00AE3DE6">
        <w:rPr>
          <w:rStyle w:val="FootnoteReference"/>
          <w:sz w:val="24"/>
          <w:lang w:val="fi-FI"/>
        </w:rPr>
        <w:footnoteRef/>
      </w:r>
      <w:r w:rsidR="00AE3DE6" w:rsidRPr="0053789A">
        <w:rPr>
          <w:sz w:val="24"/>
          <w:lang w:val="fr-BE"/>
        </w:rPr>
        <w:t xml:space="preserve"> </w:t>
      </w:r>
      <w:r w:rsidR="00AE3DE6" w:rsidRPr="0053789A">
        <w:rPr>
          <w:sz w:val="24"/>
          <w:lang w:val="fr-BE"/>
        </w:rPr>
        <w:tab/>
      </w:r>
      <w:r w:rsidRPr="0053789A">
        <w:rPr>
          <w:sz w:val="24"/>
          <w:lang w:val="fr-BE"/>
        </w:rPr>
        <w:t>EUVL L 55, 28.2.2011, s. 13, ELI: </w:t>
      </w:r>
      <w:hyperlink r:id="rId2" w:history="1">
        <w:r w:rsidRPr="0053789A">
          <w:rPr>
            <w:rStyle w:val="Hyperlink"/>
            <w:sz w:val="24"/>
            <w:lang w:val="fr-BE"/>
          </w:rPr>
          <w:t>http://data.europa.eu/eli/reg/2011/182/oj</w:t>
        </w:r>
      </w:hyperlink>
      <w:r w:rsidRPr="0053789A">
        <w:rPr>
          <w:sz w:val="24"/>
          <w:lang w:val="fr-BE"/>
        </w:rPr>
        <w:t>.</w:t>
      </w:r>
    </w:p>
  </w:footnote>
  <w:footnote w:id="3">
    <w:p w14:paraId="5FCA74D3" w14:textId="409D840F" w:rsidR="001402AF" w:rsidRPr="0053789A" w:rsidRDefault="001402AF" w:rsidP="00AE3DE6">
      <w:pPr>
        <w:pStyle w:val="FootnoteText"/>
        <w:ind w:left="567" w:hanging="567"/>
        <w:rPr>
          <w:sz w:val="24"/>
          <w:lang w:val="en-GB"/>
        </w:rPr>
      </w:pPr>
      <w:r w:rsidRPr="00AE3DE6">
        <w:rPr>
          <w:sz w:val="24"/>
          <w:vertAlign w:val="superscript"/>
          <w:lang w:val="fi-FI"/>
        </w:rPr>
        <w:footnoteRef/>
      </w:r>
      <w:bookmarkStart w:id="10" w:name="_Hlk219207010"/>
      <w:r w:rsidR="00AE3DE6" w:rsidRPr="0053789A">
        <w:rPr>
          <w:sz w:val="24"/>
          <w:lang w:val="en-GB"/>
        </w:rPr>
        <w:t xml:space="preserve"> </w:t>
      </w:r>
      <w:r w:rsidR="00AE3DE6" w:rsidRPr="0053789A">
        <w:rPr>
          <w:sz w:val="24"/>
          <w:lang w:val="en-GB"/>
        </w:rPr>
        <w:tab/>
      </w:r>
      <w:proofErr w:type="spellStart"/>
      <w:r w:rsidRPr="0053789A">
        <w:rPr>
          <w:sz w:val="24"/>
          <w:lang w:val="en-GB"/>
        </w:rPr>
        <w:t>Muuntogeenisiä</w:t>
      </w:r>
      <w:proofErr w:type="spellEnd"/>
      <w:r w:rsidRPr="0053789A">
        <w:rPr>
          <w:sz w:val="24"/>
          <w:lang w:val="en-GB"/>
        </w:rPr>
        <w:t xml:space="preserve"> </w:t>
      </w:r>
      <w:proofErr w:type="spellStart"/>
      <w:r w:rsidRPr="0053789A">
        <w:rPr>
          <w:sz w:val="24"/>
          <w:lang w:val="en-GB"/>
        </w:rPr>
        <w:t>organismeja</w:t>
      </w:r>
      <w:proofErr w:type="spellEnd"/>
      <w:r w:rsidRPr="0053789A">
        <w:rPr>
          <w:sz w:val="24"/>
          <w:lang w:val="en-GB"/>
        </w:rPr>
        <w:t xml:space="preserve"> </w:t>
      </w:r>
      <w:proofErr w:type="spellStart"/>
      <w:r w:rsidRPr="0053789A">
        <w:rPr>
          <w:sz w:val="24"/>
          <w:lang w:val="en-GB"/>
        </w:rPr>
        <w:t>käsittelevän</w:t>
      </w:r>
      <w:proofErr w:type="spellEnd"/>
      <w:r w:rsidRPr="0053789A">
        <w:rPr>
          <w:sz w:val="24"/>
          <w:lang w:val="en-GB"/>
        </w:rPr>
        <w:t xml:space="preserve"> </w:t>
      </w:r>
      <w:proofErr w:type="spellStart"/>
      <w:r w:rsidRPr="0053789A">
        <w:rPr>
          <w:sz w:val="24"/>
          <w:lang w:val="en-GB"/>
        </w:rPr>
        <w:t>EFSAn</w:t>
      </w:r>
      <w:proofErr w:type="spellEnd"/>
      <w:r w:rsidRPr="0053789A">
        <w:rPr>
          <w:sz w:val="24"/>
          <w:lang w:val="en-GB"/>
        </w:rPr>
        <w:t xml:space="preserve"> </w:t>
      </w:r>
      <w:proofErr w:type="spellStart"/>
      <w:r w:rsidRPr="0053789A">
        <w:rPr>
          <w:sz w:val="24"/>
          <w:lang w:val="en-GB"/>
        </w:rPr>
        <w:t>lautakunnan</w:t>
      </w:r>
      <w:proofErr w:type="spellEnd"/>
      <w:r w:rsidRPr="0053789A">
        <w:rPr>
          <w:sz w:val="24"/>
          <w:lang w:val="en-GB"/>
        </w:rPr>
        <w:t xml:space="preserve"> </w:t>
      </w:r>
      <w:proofErr w:type="spellStart"/>
      <w:r w:rsidRPr="0053789A">
        <w:rPr>
          <w:sz w:val="24"/>
          <w:lang w:val="en-GB"/>
        </w:rPr>
        <w:t>tieteellinen</w:t>
      </w:r>
      <w:proofErr w:type="spellEnd"/>
      <w:r w:rsidRPr="0053789A">
        <w:rPr>
          <w:sz w:val="24"/>
          <w:lang w:val="en-GB"/>
        </w:rPr>
        <w:t xml:space="preserve"> </w:t>
      </w:r>
      <w:proofErr w:type="spellStart"/>
      <w:r w:rsidRPr="0053789A">
        <w:rPr>
          <w:sz w:val="24"/>
          <w:lang w:val="en-GB"/>
        </w:rPr>
        <w:t>lausunto</w:t>
      </w:r>
      <w:bookmarkEnd w:id="10"/>
      <w:proofErr w:type="spellEnd"/>
      <w:r w:rsidRPr="0053789A">
        <w:rPr>
          <w:sz w:val="24"/>
          <w:lang w:val="en-GB"/>
        </w:rPr>
        <w:t xml:space="preserve"> ”Assessment of genetically modified maize T25 for renewal authorisation under Regulation (EC) No 1829/2003 (dossier GMFF-2024-22651)”, EFSA Journal, 2025, 23(8):e9570, </w:t>
      </w:r>
      <w:hyperlink r:id="rId3" w:history="1">
        <w:r w:rsidRPr="0053789A">
          <w:rPr>
            <w:rStyle w:val="Hyperlink"/>
            <w:sz w:val="24"/>
            <w:lang w:val="en-GB"/>
          </w:rPr>
          <w:t>https://doi.org/10.2903/j.efsa.2025.9570</w:t>
        </w:r>
      </w:hyperlink>
      <w:r w:rsidRPr="0053789A">
        <w:rPr>
          <w:sz w:val="24"/>
          <w:lang w:val="en-GB"/>
        </w:rPr>
        <w:t xml:space="preserve">. </w:t>
      </w:r>
    </w:p>
  </w:footnote>
  <w:footnote w:id="4">
    <w:p w14:paraId="74F0B24B" w14:textId="1F230CA0" w:rsidR="001402AF" w:rsidRPr="00AE3DE6" w:rsidRDefault="001402AF" w:rsidP="00AE3DE6">
      <w:pPr>
        <w:pStyle w:val="FootnoteText"/>
        <w:ind w:left="567" w:hanging="567"/>
        <w:rPr>
          <w:color w:val="000000" w:themeColor="text1"/>
          <w:sz w:val="24"/>
          <w:vertAlign w:val="superscript"/>
          <w:lang w:val="fi-FI"/>
        </w:rPr>
      </w:pPr>
      <w:r w:rsidRPr="00AE3DE6">
        <w:rPr>
          <w:rStyle w:val="FootnoteReference"/>
          <w:sz w:val="24"/>
          <w:lang w:val="fi-FI"/>
        </w:rPr>
        <w:footnoteRef/>
      </w:r>
      <w:r w:rsidR="00AE3DE6" w:rsidRPr="00AE3DE6">
        <w:rPr>
          <w:sz w:val="24"/>
          <w:lang w:val="fi-FI"/>
        </w:rPr>
        <w:t xml:space="preserve"> </w:t>
      </w:r>
      <w:r w:rsidR="00AE3DE6" w:rsidRPr="00AE3DE6">
        <w:rPr>
          <w:sz w:val="24"/>
          <w:lang w:val="fi-FI"/>
        </w:rPr>
        <w:tab/>
      </w:r>
      <w:r w:rsidRPr="00AE3DE6">
        <w:rPr>
          <w:sz w:val="24"/>
          <w:lang w:val="fi-FI"/>
        </w:rPr>
        <w:t>Kahdeksannella vaalikaudella parlamentti hyväksyi 36 päätöslauselmaa ja yhdeksännellä vaalikaudella 38 päätöslauselmaa, joissa vastustettiin lupien myöntämistä muuntogeenisille organismeille.</w:t>
      </w:r>
      <w:r w:rsidRPr="00AE3DE6">
        <w:rPr>
          <w:color w:val="000000" w:themeColor="text1"/>
          <w:sz w:val="24"/>
          <w:lang w:val="fi-FI"/>
        </w:rPr>
        <w:t xml:space="preserve"> Lisäksi parlamentti on hyväksynyt kymmenennellä vaalikaudella seuraavat päätöslauselmat:</w:t>
      </w:r>
    </w:p>
    <w:p w14:paraId="50F4D9D0" w14:textId="6BB38280" w:rsidR="001402AF" w:rsidRPr="00AE3DE6" w:rsidRDefault="00AE3DE6" w:rsidP="00AE3DE6">
      <w:pPr>
        <w:pStyle w:val="FootnoteText"/>
        <w:ind w:left="567" w:hanging="567"/>
        <w:rPr>
          <w:color w:val="000000" w:themeColor="text1"/>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1402AF" w:rsidRPr="00AE3DE6">
          <w:rPr>
            <w:rStyle w:val="Hyperlink"/>
            <w:sz w:val="24"/>
            <w:lang w:val="fi-FI"/>
          </w:rPr>
          <w:t>http://data.europa.eu/eli/C/2025/1797/oj</w:t>
        </w:r>
      </w:hyperlink>
      <w:r w:rsidR="001402AF" w:rsidRPr="00AE3DE6">
        <w:rPr>
          <w:color w:val="000000" w:themeColor="text1"/>
          <w:sz w:val="24"/>
          <w:lang w:val="fi-FI"/>
        </w:rPr>
        <w:t>).</w:t>
      </w:r>
    </w:p>
    <w:p w14:paraId="5C54D00F" w14:textId="60A25837" w:rsidR="001402AF" w:rsidRPr="00AE3DE6" w:rsidRDefault="00AE3DE6" w:rsidP="00AE3DE6">
      <w:pPr>
        <w:pStyle w:val="FootnoteText"/>
        <w:keepNext/>
        <w:ind w:left="567" w:hanging="567"/>
        <w:rPr>
          <w:color w:val="000000" w:themeColor="text1"/>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1402AF" w:rsidRPr="00AE3DE6">
          <w:rPr>
            <w:rStyle w:val="Hyperlink"/>
            <w:sz w:val="24"/>
            <w:lang w:val="fi-FI"/>
          </w:rPr>
          <w:t>http://data.europa.eu/eli/C/2025/1798/oj</w:t>
        </w:r>
      </w:hyperlink>
      <w:r w:rsidR="001402AF" w:rsidRPr="00AE3DE6">
        <w:rPr>
          <w:color w:val="000000" w:themeColor="text1"/>
          <w:sz w:val="24"/>
          <w:lang w:val="fi-FI"/>
        </w:rPr>
        <w:t>).</w:t>
      </w:r>
    </w:p>
    <w:p w14:paraId="3CBEC4F0" w14:textId="4F1F2F97" w:rsidR="001402AF" w:rsidRPr="00AE3DE6" w:rsidRDefault="00AE3DE6" w:rsidP="00AE3DE6">
      <w:pPr>
        <w:pStyle w:val="FootnoteText"/>
        <w:ind w:left="567" w:hanging="567"/>
        <w:rPr>
          <w:color w:val="000000" w:themeColor="text1"/>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1402AF" w:rsidRPr="00AE3DE6">
          <w:rPr>
            <w:rStyle w:val="Hyperlink"/>
            <w:sz w:val="24"/>
            <w:lang w:val="fi-FI"/>
          </w:rPr>
          <w:t>http://data.europa.eu/eli/C/2025/1799/oj</w:t>
        </w:r>
      </w:hyperlink>
      <w:r w:rsidR="001402AF" w:rsidRPr="00AE3DE6">
        <w:rPr>
          <w:color w:val="000000" w:themeColor="text1"/>
          <w:sz w:val="24"/>
          <w:lang w:val="fi-FI"/>
        </w:rPr>
        <w:t>).</w:t>
      </w:r>
    </w:p>
    <w:p w14:paraId="7D95FDD4" w14:textId="7A718620" w:rsidR="001402AF" w:rsidRPr="00AE3DE6" w:rsidRDefault="00AE3DE6" w:rsidP="00AE3DE6">
      <w:pPr>
        <w:pStyle w:val="FootnoteText"/>
        <w:ind w:left="567" w:hanging="567"/>
        <w:rPr>
          <w:color w:val="000000" w:themeColor="text1"/>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1402AF" w:rsidRPr="00AE3DE6">
          <w:rPr>
            <w:rStyle w:val="Hyperlink"/>
            <w:sz w:val="24"/>
            <w:lang w:val="fi-FI"/>
          </w:rPr>
          <w:t>http://data.europa.eu/eli/C/2025/1800/oj</w:t>
        </w:r>
      </w:hyperlink>
      <w:r w:rsidR="001402AF" w:rsidRPr="00AE3DE6">
        <w:rPr>
          <w:color w:val="000000" w:themeColor="text1"/>
          <w:sz w:val="24"/>
          <w:lang w:val="fi-FI"/>
        </w:rPr>
        <w:t>).</w:t>
      </w:r>
    </w:p>
    <w:p w14:paraId="7E37BBA0" w14:textId="70336465" w:rsidR="001402AF" w:rsidRPr="00AE3DE6" w:rsidRDefault="00AE3DE6" w:rsidP="00AE3DE6">
      <w:pPr>
        <w:pStyle w:val="FootnoteText"/>
        <w:ind w:left="567" w:hanging="567"/>
        <w:rPr>
          <w:color w:val="000000" w:themeColor="text1"/>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8" w:history="1">
        <w:r w:rsidR="001402AF" w:rsidRPr="00AE3DE6">
          <w:rPr>
            <w:rStyle w:val="Hyperlink"/>
            <w:sz w:val="24"/>
            <w:lang w:val="fi-FI"/>
          </w:rPr>
          <w:t>http://data.europa.eu/eli/C/2025/1801/oj</w:t>
        </w:r>
      </w:hyperlink>
      <w:r w:rsidR="001402AF" w:rsidRPr="00AE3DE6">
        <w:rPr>
          <w:color w:val="000000" w:themeColor="text1"/>
          <w:sz w:val="24"/>
          <w:lang w:val="fi-FI"/>
        </w:rPr>
        <w:t>).</w:t>
      </w:r>
    </w:p>
    <w:p w14:paraId="3B25F504" w14:textId="55340298" w:rsidR="001402AF" w:rsidRPr="00AE3DE6" w:rsidRDefault="00AE3DE6" w:rsidP="00AE3DE6">
      <w:pPr>
        <w:pStyle w:val="FootnoteText"/>
        <w:ind w:left="567" w:hanging="567"/>
        <w:rPr>
          <w:color w:val="000000" w:themeColor="text1"/>
          <w:sz w:val="24"/>
          <w:vertAlign w:val="superscript"/>
          <w:lang w:val="fi-FI"/>
        </w:rPr>
      </w:pPr>
      <w:r w:rsidRPr="00AE3DE6">
        <w:rPr>
          <w:color w:val="000000" w:themeColor="text1"/>
          <w:sz w:val="24"/>
          <w:lang w:val="fi-FI"/>
        </w:rPr>
        <w:t xml:space="preserve"> </w:t>
      </w: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9" w:history="1">
        <w:r w:rsidR="001402AF" w:rsidRPr="00AE3DE6">
          <w:rPr>
            <w:rStyle w:val="Hyperlink"/>
            <w:sz w:val="24"/>
            <w:lang w:val="fi-FI"/>
          </w:rPr>
          <w:t>http://data.europa.eu/eli/C/2025/1802/oj</w:t>
        </w:r>
      </w:hyperlink>
      <w:r w:rsidR="001402AF" w:rsidRPr="00AE3DE6">
        <w:rPr>
          <w:color w:val="000000" w:themeColor="text1"/>
          <w:sz w:val="24"/>
          <w:lang w:val="fi-FI"/>
        </w:rPr>
        <w:t>).</w:t>
      </w:r>
    </w:p>
    <w:p w14:paraId="3A357917" w14:textId="7E9F70BF" w:rsidR="001402AF" w:rsidRPr="00AE3DE6" w:rsidRDefault="00AE3DE6" w:rsidP="00AE3DE6">
      <w:pPr>
        <w:pStyle w:val="FootnoteText"/>
        <w:ind w:left="567" w:hanging="567"/>
        <w:rPr>
          <w:color w:val="000000" w:themeColor="text1"/>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0" w:history="1">
        <w:r w:rsidR="001402AF" w:rsidRPr="00AE3DE6">
          <w:rPr>
            <w:rStyle w:val="Hyperlink"/>
            <w:sz w:val="24"/>
            <w:lang w:val="fi-FI"/>
          </w:rPr>
          <w:t>http://data.europa.eu/eli/C/2025/1803/oj</w:t>
        </w:r>
      </w:hyperlink>
      <w:r w:rsidR="001402AF" w:rsidRPr="00AE3DE6">
        <w:rPr>
          <w:color w:val="000000" w:themeColor="text1"/>
          <w:sz w:val="24"/>
          <w:lang w:val="fi-FI"/>
        </w:rPr>
        <w:t>).</w:t>
      </w:r>
    </w:p>
    <w:p w14:paraId="30732AA4" w14:textId="45B54B8B" w:rsidR="001402AF" w:rsidRPr="00AE3DE6" w:rsidRDefault="00AE3DE6" w:rsidP="00AE3DE6">
      <w:pPr>
        <w:pStyle w:val="FootnoteText"/>
        <w:ind w:left="567" w:hanging="567"/>
        <w:rPr>
          <w:color w:val="000000" w:themeColor="text1"/>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1" w:history="1">
        <w:r w:rsidR="001402AF" w:rsidRPr="00AE3DE6">
          <w:rPr>
            <w:rStyle w:val="Hyperlink"/>
            <w:sz w:val="24"/>
            <w:lang w:val="fi-FI"/>
          </w:rPr>
          <w:t>http://data.europa.eu/eli/C/2025/1804/oj</w:t>
        </w:r>
      </w:hyperlink>
      <w:r w:rsidR="001402AF" w:rsidRPr="00AE3DE6">
        <w:rPr>
          <w:color w:val="000000" w:themeColor="text1"/>
          <w:sz w:val="24"/>
          <w:lang w:val="fi-FI"/>
        </w:rPr>
        <w:t>).</w:t>
      </w:r>
    </w:p>
    <w:p w14:paraId="4D37B3C3" w14:textId="571FEC96" w:rsidR="001402AF" w:rsidRPr="00AE3DE6" w:rsidRDefault="00AE3DE6" w:rsidP="00AE3DE6">
      <w:pPr>
        <w:pStyle w:val="FootnoteText"/>
        <w:ind w:left="567" w:hanging="567"/>
        <w:rPr>
          <w:sz w:val="24"/>
          <w:vertAlign w:val="superscript"/>
          <w:lang w:val="fi-FI"/>
        </w:rPr>
      </w:pPr>
      <w:r w:rsidRPr="00AE3DE6">
        <w:rPr>
          <w:color w:val="000000" w:themeColor="text1"/>
          <w:sz w:val="24"/>
          <w:lang w:val="fi-FI"/>
        </w:rPr>
        <w:tab/>
      </w:r>
      <w:r w:rsidR="001402AF" w:rsidRPr="00AE3DE6">
        <w:rPr>
          <w:color w:val="000000" w:themeColor="text1"/>
          <w:sz w:val="24"/>
          <w:lang w:val="fi-FI"/>
        </w:rPr>
        <w:t>–</w:t>
      </w:r>
      <w:r w:rsidR="001402AF" w:rsidRPr="00AE3DE6">
        <w:rPr>
          <w:color w:val="000000" w:themeColor="text1"/>
          <w:sz w:val="24"/>
          <w:lang w:val="fi-FI"/>
        </w:rPr>
        <w:tab/>
      </w:r>
      <w:r w:rsidR="001402AF" w:rsidRPr="00AE3DE6">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w:t>
      </w:r>
      <w:bookmarkStart w:id="12" w:name="_Hlk219207574"/>
      <w:r w:rsidR="001402AF" w:rsidRPr="00AE3DE6">
        <w:rPr>
          <w:sz w:val="24"/>
          <w:lang w:val="fi-FI"/>
        </w:rPr>
        <w:t>(EUVL C, C/2025/2246, 29.4.2025, ELI: </w:t>
      </w:r>
      <w:hyperlink r:id="rId12" w:tooltip="Avaa asiakirjan ELI URI -osoitteen kautta." w:history="1">
        <w:r w:rsidR="001402AF" w:rsidRPr="00AE3DE6">
          <w:rPr>
            <w:rStyle w:val="Hyperlink"/>
            <w:sz w:val="24"/>
            <w:lang w:val="fi-FI"/>
          </w:rPr>
          <w:t>http://data.europa.eu/eli/C/2025/2246/oj</w:t>
        </w:r>
      </w:hyperlink>
      <w:r w:rsidR="001402AF" w:rsidRPr="00AE3DE6">
        <w:rPr>
          <w:sz w:val="24"/>
          <w:lang w:val="fi-FI"/>
        </w:rPr>
        <w:t>).</w:t>
      </w:r>
      <w:bookmarkEnd w:id="12"/>
    </w:p>
    <w:p w14:paraId="6CF8260A" w14:textId="7EC40F34" w:rsidR="001402AF" w:rsidRPr="00AE3DE6" w:rsidRDefault="00AE3DE6" w:rsidP="00AE3DE6">
      <w:pPr>
        <w:pStyle w:val="FootnoteT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w:t>
      </w:r>
      <w:bookmarkStart w:id="13" w:name="_Hlk219207593"/>
      <w:r w:rsidR="001402AF" w:rsidRPr="00AE3DE6">
        <w:rPr>
          <w:sz w:val="24"/>
          <w:lang w:val="fi-FI"/>
        </w:rPr>
        <w:t>(EUVL C, C/2025/2247, 29.4.2025, ELI: </w:t>
      </w:r>
      <w:hyperlink r:id="rId13" w:history="1">
        <w:r w:rsidR="001402AF" w:rsidRPr="00AE3DE6">
          <w:rPr>
            <w:rStyle w:val="Hyperlink"/>
            <w:sz w:val="24"/>
            <w:lang w:val="fi-FI"/>
          </w:rPr>
          <w:t>http://data.europa.eu/eli/C/2025/2247/oj</w:t>
        </w:r>
      </w:hyperlink>
      <w:r w:rsidR="001402AF" w:rsidRPr="00AE3DE6">
        <w:rPr>
          <w:sz w:val="24"/>
          <w:lang w:val="fi-FI"/>
        </w:rPr>
        <w:t>).</w:t>
      </w:r>
      <w:bookmarkEnd w:id="13"/>
    </w:p>
    <w:p w14:paraId="06D8448C" w14:textId="4288407E" w:rsidR="001402AF" w:rsidRPr="00AE3DE6" w:rsidRDefault="00AE3DE6" w:rsidP="00AE3DE6">
      <w:pPr>
        <w:pStyle w:val="FootnoteText"/>
        <w:ind w:left="567" w:hanging="567"/>
        <w:rPr>
          <w:sz w:val="24"/>
          <w:vertAlign w:val="superscript"/>
          <w:lang w:val="fi-FI"/>
        </w:rPr>
      </w:pPr>
      <w:bookmarkStart w:id="14" w:name="_Hlk219207619"/>
      <w:r w:rsidRPr="00AE3DE6">
        <w:rPr>
          <w:sz w:val="24"/>
          <w:lang w:val="fi-FI"/>
        </w:rPr>
        <w:tab/>
      </w:r>
      <w:r w:rsidR="001402AF" w:rsidRPr="00AE3DE6">
        <w:rPr>
          <w:sz w:val="24"/>
          <w:lang w:val="fi-FI"/>
        </w:rPr>
        <w:t>–</w:t>
      </w:r>
      <w:r w:rsidR="001402AF" w:rsidRPr="00AE3DE6">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w:t>
      </w:r>
      <w:r w:rsidR="00F54D73">
        <w:rPr>
          <w:sz w:val="24"/>
          <w:lang w:val="fi-FI"/>
        </w:rPr>
        <w:t xml:space="preserve">Hyväksytyt tekstit, </w:t>
      </w:r>
      <w:r w:rsidR="001402AF" w:rsidRPr="00AE3DE6">
        <w:rPr>
          <w:sz w:val="24"/>
          <w:lang w:val="fi-FI"/>
        </w:rPr>
        <w:t>P10_TA(2025)0106).</w:t>
      </w:r>
    </w:p>
    <w:p w14:paraId="31CA6C87" w14:textId="001EEC55" w:rsidR="001402AF" w:rsidRPr="00AE3DE6" w:rsidRDefault="00AE3DE6" w:rsidP="00AE3DE6">
      <w:pPr>
        <w:pStyle w:val="FootnoteT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w:t>
      </w:r>
      <w:r w:rsidR="00120DAF">
        <w:rPr>
          <w:sz w:val="24"/>
          <w:lang w:val="fi-FI"/>
        </w:rPr>
        <w:t xml:space="preserve">Hyväksytyt tekstit, </w:t>
      </w:r>
      <w:r w:rsidR="001402AF" w:rsidRPr="00AE3DE6">
        <w:rPr>
          <w:sz w:val="24"/>
          <w:lang w:val="fi-FI"/>
        </w:rPr>
        <w:t>P10_TA(2025)0222).</w:t>
      </w:r>
    </w:p>
    <w:p w14:paraId="3DB23D54" w14:textId="3D5D2217" w:rsidR="001402AF" w:rsidRPr="00AE3DE6" w:rsidRDefault="00AE3DE6" w:rsidP="00AE3DE6">
      <w:pPr>
        <w:pStyle w:val="FootnoteT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w:t>
      </w:r>
      <w:r w:rsidR="00120DAF">
        <w:rPr>
          <w:sz w:val="24"/>
          <w:lang w:val="fi-FI"/>
        </w:rPr>
        <w:t xml:space="preserve">Hyväksytyt tekstit, </w:t>
      </w:r>
      <w:r w:rsidR="001402AF" w:rsidRPr="00AE3DE6">
        <w:rPr>
          <w:sz w:val="24"/>
          <w:lang w:val="fi-FI"/>
        </w:rPr>
        <w:t>P10_TA(2025)0288).</w:t>
      </w:r>
    </w:p>
    <w:p w14:paraId="79E78186" w14:textId="1FDA4B73" w:rsidR="001402AF" w:rsidRPr="00AE3DE6" w:rsidRDefault="00AE3DE6" w:rsidP="00AE3DE6">
      <w:pPr>
        <w:pStyle w:val="FootnoteText"/>
        <w:keepN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w:t>
      </w:r>
      <w:r w:rsidR="00120DAF">
        <w:rPr>
          <w:sz w:val="24"/>
          <w:lang w:val="fi-FI"/>
        </w:rPr>
        <w:t xml:space="preserve">Hyväksytyt tekstit, </w:t>
      </w:r>
      <w:r w:rsidR="001402AF" w:rsidRPr="00AE3DE6">
        <w:rPr>
          <w:sz w:val="24"/>
          <w:lang w:val="fi-FI"/>
        </w:rPr>
        <w:t>P10_TA(2025)0289).</w:t>
      </w:r>
    </w:p>
    <w:p w14:paraId="4160F2DB" w14:textId="64F82CC4" w:rsidR="001402AF" w:rsidRPr="00AE3DE6" w:rsidRDefault="00AE3DE6" w:rsidP="00AE3DE6">
      <w:pPr>
        <w:pStyle w:val="FootnoteT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w:t>
      </w:r>
      <w:r w:rsidR="00120DAF">
        <w:rPr>
          <w:sz w:val="24"/>
          <w:lang w:val="fi-FI"/>
        </w:rPr>
        <w:t xml:space="preserve">Hyväksytyt tekstit, </w:t>
      </w:r>
      <w:r w:rsidR="001402AF" w:rsidRPr="00AE3DE6">
        <w:rPr>
          <w:sz w:val="24"/>
          <w:lang w:val="fi-FI"/>
        </w:rPr>
        <w:t>P10_TA(2025)0290).</w:t>
      </w:r>
    </w:p>
    <w:p w14:paraId="3F519B18" w14:textId="28F1F2B1" w:rsidR="001402AF" w:rsidRPr="00AE3DE6" w:rsidRDefault="00AE3DE6" w:rsidP="00AE3DE6">
      <w:pPr>
        <w:pStyle w:val="FootnoteT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w:t>
      </w:r>
      <w:r w:rsidR="00120DAF">
        <w:rPr>
          <w:sz w:val="24"/>
          <w:lang w:val="fi-FI"/>
        </w:rPr>
        <w:t xml:space="preserve">Hyväksytyt tekstit, </w:t>
      </w:r>
      <w:r w:rsidR="001402AF" w:rsidRPr="00AE3DE6">
        <w:rPr>
          <w:sz w:val="24"/>
          <w:lang w:val="fi-FI"/>
        </w:rPr>
        <w:t>P10_TA(2025)0291).</w:t>
      </w:r>
    </w:p>
    <w:p w14:paraId="38B7B1E6" w14:textId="38F1A273" w:rsidR="001402AF" w:rsidRPr="00AE3DE6" w:rsidRDefault="00AE3DE6" w:rsidP="00AE3DE6">
      <w:pPr>
        <w:pStyle w:val="FootnoteT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w:t>
      </w:r>
      <w:r w:rsidR="00120DAF">
        <w:rPr>
          <w:sz w:val="24"/>
          <w:lang w:val="fi-FI"/>
        </w:rPr>
        <w:t xml:space="preserve">Hyväksytyt tekstit, </w:t>
      </w:r>
      <w:r w:rsidR="001402AF" w:rsidRPr="00AE3DE6">
        <w:rPr>
          <w:sz w:val="24"/>
          <w:lang w:val="fi-FI"/>
        </w:rPr>
        <w:t>P10_TA(2025)0292).</w:t>
      </w:r>
    </w:p>
    <w:p w14:paraId="7A3097A6" w14:textId="148D3201" w:rsidR="001402AF" w:rsidRPr="00AE3DE6" w:rsidRDefault="00AE3DE6" w:rsidP="00AE3DE6">
      <w:pPr>
        <w:pStyle w:val="FootnoteText"/>
        <w:ind w:left="567" w:hanging="567"/>
        <w:rPr>
          <w:sz w:val="24"/>
          <w:vertAlign w:val="superscript"/>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16.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 (</w:t>
      </w:r>
      <w:r w:rsidR="00120DAF">
        <w:rPr>
          <w:sz w:val="24"/>
          <w:lang w:val="fi-FI"/>
        </w:rPr>
        <w:t xml:space="preserve">Hyväksytyt tekstit, </w:t>
      </w:r>
      <w:r w:rsidR="001402AF" w:rsidRPr="00AE3DE6">
        <w:rPr>
          <w:sz w:val="24"/>
          <w:lang w:val="fi-FI"/>
        </w:rPr>
        <w:t>P10_TA(2025)0327).</w:t>
      </w:r>
    </w:p>
    <w:p w14:paraId="3536A601" w14:textId="07C3FED3" w:rsidR="001402AF" w:rsidRPr="00AE3DE6" w:rsidRDefault="00AE3DE6" w:rsidP="00AE3DE6">
      <w:pPr>
        <w:pStyle w:val="FootnoteText"/>
        <w:ind w:left="567" w:hanging="567"/>
        <w:rPr>
          <w:sz w:val="24"/>
          <w:lang w:val="fi-FI"/>
        </w:rPr>
      </w:pPr>
      <w:r w:rsidRPr="00AE3DE6">
        <w:rPr>
          <w:sz w:val="24"/>
          <w:lang w:val="fi-FI"/>
        </w:rPr>
        <w:tab/>
      </w:r>
      <w:r w:rsidR="001402AF" w:rsidRPr="00AE3DE6">
        <w:rPr>
          <w:sz w:val="24"/>
          <w:lang w:val="fi-FI"/>
        </w:rPr>
        <w:t>–</w:t>
      </w:r>
      <w:r w:rsidR="001402AF" w:rsidRPr="00AE3DE6">
        <w:rPr>
          <w:sz w:val="24"/>
          <w:lang w:val="fi-FI"/>
        </w:rPr>
        <w:tab/>
        <w:t>Euroopan parlamentin päätöslauselma 16.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 (</w:t>
      </w:r>
      <w:r w:rsidR="00120DAF">
        <w:rPr>
          <w:sz w:val="24"/>
          <w:lang w:val="fi-FI"/>
        </w:rPr>
        <w:t xml:space="preserve">Hyväksytyt tekstit, </w:t>
      </w:r>
      <w:r w:rsidR="001402AF" w:rsidRPr="00AE3DE6">
        <w:rPr>
          <w:sz w:val="24"/>
          <w:lang w:val="fi-FI"/>
        </w:rPr>
        <w:t>P10_TA(2025)0328).</w:t>
      </w:r>
      <w:bookmarkEnd w:id="14"/>
    </w:p>
  </w:footnote>
  <w:footnote w:id="5">
    <w:p w14:paraId="0C8B4105" w14:textId="1086AA63" w:rsidR="001402AF" w:rsidRPr="00AE3DE6" w:rsidRDefault="001402AF" w:rsidP="00AE3DE6">
      <w:pPr>
        <w:pStyle w:val="FootnoteText"/>
        <w:ind w:left="567" w:hanging="567"/>
        <w:rPr>
          <w:iCs/>
          <w:sz w:val="24"/>
          <w:lang w:val="fi-FI"/>
        </w:rPr>
      </w:pPr>
      <w:r w:rsidRPr="00AE3DE6">
        <w:rPr>
          <w:rStyle w:val="FootnoteReference"/>
          <w:sz w:val="24"/>
          <w:lang w:val="fi-FI"/>
        </w:rPr>
        <w:footnoteRef/>
      </w:r>
      <w:r w:rsidR="00AE3DE6" w:rsidRPr="00AE3DE6">
        <w:rPr>
          <w:sz w:val="24"/>
          <w:lang w:val="fi-FI"/>
        </w:rPr>
        <w:t xml:space="preserve"> </w:t>
      </w:r>
      <w:r w:rsidR="00AE3DE6" w:rsidRPr="00AE3DE6">
        <w:rPr>
          <w:sz w:val="24"/>
          <w:lang w:val="fi-FI"/>
        </w:rPr>
        <w:tab/>
      </w:r>
      <w:r w:rsidRPr="00AE3DE6">
        <w:rPr>
          <w:sz w:val="24"/>
          <w:lang w:val="fi-FI"/>
        </w:rPr>
        <w:t>Komission täytäntöönpanopäätös (EU) 2015/697, annettu 24. huhtikuuta 2015, muuntogeenisen maissin T25 (ACS-ZMØØ3-2) markkinoille saattamisen sallimisesta ja olemassa olevien T25 (ACS-ZMØØ3-2) -maissituotteiden luvan uusimisesta Euroopan parlamentin ja neuvoston asetuksen (EY) N:o 1829/2003 mukaisesti (EUVL L 112, 30.4.2015, s. 66, ELI: </w:t>
      </w:r>
      <w:hyperlink r:id="rId14" w:history="1">
        <w:r w:rsidRPr="00AE3DE6">
          <w:rPr>
            <w:rStyle w:val="Hyperlink"/>
            <w:sz w:val="24"/>
            <w:lang w:val="fi-FI"/>
          </w:rPr>
          <w:t>http://data.europa.eu/eli/dec_impl/2015/697/oj</w:t>
        </w:r>
      </w:hyperlink>
      <w:r w:rsidRPr="00AE3DE6">
        <w:rPr>
          <w:sz w:val="24"/>
          <w:lang w:val="fi-FI"/>
        </w:rPr>
        <w:t>).</w:t>
      </w:r>
    </w:p>
  </w:footnote>
  <w:footnote w:id="6">
    <w:p w14:paraId="554A0953" w14:textId="4447D005" w:rsidR="001402AF" w:rsidRPr="00AE3DE6" w:rsidRDefault="001402AF" w:rsidP="00AE3DE6">
      <w:pPr>
        <w:pStyle w:val="FootnoteText"/>
        <w:ind w:left="567" w:hanging="567"/>
        <w:rPr>
          <w:sz w:val="24"/>
          <w:lang w:val="fi-FI"/>
        </w:rPr>
      </w:pPr>
      <w:r w:rsidRPr="00AE3DE6">
        <w:rPr>
          <w:rStyle w:val="FootnoteReference"/>
          <w:sz w:val="24"/>
          <w:lang w:val="fi-FI"/>
        </w:rPr>
        <w:footnoteRef/>
      </w:r>
      <w:r w:rsidR="00AE3DE6" w:rsidRPr="00AE3DE6">
        <w:rPr>
          <w:sz w:val="24"/>
          <w:lang w:val="fi-FI"/>
        </w:rPr>
        <w:t xml:space="preserve"> </w:t>
      </w:r>
      <w:r w:rsidR="00AE3DE6" w:rsidRPr="00AE3DE6">
        <w:rPr>
          <w:sz w:val="24"/>
          <w:lang w:val="fi-FI"/>
        </w:rPr>
        <w:tab/>
      </w:r>
      <w:r w:rsidRPr="00AE3DE6">
        <w:rPr>
          <w:sz w:val="24"/>
          <w:lang w:val="fi-FI"/>
        </w:rPr>
        <w:t xml:space="preserve">Muuntogeenisiä organismeja käsittelevän </w:t>
      </w:r>
      <w:proofErr w:type="spellStart"/>
      <w:r w:rsidRPr="00AE3DE6">
        <w:rPr>
          <w:sz w:val="24"/>
          <w:lang w:val="fi-FI"/>
        </w:rPr>
        <w:t>EFSAn</w:t>
      </w:r>
      <w:proofErr w:type="spellEnd"/>
      <w:r w:rsidRPr="00AE3DE6">
        <w:rPr>
          <w:sz w:val="24"/>
          <w:lang w:val="fi-FI"/>
        </w:rPr>
        <w:t xml:space="preserve"> lautakunnan tieteellinen lausunto ”Applications EFSA-GMO-RX-T25 and EFSA-GMO-NL-2007-46 for </w:t>
      </w:r>
      <w:proofErr w:type="spellStart"/>
      <w:r w:rsidRPr="00AE3DE6">
        <w:rPr>
          <w:sz w:val="24"/>
          <w:lang w:val="fi-FI"/>
        </w:rPr>
        <w:t>the</w:t>
      </w:r>
      <w:proofErr w:type="spellEnd"/>
      <w:r w:rsidRPr="00AE3DE6">
        <w:rPr>
          <w:sz w:val="24"/>
          <w:lang w:val="fi-FI"/>
        </w:rPr>
        <w:t xml:space="preserve"> </w:t>
      </w:r>
      <w:proofErr w:type="spellStart"/>
      <w:r w:rsidRPr="00AE3DE6">
        <w:rPr>
          <w:sz w:val="24"/>
          <w:lang w:val="fi-FI"/>
        </w:rPr>
        <w:t>renewal</w:t>
      </w:r>
      <w:proofErr w:type="spellEnd"/>
      <w:r w:rsidRPr="00AE3DE6">
        <w:rPr>
          <w:sz w:val="24"/>
          <w:lang w:val="fi-FI"/>
        </w:rPr>
        <w:t xml:space="preserve"> of </w:t>
      </w:r>
      <w:proofErr w:type="spellStart"/>
      <w:r w:rsidRPr="00AE3DE6">
        <w:rPr>
          <w:sz w:val="24"/>
          <w:lang w:val="fi-FI"/>
        </w:rPr>
        <w:t>authorisation</w:t>
      </w:r>
      <w:proofErr w:type="spellEnd"/>
      <w:r w:rsidRPr="00AE3DE6">
        <w:rPr>
          <w:sz w:val="24"/>
          <w:lang w:val="fi-FI"/>
        </w:rPr>
        <w:t xml:space="preserve"> of </w:t>
      </w:r>
      <w:proofErr w:type="spellStart"/>
      <w:r w:rsidRPr="00AE3DE6">
        <w:rPr>
          <w:sz w:val="24"/>
          <w:lang w:val="fi-FI"/>
        </w:rPr>
        <w:t>maize</w:t>
      </w:r>
      <w:proofErr w:type="spellEnd"/>
      <w:r w:rsidRPr="00AE3DE6">
        <w:rPr>
          <w:sz w:val="24"/>
          <w:lang w:val="fi-FI"/>
        </w:rPr>
        <w:t xml:space="preserve"> T25, and for </w:t>
      </w:r>
      <w:proofErr w:type="spellStart"/>
      <w:r w:rsidRPr="00AE3DE6">
        <w:rPr>
          <w:sz w:val="24"/>
          <w:lang w:val="fi-FI"/>
        </w:rPr>
        <w:t>the</w:t>
      </w:r>
      <w:proofErr w:type="spellEnd"/>
      <w:r w:rsidRPr="00AE3DE6">
        <w:rPr>
          <w:sz w:val="24"/>
          <w:lang w:val="fi-FI"/>
        </w:rPr>
        <w:t xml:space="preserve"> </w:t>
      </w:r>
      <w:proofErr w:type="spellStart"/>
      <w:r w:rsidRPr="00AE3DE6">
        <w:rPr>
          <w:sz w:val="24"/>
          <w:lang w:val="fi-FI"/>
        </w:rPr>
        <w:t>placing</w:t>
      </w:r>
      <w:proofErr w:type="spellEnd"/>
      <w:r w:rsidRPr="00AE3DE6">
        <w:rPr>
          <w:sz w:val="24"/>
          <w:lang w:val="fi-FI"/>
        </w:rPr>
        <w:t xml:space="preserve"> on </w:t>
      </w:r>
      <w:proofErr w:type="spellStart"/>
      <w:r w:rsidRPr="00AE3DE6">
        <w:rPr>
          <w:sz w:val="24"/>
          <w:lang w:val="fi-FI"/>
        </w:rPr>
        <w:t>the</w:t>
      </w:r>
      <w:proofErr w:type="spellEnd"/>
      <w:r w:rsidRPr="00AE3DE6">
        <w:rPr>
          <w:sz w:val="24"/>
          <w:lang w:val="fi-FI"/>
        </w:rPr>
        <w:t xml:space="preserve"> market of </w:t>
      </w:r>
      <w:proofErr w:type="spellStart"/>
      <w:r w:rsidRPr="00AE3DE6">
        <w:rPr>
          <w:sz w:val="24"/>
          <w:lang w:val="fi-FI"/>
        </w:rPr>
        <w:t>herbicide-tolerant</w:t>
      </w:r>
      <w:proofErr w:type="spellEnd"/>
      <w:r w:rsidRPr="00AE3DE6">
        <w:rPr>
          <w:sz w:val="24"/>
          <w:lang w:val="fi-FI"/>
        </w:rPr>
        <w:t xml:space="preserve"> </w:t>
      </w:r>
      <w:proofErr w:type="spellStart"/>
      <w:r w:rsidRPr="00AE3DE6">
        <w:rPr>
          <w:sz w:val="24"/>
          <w:lang w:val="fi-FI"/>
        </w:rPr>
        <w:t>genetically</w:t>
      </w:r>
      <w:proofErr w:type="spellEnd"/>
      <w:r w:rsidRPr="00AE3DE6">
        <w:rPr>
          <w:sz w:val="24"/>
          <w:lang w:val="fi-FI"/>
        </w:rPr>
        <w:t xml:space="preserve"> </w:t>
      </w:r>
      <w:proofErr w:type="spellStart"/>
      <w:r w:rsidRPr="00AE3DE6">
        <w:rPr>
          <w:sz w:val="24"/>
          <w:lang w:val="fi-FI"/>
        </w:rPr>
        <w:t>modified</w:t>
      </w:r>
      <w:proofErr w:type="spellEnd"/>
      <w:r w:rsidRPr="00AE3DE6">
        <w:rPr>
          <w:sz w:val="24"/>
          <w:lang w:val="fi-FI"/>
        </w:rPr>
        <w:t xml:space="preserve"> </w:t>
      </w:r>
      <w:proofErr w:type="spellStart"/>
      <w:r w:rsidRPr="00AE3DE6">
        <w:rPr>
          <w:sz w:val="24"/>
          <w:lang w:val="fi-FI"/>
        </w:rPr>
        <w:t>maize</w:t>
      </w:r>
      <w:proofErr w:type="spellEnd"/>
      <w:r w:rsidRPr="00AE3DE6">
        <w:rPr>
          <w:sz w:val="24"/>
          <w:lang w:val="fi-FI"/>
        </w:rPr>
        <w:t xml:space="preserve"> T25, </w:t>
      </w:r>
      <w:proofErr w:type="spellStart"/>
      <w:r w:rsidRPr="00AE3DE6">
        <w:rPr>
          <w:sz w:val="24"/>
          <w:lang w:val="fi-FI"/>
        </w:rPr>
        <w:t>both</w:t>
      </w:r>
      <w:proofErr w:type="spellEnd"/>
      <w:r w:rsidRPr="00AE3DE6">
        <w:rPr>
          <w:sz w:val="24"/>
          <w:lang w:val="fi-FI"/>
        </w:rPr>
        <w:t xml:space="preserve"> for food and </w:t>
      </w:r>
      <w:proofErr w:type="spellStart"/>
      <w:r w:rsidRPr="00AE3DE6">
        <w:rPr>
          <w:sz w:val="24"/>
          <w:lang w:val="fi-FI"/>
        </w:rPr>
        <w:t>feed</w:t>
      </w:r>
      <w:proofErr w:type="spellEnd"/>
      <w:r w:rsidRPr="00AE3DE6">
        <w:rPr>
          <w:sz w:val="24"/>
          <w:lang w:val="fi-FI"/>
        </w:rPr>
        <w:t xml:space="preserve"> </w:t>
      </w:r>
      <w:proofErr w:type="spellStart"/>
      <w:r w:rsidRPr="00AE3DE6">
        <w:rPr>
          <w:sz w:val="24"/>
          <w:lang w:val="fi-FI"/>
        </w:rPr>
        <w:t>uses</w:t>
      </w:r>
      <w:proofErr w:type="spellEnd"/>
      <w:r w:rsidRPr="00AE3DE6">
        <w:rPr>
          <w:sz w:val="24"/>
          <w:lang w:val="fi-FI"/>
        </w:rPr>
        <w:t xml:space="preserve">, import and </w:t>
      </w:r>
      <w:proofErr w:type="spellStart"/>
      <w:r w:rsidRPr="00AE3DE6">
        <w:rPr>
          <w:sz w:val="24"/>
          <w:lang w:val="fi-FI"/>
        </w:rPr>
        <w:t>processing</w:t>
      </w:r>
      <w:proofErr w:type="spellEnd"/>
      <w:r w:rsidRPr="00AE3DE6">
        <w:rPr>
          <w:sz w:val="24"/>
          <w:lang w:val="fi-FI"/>
        </w:rPr>
        <w:t xml:space="preserve"> </w:t>
      </w:r>
      <w:proofErr w:type="spellStart"/>
      <w:r w:rsidRPr="00AE3DE6">
        <w:rPr>
          <w:sz w:val="24"/>
          <w:lang w:val="fi-FI"/>
        </w:rPr>
        <w:t>under</w:t>
      </w:r>
      <w:proofErr w:type="spellEnd"/>
      <w:r w:rsidRPr="00AE3DE6">
        <w:rPr>
          <w:sz w:val="24"/>
          <w:lang w:val="fi-FI"/>
        </w:rPr>
        <w:t xml:space="preserve"> </w:t>
      </w:r>
      <w:proofErr w:type="spellStart"/>
      <w:r w:rsidRPr="00AE3DE6">
        <w:rPr>
          <w:sz w:val="24"/>
          <w:lang w:val="fi-FI"/>
        </w:rPr>
        <w:t>Regulation</w:t>
      </w:r>
      <w:proofErr w:type="spellEnd"/>
      <w:r w:rsidRPr="00AE3DE6">
        <w:rPr>
          <w:sz w:val="24"/>
          <w:lang w:val="fi-FI"/>
        </w:rPr>
        <w:t xml:space="preserve"> (EC) No 1829/2003 </w:t>
      </w:r>
      <w:proofErr w:type="spellStart"/>
      <w:r w:rsidRPr="00AE3DE6">
        <w:rPr>
          <w:sz w:val="24"/>
          <w:lang w:val="fi-FI"/>
        </w:rPr>
        <w:t>from</w:t>
      </w:r>
      <w:proofErr w:type="spellEnd"/>
      <w:r w:rsidRPr="00AE3DE6">
        <w:rPr>
          <w:sz w:val="24"/>
          <w:lang w:val="fi-FI"/>
        </w:rPr>
        <w:t xml:space="preserve"> Bayer </w:t>
      </w:r>
      <w:proofErr w:type="spellStart"/>
      <w:r w:rsidRPr="00AE3DE6">
        <w:rPr>
          <w:sz w:val="24"/>
          <w:lang w:val="fi-FI"/>
        </w:rPr>
        <w:t>CropScience</w:t>
      </w:r>
      <w:proofErr w:type="spellEnd"/>
      <w:r w:rsidRPr="00AE3DE6">
        <w:rPr>
          <w:sz w:val="24"/>
          <w:lang w:val="fi-FI"/>
        </w:rPr>
        <w:t xml:space="preserve"> AG”, EFSA Journal</w:t>
      </w:r>
      <w:r w:rsidRPr="00AE3DE6">
        <w:rPr>
          <w:i/>
          <w:sz w:val="24"/>
          <w:lang w:val="fi-FI"/>
        </w:rPr>
        <w:t xml:space="preserve">, </w:t>
      </w:r>
      <w:r w:rsidRPr="00AE3DE6">
        <w:rPr>
          <w:sz w:val="24"/>
          <w:lang w:val="fi-FI"/>
        </w:rPr>
        <w:t xml:space="preserve">2013, 11(10):3356, </w:t>
      </w:r>
      <w:hyperlink r:id="rId15" w:history="1">
        <w:r w:rsidRPr="00AE3DE6">
          <w:rPr>
            <w:rStyle w:val="Hyperlink"/>
            <w:sz w:val="24"/>
            <w:lang w:val="fi-FI"/>
          </w:rPr>
          <w:t>https://doi.org/10.2903/j.efsa.2013.3356</w:t>
        </w:r>
      </w:hyperlink>
      <w:r w:rsidRPr="00AE3DE6">
        <w:rPr>
          <w:sz w:val="24"/>
          <w:lang w:val="fi-FI"/>
        </w:rPr>
        <w:t>.</w:t>
      </w:r>
    </w:p>
  </w:footnote>
  <w:footnote w:id="7">
    <w:p w14:paraId="14548AF3" w14:textId="4F155C75" w:rsidR="001402AF" w:rsidRPr="00AE3DE6" w:rsidRDefault="001402AF" w:rsidP="00AE3DE6">
      <w:pPr>
        <w:pStyle w:val="FootnoteText"/>
        <w:ind w:left="567" w:hanging="567"/>
        <w:rPr>
          <w:sz w:val="24"/>
          <w:lang w:val="fi-FI"/>
        </w:rPr>
      </w:pPr>
      <w:r w:rsidRPr="00AE3DE6">
        <w:rPr>
          <w:rStyle w:val="FootnoteReference"/>
          <w:sz w:val="24"/>
          <w:lang w:val="fi-FI"/>
        </w:rPr>
        <w:footnoteRef/>
      </w:r>
      <w:r w:rsidR="00AE3DE6" w:rsidRPr="00AE3DE6">
        <w:rPr>
          <w:sz w:val="24"/>
          <w:shd w:val="clear" w:color="auto" w:fill="FFFFFF"/>
          <w:lang w:val="fi-FI"/>
        </w:rPr>
        <w:t xml:space="preserve"> </w:t>
      </w:r>
      <w:r w:rsidR="00AE3DE6" w:rsidRPr="00AE3DE6">
        <w:rPr>
          <w:sz w:val="24"/>
          <w:shd w:val="clear" w:color="auto" w:fill="FFFFFF"/>
          <w:lang w:val="fi-FI"/>
        </w:rPr>
        <w:tab/>
      </w:r>
      <w:r w:rsidRPr="00AE3DE6">
        <w:rPr>
          <w:sz w:val="24"/>
          <w:shd w:val="clear" w:color="auto" w:fill="FFFFFF"/>
          <w:lang w:val="fi-FI"/>
        </w:rPr>
        <w:t xml:space="preserve">Ks. esimerkiksi </w:t>
      </w:r>
      <w:proofErr w:type="spellStart"/>
      <w:r w:rsidRPr="00AE3DE6">
        <w:rPr>
          <w:sz w:val="24"/>
          <w:shd w:val="clear" w:color="auto" w:fill="FFFFFF"/>
          <w:lang w:val="fi-FI"/>
        </w:rPr>
        <w:t>Bonny</w:t>
      </w:r>
      <w:proofErr w:type="spellEnd"/>
      <w:r w:rsidRPr="00AE3DE6">
        <w:rPr>
          <w:sz w:val="24"/>
          <w:shd w:val="clear" w:color="auto" w:fill="FFFFFF"/>
          <w:lang w:val="fi-FI"/>
        </w:rPr>
        <w:t>, S., ”</w:t>
      </w:r>
      <w:proofErr w:type="spellStart"/>
      <w:r w:rsidRPr="00AE3DE6">
        <w:rPr>
          <w:sz w:val="24"/>
          <w:shd w:val="clear" w:color="auto" w:fill="FFFFFF"/>
          <w:lang w:val="fi-FI"/>
        </w:rPr>
        <w:t>Genetically</w:t>
      </w:r>
      <w:proofErr w:type="spellEnd"/>
      <w:r w:rsidRPr="00AE3DE6">
        <w:rPr>
          <w:sz w:val="24"/>
          <w:shd w:val="clear" w:color="auto" w:fill="FFFFFF"/>
          <w:lang w:val="fi-FI"/>
        </w:rPr>
        <w:t xml:space="preserve"> </w:t>
      </w:r>
      <w:proofErr w:type="spellStart"/>
      <w:r w:rsidRPr="00AE3DE6">
        <w:rPr>
          <w:sz w:val="24"/>
          <w:shd w:val="clear" w:color="auto" w:fill="FFFFFF"/>
          <w:lang w:val="fi-FI"/>
        </w:rPr>
        <w:t>Modified</w:t>
      </w:r>
      <w:proofErr w:type="spellEnd"/>
      <w:r w:rsidRPr="00AE3DE6">
        <w:rPr>
          <w:sz w:val="24"/>
          <w:shd w:val="clear" w:color="auto" w:fill="FFFFFF"/>
          <w:lang w:val="fi-FI"/>
        </w:rPr>
        <w:t xml:space="preserve"> </w:t>
      </w:r>
      <w:proofErr w:type="spellStart"/>
      <w:r w:rsidRPr="00AE3DE6">
        <w:rPr>
          <w:sz w:val="24"/>
          <w:shd w:val="clear" w:color="auto" w:fill="FFFFFF"/>
          <w:lang w:val="fi-FI"/>
        </w:rPr>
        <w:t>Herbicide-Tolerant</w:t>
      </w:r>
      <w:proofErr w:type="spellEnd"/>
      <w:r w:rsidRPr="00AE3DE6">
        <w:rPr>
          <w:sz w:val="24"/>
          <w:shd w:val="clear" w:color="auto" w:fill="FFFFFF"/>
          <w:lang w:val="fi-FI"/>
        </w:rPr>
        <w:t xml:space="preserve"> </w:t>
      </w:r>
      <w:proofErr w:type="spellStart"/>
      <w:r w:rsidRPr="00AE3DE6">
        <w:rPr>
          <w:sz w:val="24"/>
          <w:shd w:val="clear" w:color="auto" w:fill="FFFFFF"/>
          <w:lang w:val="fi-FI"/>
        </w:rPr>
        <w:t>Crops</w:t>
      </w:r>
      <w:proofErr w:type="spellEnd"/>
      <w:r w:rsidRPr="00AE3DE6">
        <w:rPr>
          <w:sz w:val="24"/>
          <w:shd w:val="clear" w:color="auto" w:fill="FFFFFF"/>
          <w:lang w:val="fi-FI"/>
        </w:rPr>
        <w:t xml:space="preserve">, </w:t>
      </w:r>
      <w:proofErr w:type="spellStart"/>
      <w:r w:rsidRPr="00AE3DE6">
        <w:rPr>
          <w:sz w:val="24"/>
          <w:shd w:val="clear" w:color="auto" w:fill="FFFFFF"/>
          <w:lang w:val="fi-FI"/>
        </w:rPr>
        <w:t>Weeds</w:t>
      </w:r>
      <w:proofErr w:type="spellEnd"/>
      <w:r w:rsidRPr="00AE3DE6">
        <w:rPr>
          <w:sz w:val="24"/>
          <w:shd w:val="clear" w:color="auto" w:fill="FFFFFF"/>
          <w:lang w:val="fi-FI"/>
        </w:rPr>
        <w:t xml:space="preserve">, and </w:t>
      </w:r>
      <w:proofErr w:type="spellStart"/>
      <w:r w:rsidRPr="00AE3DE6">
        <w:rPr>
          <w:sz w:val="24"/>
          <w:shd w:val="clear" w:color="auto" w:fill="FFFFFF"/>
          <w:lang w:val="fi-FI"/>
        </w:rPr>
        <w:t>Herbicides</w:t>
      </w:r>
      <w:proofErr w:type="spellEnd"/>
      <w:r w:rsidRPr="00AE3DE6">
        <w:rPr>
          <w:sz w:val="24"/>
          <w:shd w:val="clear" w:color="auto" w:fill="FFFFFF"/>
          <w:lang w:val="fi-FI"/>
        </w:rPr>
        <w:t xml:space="preserve">: </w:t>
      </w:r>
      <w:proofErr w:type="spellStart"/>
      <w:r w:rsidRPr="00AE3DE6">
        <w:rPr>
          <w:sz w:val="24"/>
          <w:shd w:val="clear" w:color="auto" w:fill="FFFFFF"/>
          <w:lang w:val="fi-FI"/>
        </w:rPr>
        <w:t>Overview</w:t>
      </w:r>
      <w:proofErr w:type="spellEnd"/>
      <w:r w:rsidRPr="00AE3DE6">
        <w:rPr>
          <w:sz w:val="24"/>
          <w:shd w:val="clear" w:color="auto" w:fill="FFFFFF"/>
          <w:lang w:val="fi-FI"/>
        </w:rPr>
        <w:t xml:space="preserve"> and </w:t>
      </w:r>
      <w:proofErr w:type="spellStart"/>
      <w:r w:rsidRPr="00AE3DE6">
        <w:rPr>
          <w:sz w:val="24"/>
          <w:shd w:val="clear" w:color="auto" w:fill="FFFFFF"/>
          <w:lang w:val="fi-FI"/>
        </w:rPr>
        <w:t>Impact</w:t>
      </w:r>
      <w:proofErr w:type="spellEnd"/>
      <w:r w:rsidRPr="00AE3DE6">
        <w:rPr>
          <w:sz w:val="24"/>
          <w:shd w:val="clear" w:color="auto" w:fill="FFFFFF"/>
          <w:lang w:val="fi-FI"/>
        </w:rPr>
        <w:t xml:space="preserve">”, </w:t>
      </w:r>
      <w:proofErr w:type="spellStart"/>
      <w:r w:rsidRPr="00AE3DE6">
        <w:rPr>
          <w:sz w:val="24"/>
          <w:shd w:val="clear" w:color="auto" w:fill="FFFFFF"/>
          <w:lang w:val="fi-FI"/>
        </w:rPr>
        <w:t>Environmental</w:t>
      </w:r>
      <w:proofErr w:type="spellEnd"/>
      <w:r w:rsidRPr="00AE3DE6">
        <w:rPr>
          <w:sz w:val="24"/>
          <w:shd w:val="clear" w:color="auto" w:fill="FFFFFF"/>
          <w:lang w:val="fi-FI"/>
        </w:rPr>
        <w:t xml:space="preserve"> Management, tammikuu 2016;57(1), s. 31–48,</w:t>
      </w:r>
      <w:bookmarkStart w:id="15" w:name="_Hlk219208464"/>
      <w:r w:rsidRPr="00AE3DE6">
        <w:rPr>
          <w:sz w:val="24"/>
          <w:shd w:val="clear" w:color="auto" w:fill="FFFFFF"/>
          <w:lang w:val="fi-FI"/>
        </w:rPr>
        <w:t>https://doi.org/10.1007/s00267-015-0589-7</w:t>
      </w:r>
      <w:bookmarkEnd w:id="15"/>
      <w:r w:rsidRPr="00AE3DE6">
        <w:rPr>
          <w:sz w:val="24"/>
          <w:lang w:val="fi-FI"/>
        </w:rPr>
        <w:t xml:space="preserve"> </w:t>
      </w:r>
      <w:r w:rsidRPr="00AE3DE6">
        <w:rPr>
          <w:sz w:val="24"/>
          <w:shd w:val="clear" w:color="auto" w:fill="FFFFFF"/>
          <w:lang w:val="fi-FI"/>
        </w:rPr>
        <w:t xml:space="preserve">ja </w:t>
      </w:r>
      <w:proofErr w:type="spellStart"/>
      <w:r w:rsidRPr="00AE3DE6">
        <w:rPr>
          <w:sz w:val="24"/>
          <w:shd w:val="clear" w:color="auto" w:fill="FFFFFF"/>
          <w:lang w:val="fi-FI"/>
        </w:rPr>
        <w:t>Benbrook</w:t>
      </w:r>
      <w:proofErr w:type="spellEnd"/>
      <w:r w:rsidRPr="00AE3DE6">
        <w:rPr>
          <w:sz w:val="24"/>
          <w:shd w:val="clear" w:color="auto" w:fill="FFFFFF"/>
          <w:lang w:val="fi-FI"/>
        </w:rPr>
        <w:t>, C. M., ”</w:t>
      </w:r>
      <w:proofErr w:type="spellStart"/>
      <w:r w:rsidRPr="00AE3DE6">
        <w:rPr>
          <w:sz w:val="24"/>
          <w:shd w:val="clear" w:color="auto" w:fill="FFFFFF"/>
          <w:lang w:val="fi-FI"/>
        </w:rPr>
        <w:t>Impacts</w:t>
      </w:r>
      <w:proofErr w:type="spellEnd"/>
      <w:r w:rsidRPr="00AE3DE6">
        <w:rPr>
          <w:sz w:val="24"/>
          <w:shd w:val="clear" w:color="auto" w:fill="FFFFFF"/>
          <w:lang w:val="fi-FI"/>
        </w:rPr>
        <w:t xml:space="preserve"> of </w:t>
      </w:r>
      <w:proofErr w:type="spellStart"/>
      <w:r w:rsidRPr="00AE3DE6">
        <w:rPr>
          <w:sz w:val="24"/>
          <w:shd w:val="clear" w:color="auto" w:fill="FFFFFF"/>
          <w:lang w:val="fi-FI"/>
        </w:rPr>
        <w:t>genetically</w:t>
      </w:r>
      <w:proofErr w:type="spellEnd"/>
      <w:r w:rsidRPr="00AE3DE6">
        <w:rPr>
          <w:sz w:val="24"/>
          <w:shd w:val="clear" w:color="auto" w:fill="FFFFFF"/>
          <w:lang w:val="fi-FI"/>
        </w:rPr>
        <w:t xml:space="preserve"> </w:t>
      </w:r>
      <w:proofErr w:type="spellStart"/>
      <w:r w:rsidRPr="00AE3DE6">
        <w:rPr>
          <w:sz w:val="24"/>
          <w:shd w:val="clear" w:color="auto" w:fill="FFFFFF"/>
          <w:lang w:val="fi-FI"/>
        </w:rPr>
        <w:t>engineered</w:t>
      </w:r>
      <w:proofErr w:type="spellEnd"/>
      <w:r w:rsidRPr="00AE3DE6">
        <w:rPr>
          <w:sz w:val="24"/>
          <w:shd w:val="clear" w:color="auto" w:fill="FFFFFF"/>
          <w:lang w:val="fi-FI"/>
        </w:rPr>
        <w:t xml:space="preserve"> </w:t>
      </w:r>
      <w:proofErr w:type="spellStart"/>
      <w:r w:rsidRPr="00AE3DE6">
        <w:rPr>
          <w:sz w:val="24"/>
          <w:shd w:val="clear" w:color="auto" w:fill="FFFFFF"/>
          <w:lang w:val="fi-FI"/>
        </w:rPr>
        <w:t>crops</w:t>
      </w:r>
      <w:proofErr w:type="spellEnd"/>
      <w:r w:rsidRPr="00AE3DE6">
        <w:rPr>
          <w:sz w:val="24"/>
          <w:shd w:val="clear" w:color="auto" w:fill="FFFFFF"/>
          <w:lang w:val="fi-FI"/>
        </w:rPr>
        <w:t xml:space="preserve"> on </w:t>
      </w:r>
      <w:proofErr w:type="spellStart"/>
      <w:r w:rsidRPr="00AE3DE6">
        <w:rPr>
          <w:sz w:val="24"/>
          <w:shd w:val="clear" w:color="auto" w:fill="FFFFFF"/>
          <w:lang w:val="fi-FI"/>
        </w:rPr>
        <w:t>pesticide</w:t>
      </w:r>
      <w:proofErr w:type="spellEnd"/>
      <w:r w:rsidRPr="00AE3DE6">
        <w:rPr>
          <w:sz w:val="24"/>
          <w:shd w:val="clear" w:color="auto" w:fill="FFFFFF"/>
          <w:lang w:val="fi-FI"/>
        </w:rPr>
        <w:t xml:space="preserve"> </w:t>
      </w:r>
      <w:proofErr w:type="spellStart"/>
      <w:r w:rsidRPr="00AE3DE6">
        <w:rPr>
          <w:sz w:val="24"/>
          <w:shd w:val="clear" w:color="auto" w:fill="FFFFFF"/>
          <w:lang w:val="fi-FI"/>
        </w:rPr>
        <w:t>use</w:t>
      </w:r>
      <w:proofErr w:type="spellEnd"/>
      <w:r w:rsidRPr="00AE3DE6">
        <w:rPr>
          <w:sz w:val="24"/>
          <w:shd w:val="clear" w:color="auto" w:fill="FFFFFF"/>
          <w:lang w:val="fi-FI"/>
        </w:rPr>
        <w:t xml:space="preserve"> in </w:t>
      </w:r>
      <w:proofErr w:type="spellStart"/>
      <w:r w:rsidRPr="00AE3DE6">
        <w:rPr>
          <w:sz w:val="24"/>
          <w:shd w:val="clear" w:color="auto" w:fill="FFFFFF"/>
          <w:lang w:val="fi-FI"/>
        </w:rPr>
        <w:t>the</w:t>
      </w:r>
      <w:proofErr w:type="spellEnd"/>
      <w:r w:rsidRPr="00AE3DE6">
        <w:rPr>
          <w:sz w:val="24"/>
          <w:shd w:val="clear" w:color="auto" w:fill="FFFFFF"/>
          <w:lang w:val="fi-FI"/>
        </w:rPr>
        <w:t xml:space="preserve"> U.S. – </w:t>
      </w:r>
      <w:proofErr w:type="spellStart"/>
      <w:r w:rsidRPr="00AE3DE6">
        <w:rPr>
          <w:sz w:val="24"/>
          <w:shd w:val="clear" w:color="auto" w:fill="FFFFFF"/>
          <w:lang w:val="fi-FI"/>
        </w:rPr>
        <w:t>the</w:t>
      </w:r>
      <w:proofErr w:type="spellEnd"/>
      <w:r w:rsidRPr="00AE3DE6">
        <w:rPr>
          <w:sz w:val="24"/>
          <w:shd w:val="clear" w:color="auto" w:fill="FFFFFF"/>
          <w:lang w:val="fi-FI"/>
        </w:rPr>
        <w:t xml:space="preserve"> </w:t>
      </w:r>
      <w:proofErr w:type="spellStart"/>
      <w:r w:rsidRPr="00AE3DE6">
        <w:rPr>
          <w:sz w:val="24"/>
          <w:shd w:val="clear" w:color="auto" w:fill="FFFFFF"/>
          <w:lang w:val="fi-FI"/>
        </w:rPr>
        <w:t>first</w:t>
      </w:r>
      <w:proofErr w:type="spellEnd"/>
      <w:r w:rsidRPr="00AE3DE6">
        <w:rPr>
          <w:sz w:val="24"/>
          <w:shd w:val="clear" w:color="auto" w:fill="FFFFFF"/>
          <w:lang w:val="fi-FI"/>
        </w:rPr>
        <w:t xml:space="preserve"> </w:t>
      </w:r>
      <w:proofErr w:type="spellStart"/>
      <w:r w:rsidRPr="00AE3DE6">
        <w:rPr>
          <w:sz w:val="24"/>
          <w:shd w:val="clear" w:color="auto" w:fill="FFFFFF"/>
          <w:lang w:val="fi-FI"/>
        </w:rPr>
        <w:t>sixteen</w:t>
      </w:r>
      <w:proofErr w:type="spellEnd"/>
      <w:r w:rsidRPr="00AE3DE6">
        <w:rPr>
          <w:sz w:val="24"/>
          <w:shd w:val="clear" w:color="auto" w:fill="FFFFFF"/>
          <w:lang w:val="fi-FI"/>
        </w:rPr>
        <w:t xml:space="preserve"> </w:t>
      </w:r>
      <w:proofErr w:type="spellStart"/>
      <w:r w:rsidRPr="00AE3DE6">
        <w:rPr>
          <w:sz w:val="24"/>
          <w:shd w:val="clear" w:color="auto" w:fill="FFFFFF"/>
          <w:lang w:val="fi-FI"/>
        </w:rPr>
        <w:t>years</w:t>
      </w:r>
      <w:proofErr w:type="spellEnd"/>
      <w:r w:rsidRPr="00AE3DE6">
        <w:rPr>
          <w:sz w:val="24"/>
          <w:shd w:val="clear" w:color="auto" w:fill="FFFFFF"/>
          <w:lang w:val="fi-FI"/>
        </w:rPr>
        <w:t xml:space="preserve">”, </w:t>
      </w:r>
      <w:proofErr w:type="spellStart"/>
      <w:r w:rsidRPr="00AE3DE6">
        <w:rPr>
          <w:sz w:val="24"/>
          <w:shd w:val="clear" w:color="auto" w:fill="FFFFFF"/>
          <w:lang w:val="fi-FI"/>
        </w:rPr>
        <w:t>Environmental</w:t>
      </w:r>
      <w:proofErr w:type="spellEnd"/>
      <w:r w:rsidRPr="00AE3DE6">
        <w:rPr>
          <w:sz w:val="24"/>
          <w:shd w:val="clear" w:color="auto" w:fill="FFFFFF"/>
          <w:lang w:val="fi-FI"/>
        </w:rPr>
        <w:t xml:space="preserve"> Sciences Europe, 28. syyskuuta 2012, Vol. 24(1),</w:t>
      </w:r>
      <w:bookmarkStart w:id="16" w:name="_Hlk219208485"/>
      <w:r w:rsidRPr="00AE3DE6">
        <w:rPr>
          <w:sz w:val="24"/>
          <w:lang w:val="fi-FI"/>
        </w:rPr>
        <w:fldChar w:fldCharType="begin"/>
      </w:r>
      <w:r w:rsidRPr="00AE3DE6">
        <w:rPr>
          <w:sz w:val="24"/>
          <w:lang w:val="fi-FI"/>
        </w:rPr>
        <w:instrText>HYPERLINK "https://doi.org/10.1186/2190-4715-24-24"</w:instrText>
      </w:r>
      <w:r w:rsidRPr="00AE3DE6">
        <w:rPr>
          <w:sz w:val="24"/>
          <w:lang w:val="fi-FI"/>
        </w:rPr>
      </w:r>
      <w:r w:rsidRPr="00AE3DE6">
        <w:rPr>
          <w:sz w:val="24"/>
          <w:lang w:val="fi-FI"/>
        </w:rPr>
        <w:fldChar w:fldCharType="separate"/>
      </w:r>
      <w:r w:rsidRPr="00AE3DE6">
        <w:rPr>
          <w:rStyle w:val="Hyperlink"/>
          <w:sz w:val="24"/>
          <w:lang w:val="fi-FI"/>
        </w:rPr>
        <w:t>https://doi.org/10.1186/2190-4715-24-24</w:t>
      </w:r>
      <w:r w:rsidRPr="00AE3DE6">
        <w:rPr>
          <w:sz w:val="24"/>
          <w:lang w:val="fi-FI"/>
        </w:rPr>
        <w:fldChar w:fldCharType="end"/>
      </w:r>
      <w:bookmarkEnd w:id="16"/>
      <w:r w:rsidRPr="00AE3DE6">
        <w:rPr>
          <w:sz w:val="24"/>
          <w:lang w:val="fi-FI"/>
        </w:rPr>
        <w:t>.</w:t>
      </w:r>
      <w:r w:rsidRPr="00AE3DE6">
        <w:rPr>
          <w:sz w:val="24"/>
          <w:shd w:val="clear" w:color="auto" w:fill="FFFFFF"/>
          <w:lang w:val="fi-FI"/>
        </w:rPr>
        <w:t xml:space="preserve"> </w:t>
      </w:r>
    </w:p>
  </w:footnote>
  <w:footnote w:id="8">
    <w:p w14:paraId="0A633EEF" w14:textId="1086205E" w:rsidR="001402AF" w:rsidRPr="00AE3DE6" w:rsidRDefault="001402AF" w:rsidP="00AE3DE6">
      <w:pPr>
        <w:pStyle w:val="FootnoteText"/>
        <w:ind w:left="567" w:hanging="567"/>
        <w:rPr>
          <w:sz w:val="24"/>
          <w:lang w:val="fi-FI"/>
        </w:rPr>
      </w:pPr>
      <w:r w:rsidRPr="00AE3DE6">
        <w:rPr>
          <w:rStyle w:val="FootnoteReference"/>
          <w:sz w:val="24"/>
          <w:lang w:val="fi-FI"/>
        </w:rPr>
        <w:footnoteRef/>
      </w:r>
      <w:r w:rsidR="00AE3DE6" w:rsidRPr="00AE3DE6">
        <w:rPr>
          <w:sz w:val="24"/>
          <w:lang w:val="fi-FI"/>
        </w:rPr>
        <w:t xml:space="preserve"> </w:t>
      </w:r>
      <w:r w:rsidR="00AE3DE6" w:rsidRPr="00AE3DE6">
        <w:rPr>
          <w:sz w:val="24"/>
          <w:lang w:val="fi-FI"/>
        </w:rPr>
        <w:tab/>
      </w:r>
      <w:r w:rsidRPr="00AE3DE6">
        <w:rPr>
          <w:sz w:val="24"/>
          <w:lang w:val="fi-FI"/>
        </w:rPr>
        <w:t>Ks. esimerkiksi:</w:t>
      </w:r>
      <w:bookmarkStart w:id="17" w:name="_Hlk219286352"/>
      <w:bookmarkStart w:id="18" w:name="_Hlk219208511"/>
      <w:r w:rsidRPr="00AE3DE6">
        <w:rPr>
          <w:rStyle w:val="Hyperlink"/>
          <w:sz w:val="24"/>
          <w:lang w:val="fi-FI"/>
        </w:rPr>
        <w:t xml:space="preserve"> </w:t>
      </w:r>
      <w:hyperlink r:id="rId16" w:history="1">
        <w:r w:rsidRPr="00AE3DE6">
          <w:rPr>
            <w:rStyle w:val="Hyperlink"/>
            <w:sz w:val="24"/>
            <w:lang w:val="fi-FI"/>
          </w:rPr>
          <w:t>https://doi.org/10.1002/ps.8105</w:t>
        </w:r>
      </w:hyperlink>
      <w:r w:rsidRPr="00AE3DE6">
        <w:rPr>
          <w:sz w:val="24"/>
          <w:shd w:val="clear" w:color="auto" w:fill="FFFFFF"/>
          <w:lang w:val="fi-FI"/>
        </w:rPr>
        <w:t xml:space="preserve"> ja</w:t>
      </w:r>
      <w:bookmarkEnd w:id="17"/>
      <w:r w:rsidRPr="00AE3DE6">
        <w:rPr>
          <w:sz w:val="24"/>
          <w:shd w:val="clear" w:color="auto" w:fill="FFFFFF"/>
          <w:lang w:val="fi-FI"/>
        </w:rPr>
        <w:t xml:space="preserve"> </w:t>
      </w:r>
      <w:hyperlink r:id="rId17" w:history="1">
        <w:r w:rsidRPr="00AE3DE6">
          <w:rPr>
            <w:rStyle w:val="Hyperlink"/>
            <w:sz w:val="24"/>
            <w:lang w:val="fi-FI"/>
          </w:rPr>
          <w:t>https://doi.org/10.1016/j.geoforum.2009.03.009</w:t>
        </w:r>
      </w:hyperlink>
      <w:r w:rsidRPr="00AE3DE6">
        <w:rPr>
          <w:sz w:val="24"/>
          <w:lang w:val="fi-FI"/>
        </w:rPr>
        <w:t>.</w:t>
      </w:r>
      <w:bookmarkEnd w:id="18"/>
    </w:p>
  </w:footnote>
  <w:footnote w:id="9">
    <w:p w14:paraId="1C720236" w14:textId="37076393" w:rsidR="001402AF" w:rsidRPr="00AE3DE6" w:rsidRDefault="001402AF" w:rsidP="00AE3DE6">
      <w:pPr>
        <w:pStyle w:val="FootnoteText"/>
        <w:ind w:left="567" w:hanging="567"/>
        <w:rPr>
          <w:sz w:val="24"/>
          <w:lang w:val="fi-FI"/>
        </w:rPr>
      </w:pPr>
      <w:r w:rsidRPr="00AE3DE6">
        <w:rPr>
          <w:rStyle w:val="FootnoteReference"/>
          <w:sz w:val="24"/>
          <w:lang w:val="fi-FI"/>
        </w:rPr>
        <w:footnoteRef/>
      </w:r>
      <w:r w:rsidR="00AE3DE6" w:rsidRPr="00AE3DE6">
        <w:rPr>
          <w:sz w:val="24"/>
          <w:lang w:val="fi-FI"/>
        </w:rPr>
        <w:t xml:space="preserve"> </w:t>
      </w:r>
      <w:r w:rsidR="00AE3DE6" w:rsidRPr="00AE3DE6">
        <w:rPr>
          <w:sz w:val="24"/>
          <w:lang w:val="fi-FI"/>
        </w:rPr>
        <w:tab/>
      </w:r>
      <w:r w:rsidRPr="00AE3DE6">
        <w:rPr>
          <w:sz w:val="24"/>
          <w:lang w:val="fi-FI"/>
        </w:rPr>
        <w:t>Euroopan parlamentin ja neuvoston asetus (EY) N:o 1107/2009, annettu 21. lokakuuta 2009, kasvinsuojeluaineiden markkinoille saattamisesta sekä neuvoston direktiivien 79/117/ETY ja 91/414/ETY kumoamisesta (EUVL L 309, 24.11.2009, s. 1, ELI: </w:t>
      </w:r>
      <w:hyperlink r:id="rId18" w:tooltip="Avaa asiakirjan ELI URI -osoitteen kautta." w:history="1">
        <w:r w:rsidRPr="00AE3DE6">
          <w:rPr>
            <w:rStyle w:val="Hyperlink"/>
            <w:sz w:val="24"/>
            <w:lang w:val="fi-FI"/>
          </w:rPr>
          <w:t>http://data.europa.eu/eli/reg/2009/1107/oj</w:t>
        </w:r>
      </w:hyperlink>
      <w:r w:rsidRPr="00AE3DE6">
        <w:rPr>
          <w:sz w:val="24"/>
          <w:lang w:val="fi-FI"/>
        </w:rPr>
        <w:t>).</w:t>
      </w:r>
    </w:p>
  </w:footnote>
  <w:footnote w:id="10">
    <w:p w14:paraId="5CCB8B9C" w14:textId="17B78ED0" w:rsidR="001402AF" w:rsidRPr="0053789A" w:rsidRDefault="001402AF" w:rsidP="00AE3DE6">
      <w:pPr>
        <w:pStyle w:val="FootnoteText"/>
        <w:ind w:left="567" w:hanging="567"/>
        <w:rPr>
          <w:sz w:val="24"/>
        </w:rPr>
      </w:pPr>
      <w:r w:rsidRPr="00AE3DE6">
        <w:rPr>
          <w:rStyle w:val="FootnoteReference"/>
          <w:sz w:val="24"/>
          <w:lang w:val="fi-FI"/>
        </w:rPr>
        <w:footnoteRef/>
      </w:r>
      <w:r w:rsidR="00AE3DE6" w:rsidRPr="00AE3DE6">
        <w:rPr>
          <w:sz w:val="24"/>
          <w:lang w:val="fi-FI"/>
        </w:rPr>
        <w:t xml:space="preserve"> </w:t>
      </w:r>
      <w:r w:rsidR="00AE3DE6" w:rsidRPr="00AE3DE6">
        <w:rPr>
          <w:sz w:val="24"/>
          <w:lang w:val="fi-FI"/>
        </w:rPr>
        <w:tab/>
      </w:r>
      <w:r w:rsidRPr="00AE3DE6">
        <w:rPr>
          <w:sz w:val="24"/>
          <w:lang w:val="fi-FI"/>
        </w:rPr>
        <w:t>Joulukuussa 2022 pidetyssä biologista monimuotoisuutta koskevan Yhdistyneiden kansakuntien yleissopimuksen sopimuspuolten 15. konferenssissa hyväksyttiin maailmanlaajuinen biodiversiteettikehys, joka sisältää maailmanlaajuisen tavoitteen vähentää torjunta-aineista aiheutuvia riskejä vähintään 50 prosentilla vuoteen 2030 mennessä (ks.</w:t>
      </w:r>
      <w:r w:rsidRPr="00AE3DE6">
        <w:rPr>
          <w:color w:val="000000" w:themeColor="text1"/>
          <w:sz w:val="24"/>
          <w:lang w:val="fi-FI"/>
        </w:rPr>
        <w:t xml:space="preserve"> </w:t>
      </w:r>
      <w:hyperlink r:id="rId19" w:history="1">
        <w:r w:rsidRPr="0053789A">
          <w:rPr>
            <w:rStyle w:val="Hyperlink"/>
            <w:sz w:val="24"/>
          </w:rPr>
          <w:t>https://ec.europa.eu/commission/presscorner/detail/fi/ip_22_7834</w:t>
        </w:r>
      </w:hyperlink>
      <w:r w:rsidRPr="0053789A">
        <w:rPr>
          <w:sz w:val="24"/>
        </w:rPr>
        <w:t xml:space="preserve">). </w:t>
      </w:r>
    </w:p>
  </w:footnote>
  <w:footnote w:id="11">
    <w:p w14:paraId="07B7D025" w14:textId="6B164F03" w:rsidR="001402AF" w:rsidRPr="0053789A" w:rsidRDefault="001402AF" w:rsidP="00AE3DE6">
      <w:pPr>
        <w:pStyle w:val="FootnoteText"/>
        <w:ind w:left="567" w:hanging="567"/>
        <w:rPr>
          <w:sz w:val="24"/>
        </w:rPr>
      </w:pPr>
      <w:r w:rsidRPr="00AE3DE6">
        <w:rPr>
          <w:rStyle w:val="FootnoteReference"/>
          <w:sz w:val="24"/>
          <w:lang w:val="fi-FI"/>
        </w:rPr>
        <w:footnoteRef/>
      </w:r>
      <w:r w:rsidR="00AE3DE6" w:rsidRPr="0053789A">
        <w:rPr>
          <w:sz w:val="24"/>
        </w:rPr>
        <w:t xml:space="preserve"> </w:t>
      </w:r>
      <w:r w:rsidR="00AE3DE6" w:rsidRPr="0053789A">
        <w:rPr>
          <w:sz w:val="24"/>
        </w:rPr>
        <w:tab/>
      </w:r>
      <w:hyperlink r:id="rId20" w:history="1">
        <w:r w:rsidRPr="0053789A">
          <w:rPr>
            <w:rStyle w:val="Hyperlink"/>
            <w:sz w:val="24"/>
          </w:rPr>
          <w:t>https://commission.europa.eu/topics/agriculture-and-rural-development/strategic-dialogue-future-eu-agriculture_fi</w:t>
        </w:r>
      </w:hyperlink>
      <w:r w:rsidRPr="0053789A">
        <w:rPr>
          <w:rStyle w:val="Hyperlink"/>
          <w:sz w:val="24"/>
        </w:rPr>
        <w:t>.</w:t>
      </w:r>
      <w:r w:rsidRPr="0053789A">
        <w:rPr>
          <w:sz w:val="24"/>
        </w:rPr>
        <w:t xml:space="preserve"> </w:t>
      </w:r>
    </w:p>
  </w:footnote>
  <w:footnote w:id="12">
    <w:p w14:paraId="31B8C135" w14:textId="042A77DD" w:rsidR="001402AF" w:rsidRPr="00AE3DE6" w:rsidRDefault="001402AF" w:rsidP="00AE3DE6">
      <w:pPr>
        <w:pStyle w:val="FootnoteText"/>
        <w:ind w:left="567" w:hanging="567"/>
        <w:rPr>
          <w:sz w:val="24"/>
          <w:lang w:val="fi-FI"/>
        </w:rPr>
      </w:pPr>
      <w:r w:rsidRPr="00AE3DE6">
        <w:rPr>
          <w:rStyle w:val="FootnoteReference"/>
          <w:sz w:val="24"/>
          <w:lang w:val="fi-FI"/>
        </w:rPr>
        <w:footnoteRef/>
      </w:r>
      <w:r w:rsidR="00AE3DE6" w:rsidRPr="00AE3DE6">
        <w:rPr>
          <w:sz w:val="24"/>
          <w:lang w:val="fi-FI"/>
        </w:rPr>
        <w:t xml:space="preserve"> </w:t>
      </w:r>
      <w:r w:rsidR="00AE3DE6" w:rsidRPr="00AE3DE6">
        <w:rPr>
          <w:sz w:val="24"/>
          <w:lang w:val="fi-FI"/>
        </w:rPr>
        <w:tab/>
      </w:r>
      <w:r w:rsidRPr="00AE3DE6">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w:t>
      </w:r>
      <w:r w:rsidRPr="00AE3DE6">
        <w:rPr>
          <w:color w:val="000000" w:themeColor="text1"/>
          <w:sz w:val="24"/>
          <w:lang w:val="fi-FI"/>
        </w:rPr>
        <w:t> </w:t>
      </w:r>
      <w:hyperlink r:id="rId21" w:tgtFrame="Gives access to this document through its ELI URI." w:history="1">
        <w:r w:rsidRPr="00AE3DE6">
          <w:rPr>
            <w:rStyle w:val="Hyperlink"/>
            <w:color w:val="0070C0"/>
            <w:sz w:val="24"/>
            <w:lang w:val="fi-FI"/>
          </w:rPr>
          <w:t>http://data.europa.eu/eli/reg/2002/178/oj</w:t>
        </w:r>
      </w:hyperlink>
      <w:r w:rsidRPr="00AE3DE6">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3154858">
    <w:abstractNumId w:val="9"/>
  </w:num>
  <w:num w:numId="2" w16cid:durableId="560022977">
    <w:abstractNumId w:val="9"/>
  </w:num>
  <w:num w:numId="3" w16cid:durableId="1806973211">
    <w:abstractNumId w:val="7"/>
  </w:num>
  <w:num w:numId="4" w16cid:durableId="256252172">
    <w:abstractNumId w:val="7"/>
  </w:num>
  <w:num w:numId="5" w16cid:durableId="1244797904">
    <w:abstractNumId w:val="6"/>
  </w:num>
  <w:num w:numId="6" w16cid:durableId="327832861">
    <w:abstractNumId w:val="6"/>
  </w:num>
  <w:num w:numId="7" w16cid:durableId="1332680594">
    <w:abstractNumId w:val="5"/>
  </w:num>
  <w:num w:numId="8" w16cid:durableId="1660576628">
    <w:abstractNumId w:val="5"/>
  </w:num>
  <w:num w:numId="9" w16cid:durableId="2091997165">
    <w:abstractNumId w:val="4"/>
  </w:num>
  <w:num w:numId="10" w16cid:durableId="890579494">
    <w:abstractNumId w:val="4"/>
  </w:num>
  <w:num w:numId="11" w16cid:durableId="273175238">
    <w:abstractNumId w:val="8"/>
  </w:num>
  <w:num w:numId="12" w16cid:durableId="622689249">
    <w:abstractNumId w:val="8"/>
  </w:num>
  <w:num w:numId="13" w16cid:durableId="400059560">
    <w:abstractNumId w:val="3"/>
  </w:num>
  <w:num w:numId="14" w16cid:durableId="147327611">
    <w:abstractNumId w:val="3"/>
  </w:num>
  <w:num w:numId="15" w16cid:durableId="1491218500">
    <w:abstractNumId w:val="2"/>
  </w:num>
  <w:num w:numId="16" w16cid:durableId="745341770">
    <w:abstractNumId w:val="2"/>
  </w:num>
  <w:num w:numId="17" w16cid:durableId="978262184">
    <w:abstractNumId w:val="1"/>
  </w:num>
  <w:num w:numId="18" w16cid:durableId="1109205787">
    <w:abstractNumId w:val="1"/>
  </w:num>
  <w:num w:numId="19" w16cid:durableId="1352221264">
    <w:abstractNumId w:val="0"/>
  </w:num>
  <w:num w:numId="20" w16cid:durableId="1686907608">
    <w:abstractNumId w:val="0"/>
  </w:num>
  <w:num w:numId="21" w16cid:durableId="1687318475">
    <w:abstractNumId w:val="9"/>
  </w:num>
  <w:num w:numId="22" w16cid:durableId="585458220">
    <w:abstractNumId w:val="7"/>
  </w:num>
  <w:num w:numId="23" w16cid:durableId="74481143">
    <w:abstractNumId w:val="6"/>
  </w:num>
  <w:num w:numId="24" w16cid:durableId="1145393017">
    <w:abstractNumId w:val="5"/>
  </w:num>
  <w:num w:numId="25" w16cid:durableId="1382633554">
    <w:abstractNumId w:val="4"/>
  </w:num>
  <w:num w:numId="26" w16cid:durableId="1772506193">
    <w:abstractNumId w:val="8"/>
  </w:num>
  <w:num w:numId="27" w16cid:durableId="1000623918">
    <w:abstractNumId w:val="3"/>
  </w:num>
  <w:num w:numId="28" w16cid:durableId="138571093">
    <w:abstractNumId w:val="2"/>
  </w:num>
  <w:num w:numId="29" w16cid:durableId="26414576">
    <w:abstractNumId w:val="1"/>
  </w:num>
  <w:num w:numId="30" w16cid:durableId="1387139714">
    <w:abstractNumId w:val="0"/>
  </w:num>
  <w:num w:numId="31" w16cid:durableId="851185132">
    <w:abstractNumId w:val="9"/>
  </w:num>
  <w:num w:numId="32" w16cid:durableId="1741095512">
    <w:abstractNumId w:val="7"/>
  </w:num>
  <w:num w:numId="33" w16cid:durableId="1535658544">
    <w:abstractNumId w:val="6"/>
  </w:num>
  <w:num w:numId="34" w16cid:durableId="899366472">
    <w:abstractNumId w:val="5"/>
  </w:num>
  <w:num w:numId="35" w16cid:durableId="2042051861">
    <w:abstractNumId w:val="4"/>
  </w:num>
  <w:num w:numId="36" w16cid:durableId="958416689">
    <w:abstractNumId w:val="8"/>
  </w:num>
  <w:num w:numId="37" w16cid:durableId="334723357">
    <w:abstractNumId w:val="3"/>
  </w:num>
  <w:num w:numId="38" w16cid:durableId="145514693">
    <w:abstractNumId w:val="2"/>
  </w:num>
  <w:num w:numId="39" w16cid:durableId="661661598">
    <w:abstractNumId w:val="1"/>
  </w:num>
  <w:num w:numId="40" w16cid:durableId="107049723">
    <w:abstractNumId w:val="0"/>
  </w:num>
  <w:num w:numId="41" w16cid:durableId="1889878873">
    <w:abstractNumId w:val="10"/>
  </w:num>
  <w:num w:numId="42" w16cid:durableId="943268741">
    <w:abstractNumId w:val="10"/>
  </w:num>
  <w:num w:numId="43" w16cid:durableId="980116902">
    <w:abstractNumId w:val="10"/>
  </w:num>
  <w:num w:numId="44" w16cid:durableId="19712766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FI"/>
    <w:docVar w:name="dvnumam" w:val="0"/>
    <w:docVar w:name="dvpe" w:val="782.204"/>
    <w:docVar w:name="dvtitre" w:val="Euroopan parlamentin päätöslauselma 11. helmikuuta 2026 ehdotuksesta komission täytäntöönpanopäätökseksi muuntogeenistä maissia T25 (ACS-ZMØØ3-2) sisältävien, siitä koostuvien tai siitä valmistettujen tuotteiden markkinoille saattamista koskevan luvan uusimisesta Euroopan parlamentin ja neuvoston asetuksen (EY) N:o 1829/2003 mukaisesti(D111473/02 – 2026/2535(RSP))"/>
  </w:docVars>
  <w:rsids>
    <w:rsidRoot w:val="00AE6321"/>
    <w:rsid w:val="00002272"/>
    <w:rsid w:val="00064002"/>
    <w:rsid w:val="000677B9"/>
    <w:rsid w:val="000831BA"/>
    <w:rsid w:val="000A42CC"/>
    <w:rsid w:val="000E7DD9"/>
    <w:rsid w:val="0010095E"/>
    <w:rsid w:val="00120DAF"/>
    <w:rsid w:val="00125B37"/>
    <w:rsid w:val="001402AF"/>
    <w:rsid w:val="00187494"/>
    <w:rsid w:val="001F32AE"/>
    <w:rsid w:val="00226C7D"/>
    <w:rsid w:val="002767FF"/>
    <w:rsid w:val="002B18FE"/>
    <w:rsid w:val="002B5493"/>
    <w:rsid w:val="00343214"/>
    <w:rsid w:val="003546C2"/>
    <w:rsid w:val="00361C00"/>
    <w:rsid w:val="00395FA1"/>
    <w:rsid w:val="003E15D4"/>
    <w:rsid w:val="00411CCE"/>
    <w:rsid w:val="0041666E"/>
    <w:rsid w:val="00421060"/>
    <w:rsid w:val="00471C19"/>
    <w:rsid w:val="004867E3"/>
    <w:rsid w:val="00494A28"/>
    <w:rsid w:val="004C0004"/>
    <w:rsid w:val="004C5D52"/>
    <w:rsid w:val="004D7004"/>
    <w:rsid w:val="0050519A"/>
    <w:rsid w:val="005072A1"/>
    <w:rsid w:val="00514517"/>
    <w:rsid w:val="0053789A"/>
    <w:rsid w:val="00545827"/>
    <w:rsid w:val="00560270"/>
    <w:rsid w:val="005C2568"/>
    <w:rsid w:val="005F1B17"/>
    <w:rsid w:val="006037C0"/>
    <w:rsid w:val="00604CA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4EC"/>
    <w:rsid w:val="00A1687D"/>
    <w:rsid w:val="00A43A98"/>
    <w:rsid w:val="00A43E52"/>
    <w:rsid w:val="00A4678D"/>
    <w:rsid w:val="00A64949"/>
    <w:rsid w:val="00A778C7"/>
    <w:rsid w:val="00AB441E"/>
    <w:rsid w:val="00AB6293"/>
    <w:rsid w:val="00AE0928"/>
    <w:rsid w:val="00AE3DE6"/>
    <w:rsid w:val="00AE6321"/>
    <w:rsid w:val="00AF3B82"/>
    <w:rsid w:val="00B12E95"/>
    <w:rsid w:val="00B22876"/>
    <w:rsid w:val="00B50914"/>
    <w:rsid w:val="00B558F0"/>
    <w:rsid w:val="00B87DE0"/>
    <w:rsid w:val="00BD48FE"/>
    <w:rsid w:val="00BD7BD8"/>
    <w:rsid w:val="00BE6ADC"/>
    <w:rsid w:val="00C05BFE"/>
    <w:rsid w:val="00C23CD4"/>
    <w:rsid w:val="00C61C0C"/>
    <w:rsid w:val="00C941CB"/>
    <w:rsid w:val="00CC2357"/>
    <w:rsid w:val="00CF071A"/>
    <w:rsid w:val="00D058B8"/>
    <w:rsid w:val="00D56C11"/>
    <w:rsid w:val="00D749E5"/>
    <w:rsid w:val="00D834A0"/>
    <w:rsid w:val="00D872DF"/>
    <w:rsid w:val="00D91E21"/>
    <w:rsid w:val="00DA7FCD"/>
    <w:rsid w:val="00E365E1"/>
    <w:rsid w:val="00E61F22"/>
    <w:rsid w:val="00E820A4"/>
    <w:rsid w:val="00EB006A"/>
    <w:rsid w:val="00EB4772"/>
    <w:rsid w:val="00ED169E"/>
    <w:rsid w:val="00ED4235"/>
    <w:rsid w:val="00F04346"/>
    <w:rsid w:val="00F075DC"/>
    <w:rsid w:val="00F149E9"/>
    <w:rsid w:val="00F5134D"/>
    <w:rsid w:val="00F54D73"/>
    <w:rsid w:val="00F5615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EE860"/>
  <w15:chartTrackingRefBased/>
  <w15:docId w15:val="{D6261AAC-94B1-4546-8C19-41A1EE6D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402AF"/>
    <w:pPr>
      <w:spacing w:before="480" w:after="240"/>
    </w:pPr>
  </w:style>
  <w:style w:type="paragraph" w:customStyle="1" w:styleId="NormalHanging12a">
    <w:name w:val="NormalHanging12a"/>
    <w:basedOn w:val="Normal"/>
    <w:uiPriority w:val="99"/>
    <w:qFormat/>
    <w:rsid w:val="001402AF"/>
    <w:pPr>
      <w:spacing w:after="240"/>
      <w:ind w:left="567" w:hanging="567"/>
    </w:pPr>
  </w:style>
  <w:style w:type="character" w:styleId="Hyperlink">
    <w:name w:val="Hyperlink"/>
    <w:basedOn w:val="DefaultParagraphFont"/>
    <w:uiPriority w:val="99"/>
    <w:rsid w:val="001402AF"/>
    <w:rPr>
      <w:color w:val="0563C1" w:themeColor="hyperlink"/>
      <w:u w:val="single"/>
    </w:rPr>
  </w:style>
  <w:style w:type="paragraph" w:styleId="NormalWeb">
    <w:name w:val="Normal (Web)"/>
    <w:basedOn w:val="Normal"/>
    <w:uiPriority w:val="99"/>
    <w:unhideWhenUsed/>
    <w:rsid w:val="001402AF"/>
    <w:pPr>
      <w:widowControl/>
      <w:spacing w:before="100" w:beforeAutospacing="1" w:after="100" w:afterAutospacing="1"/>
    </w:pPr>
    <w:rPr>
      <w:szCs w:val="24"/>
    </w:rPr>
  </w:style>
  <w:style w:type="paragraph" w:styleId="Footer">
    <w:name w:val="footer"/>
    <w:basedOn w:val="Normal"/>
    <w:link w:val="FooterChar"/>
    <w:rsid w:val="00A43A98"/>
    <w:pPr>
      <w:tabs>
        <w:tab w:val="center" w:pos="4513"/>
        <w:tab w:val="right" w:pos="9026"/>
      </w:tabs>
    </w:pPr>
  </w:style>
  <w:style w:type="character" w:customStyle="1" w:styleId="FooterChar">
    <w:name w:val="Footer Char"/>
    <w:basedOn w:val="DefaultParagraphFont"/>
    <w:link w:val="Footer"/>
    <w:rsid w:val="00A43A98"/>
    <w:rPr>
      <w:sz w:val="24"/>
      <w:lang w:val="fi-FI"/>
    </w:rPr>
  </w:style>
  <w:style w:type="paragraph" w:styleId="Revision">
    <w:name w:val="Revision"/>
    <w:hidden/>
    <w:uiPriority w:val="99"/>
    <w:semiHidden/>
    <w:rsid w:val="00D749E5"/>
    <w:rPr>
      <w:sz w:val="24"/>
      <w:lang w:val="fi-FI"/>
    </w:rPr>
  </w:style>
  <w:style w:type="character" w:styleId="FollowedHyperlink">
    <w:name w:val="FollowedHyperlink"/>
    <w:basedOn w:val="DefaultParagraphFont"/>
    <w:rsid w:val="004D70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topics/agriculture-and-rural-development/strategic-dialogue-future-eu-agriculture_fi"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fi/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1152</Words>
  <Characters>9859</Characters>
  <Application>Microsoft Office Word</Application>
  <DocSecurity>0</DocSecurity>
  <Lines>182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2026-03-18T09:52:00Z</dcterms:created>
  <dcterms:modified xsi:type="dcterms:W3CDTF">2026-03-18T09:52:00Z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B10-0106/2026</vt:lpwstr>
  </property>
  <property fmtid="{D5CDD505-2E9C-101B-9397-08002B2CF9AE}" pid="4" name="&lt;Type&gt;">
    <vt:lpwstr>RR</vt:lpwstr>
  </property>
</Properties>
</file>