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03C" w14:paraId="206A097E" w14:textId="77777777" w:rsidTr="0010095E">
        <w:trPr>
          <w:trHeight w:hRule="exact" w:val="1418"/>
        </w:trPr>
        <w:tc>
          <w:tcPr>
            <w:tcW w:w="6804" w:type="dxa"/>
            <w:shd w:val="clear" w:color="auto" w:fill="auto"/>
            <w:vAlign w:val="center"/>
          </w:tcPr>
          <w:p w14:paraId="3B606476" w14:textId="77777777" w:rsidR="00751A4A" w:rsidRPr="00B4003C" w:rsidRDefault="00C2704B" w:rsidP="0010095E">
            <w:pPr>
              <w:pStyle w:val="EPName"/>
            </w:pPr>
            <w:r w:rsidRPr="00B4003C">
              <w:t>Parlement européen</w:t>
            </w:r>
          </w:p>
          <w:p w14:paraId="7BFAE552" w14:textId="77777777" w:rsidR="00751A4A" w:rsidRPr="00B4003C" w:rsidRDefault="005F1B17" w:rsidP="005F1B17">
            <w:pPr>
              <w:pStyle w:val="EPTerm"/>
              <w:rPr>
                <w:rStyle w:val="HideTWBExt"/>
                <w:noProof w:val="0"/>
                <w:vanish w:val="0"/>
                <w:color w:val="auto"/>
              </w:rPr>
            </w:pPr>
            <w:r w:rsidRPr="00B4003C">
              <w:t>2024</w:t>
            </w:r>
            <w:r w:rsidR="00817416" w:rsidRPr="00B4003C">
              <w:t>-202</w:t>
            </w:r>
            <w:r w:rsidRPr="00B4003C">
              <w:t>9</w:t>
            </w:r>
          </w:p>
        </w:tc>
        <w:tc>
          <w:tcPr>
            <w:tcW w:w="2268" w:type="dxa"/>
            <w:shd w:val="clear" w:color="auto" w:fill="auto"/>
          </w:tcPr>
          <w:p w14:paraId="633C6E8D" w14:textId="77777777" w:rsidR="00751A4A" w:rsidRPr="00B4003C" w:rsidRDefault="00187494" w:rsidP="0010095E">
            <w:pPr>
              <w:pStyle w:val="EPLogo"/>
            </w:pPr>
            <w:r w:rsidRPr="00B4003C">
              <w:rPr>
                <w:noProof/>
                <w:lang w:eastAsia="ja-JP"/>
              </w:rPr>
              <w:drawing>
                <wp:inline distT="0" distB="0" distL="0" distR="0" wp14:anchorId="45349163" wp14:editId="0CBA6E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ADA54" w14:textId="77777777" w:rsidR="00D058B8" w:rsidRPr="00B4003C" w:rsidRDefault="00D058B8" w:rsidP="004C5D52">
      <w:pPr>
        <w:pStyle w:val="LineTop"/>
      </w:pPr>
    </w:p>
    <w:p w14:paraId="18967ACC" w14:textId="77777777" w:rsidR="00680577" w:rsidRPr="00B4003C" w:rsidRDefault="00C2704B" w:rsidP="00680577">
      <w:pPr>
        <w:pStyle w:val="EPBodyTA1"/>
      </w:pPr>
      <w:r w:rsidRPr="00B4003C">
        <w:t>TEXTES ADOPTÉS</w:t>
      </w:r>
    </w:p>
    <w:p w14:paraId="5FF19303" w14:textId="77777777" w:rsidR="00D058B8" w:rsidRPr="00B4003C" w:rsidRDefault="00D058B8" w:rsidP="00D058B8">
      <w:pPr>
        <w:pStyle w:val="LineBottom"/>
      </w:pPr>
    </w:p>
    <w:p w14:paraId="51A1CF0D" w14:textId="115D4430" w:rsidR="00C2704B" w:rsidRPr="00B4003C" w:rsidRDefault="00C2704B" w:rsidP="00C2704B">
      <w:pPr>
        <w:pStyle w:val="ATHeading1"/>
      </w:pPr>
      <w:bookmarkStart w:id="0" w:name="TANumber"/>
      <w:r w:rsidRPr="00B4003C">
        <w:t>P10_TA(2026)00</w:t>
      </w:r>
      <w:r w:rsidR="00EB48AA">
        <w:t>42</w:t>
      </w:r>
      <w:bookmarkEnd w:id="0"/>
    </w:p>
    <w:p w14:paraId="47911451" w14:textId="55B08663" w:rsidR="00C2704B" w:rsidRPr="00B4003C" w:rsidRDefault="00602B02" w:rsidP="00C2704B">
      <w:pPr>
        <w:pStyle w:val="ATHeading2"/>
      </w:pPr>
      <w:bookmarkStart w:id="1" w:name="title"/>
      <w:r>
        <w:t>M</w:t>
      </w:r>
      <w:r w:rsidR="00C2704B" w:rsidRPr="00B4003C">
        <w:t>aïs génétiquement modifié T25 (ACS-ZMØØ3-2</w:t>
      </w:r>
      <w:bookmarkEnd w:id="1"/>
      <w:r>
        <w:t>)</w:t>
      </w:r>
    </w:p>
    <w:p w14:paraId="23C5452A" w14:textId="77777777" w:rsidR="00C2704B" w:rsidRPr="00B4003C" w:rsidRDefault="00C2704B" w:rsidP="00C2704B">
      <w:pPr>
        <w:rPr>
          <w:i/>
          <w:vanish/>
        </w:rPr>
      </w:pPr>
      <w:r w:rsidRPr="00B4003C">
        <w:rPr>
          <w:i/>
        </w:rPr>
        <w:fldChar w:fldCharType="begin"/>
      </w:r>
      <w:r w:rsidRPr="00B4003C">
        <w:rPr>
          <w:i/>
        </w:rPr>
        <w:instrText xml:space="preserve"> TC"(</w:instrText>
      </w:r>
      <w:bookmarkStart w:id="2" w:name="DocNumber"/>
      <w:r w:rsidRPr="00B4003C">
        <w:rPr>
          <w:i/>
        </w:rPr>
        <w:instrText>B10-0106/2026</w:instrText>
      </w:r>
      <w:bookmarkEnd w:id="2"/>
      <w:r w:rsidRPr="00B4003C">
        <w:rPr>
          <w:i/>
        </w:rPr>
        <w:instrText xml:space="preserve">)"\l3 \n&gt; \* MERGEFORMAT </w:instrText>
      </w:r>
      <w:r w:rsidRPr="00B4003C">
        <w:rPr>
          <w:i/>
        </w:rPr>
        <w:fldChar w:fldCharType="end"/>
      </w:r>
    </w:p>
    <w:p w14:paraId="61FB18A6" w14:textId="77777777" w:rsidR="00C2704B" w:rsidRPr="00B4003C" w:rsidRDefault="00C2704B" w:rsidP="00C2704B">
      <w:pPr>
        <w:rPr>
          <w:vanish/>
        </w:rPr>
      </w:pPr>
      <w:bookmarkStart w:id="3" w:name="PE"/>
      <w:r w:rsidRPr="00B4003C">
        <w:rPr>
          <w:vanish/>
        </w:rPr>
        <w:t>PE782.204</w:t>
      </w:r>
      <w:bookmarkEnd w:id="3"/>
    </w:p>
    <w:p w14:paraId="78ED8193" w14:textId="438D8B21" w:rsidR="00C2704B" w:rsidRPr="00B4003C" w:rsidRDefault="00C2704B" w:rsidP="00C2704B">
      <w:pPr>
        <w:pStyle w:val="ATHeading3"/>
      </w:pPr>
      <w:bookmarkStart w:id="4" w:name="Sujet"/>
      <w:r w:rsidRPr="00B4003C">
        <w:t xml:space="preserve">Résolution du Parlement européen du </w:t>
      </w:r>
      <w:r w:rsidR="00602B02">
        <w:t>11 février</w:t>
      </w:r>
      <w:r w:rsidRPr="00B4003C">
        <w:t xml:space="preserve"> 2026 sur le projet de décision d’exécution de la Commission renouvelant l’autorisation de mise sur le marché de produits contenant du maïs génétiquement modifié T25 (ACS-ZMØØ3-2), consistant en ce maïs ou produits à partir de celui-ci, en application du règlement (CE) nº 1829/2003 du Parlement européen et du Conseil</w:t>
      </w:r>
      <w:bookmarkEnd w:id="4"/>
      <w:r w:rsidRPr="00B4003C">
        <w:t xml:space="preserve"> </w:t>
      </w:r>
      <w:bookmarkStart w:id="5" w:name="References"/>
      <w:r w:rsidRPr="00B4003C">
        <w:t>(D111473/02 – 2026/2535(RSP))</w:t>
      </w:r>
      <w:bookmarkEnd w:id="5"/>
    </w:p>
    <w:p w14:paraId="19B80F2C" w14:textId="77777777" w:rsidR="004D1D31" w:rsidRPr="00B4003C" w:rsidRDefault="004D1D31" w:rsidP="004D1D31">
      <w:pPr>
        <w:pStyle w:val="EPComma"/>
      </w:pPr>
      <w:bookmarkStart w:id="6" w:name="TextBodyBegin"/>
      <w:bookmarkEnd w:id="6"/>
      <w:r w:rsidRPr="00B4003C">
        <w:rPr>
          <w:i/>
        </w:rPr>
        <w:t>Le Parlement européen,</w:t>
      </w:r>
    </w:p>
    <w:p w14:paraId="452ABF5C" w14:textId="77777777" w:rsidR="004D1D31" w:rsidRPr="00B4003C" w:rsidRDefault="004D1D31" w:rsidP="004D1D31">
      <w:pPr>
        <w:pStyle w:val="NormalHanging12a"/>
      </w:pPr>
      <w:r w:rsidRPr="00B4003C">
        <w:t>–</w:t>
      </w:r>
      <w:r w:rsidRPr="00B4003C">
        <w:tab/>
        <w:t>vu le projet de décision d’exécution de la Commission renouvelant l’autorisation de mise sur le marché de produits contenant du maïs génétiquement modifié T25 (ACS-ZMØØ3-2), consistant en ce maïs ou produits à partir de celui-ci, en application du règlement (CE) nº 1829/2003 du Parlement européen et du Conseil (D111473/02),</w:t>
      </w:r>
    </w:p>
    <w:p w14:paraId="13FC04FD" w14:textId="77777777" w:rsidR="004D1D31" w:rsidRPr="00B4003C" w:rsidRDefault="004D1D31" w:rsidP="004D1D31">
      <w:pPr>
        <w:pStyle w:val="NormalHanging12a"/>
      </w:pPr>
      <w:r w:rsidRPr="00B4003C">
        <w:t>–</w:t>
      </w:r>
      <w:r w:rsidRPr="00B4003C">
        <w:tab/>
        <w:t>vu le règlement (CE) nº 1829/2003 du Parlement européen et du Conseil du 22 septembre 2003 concernant les denrées alimentaires et les aliments pour animaux génétiquement modifiés</w:t>
      </w:r>
      <w:r w:rsidRPr="00B4003C">
        <w:rPr>
          <w:vertAlign w:val="superscript"/>
        </w:rPr>
        <w:footnoteReference w:id="1"/>
      </w:r>
      <w:r w:rsidRPr="00B4003C">
        <w:t>, et notamment son article 11, paragraphe 3, et son article 23, paragraphe 3,</w:t>
      </w:r>
    </w:p>
    <w:p w14:paraId="46582C36" w14:textId="78348389" w:rsidR="004D1D31" w:rsidRPr="00B4003C" w:rsidRDefault="004D1D31" w:rsidP="004D1D31">
      <w:pPr>
        <w:pStyle w:val="NormalHanging12a"/>
      </w:pPr>
      <w:r w:rsidRPr="00B4003C">
        <w:t>–</w:t>
      </w:r>
      <w:r w:rsidRPr="00B4003C">
        <w:tab/>
        <w:t>vu le vote du 12 décembre 2025</w:t>
      </w:r>
      <w:bookmarkStart w:id="7" w:name="_Hlk219206382"/>
      <w:r w:rsidRPr="00B4003C">
        <w:t xml:space="preserve"> du </w:t>
      </w:r>
      <w:bookmarkStart w:id="8" w:name="_Hlk210664905"/>
      <w:r w:rsidRPr="00B4003C">
        <w:t>comité permanent des végétaux, des animaux, des denrées alimentaires et des aliments pour animaux</w:t>
      </w:r>
      <w:bookmarkEnd w:id="8"/>
      <w:r w:rsidRPr="00B4003C">
        <w:t xml:space="preserve">, visé à l’article 35 du règlement (CE) nº 1829/2003, par lequel ledit comité a décidé de ne pas rendre d’avis, </w:t>
      </w:r>
      <w:r w:rsidR="005F0D6E" w:rsidRPr="005F0D6E">
        <w:t>et le vote du comité d'appel du 27 janvier 2026, lors duquel aucun avis n'a été rendu</w:t>
      </w:r>
      <w:r w:rsidR="00672585" w:rsidRPr="00672585">
        <w:t>,</w:t>
      </w:r>
    </w:p>
    <w:bookmarkEnd w:id="7"/>
    <w:p w14:paraId="3FA4E657" w14:textId="77777777" w:rsidR="004D1D31" w:rsidRPr="00B4003C" w:rsidRDefault="004D1D31" w:rsidP="004D1D31">
      <w:pPr>
        <w:pStyle w:val="NormalHanging12a"/>
      </w:pPr>
      <w:r w:rsidRPr="00B4003C">
        <w:t>–</w:t>
      </w:r>
      <w:r w:rsidRPr="00B4003C">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B4003C">
        <w:rPr>
          <w:vertAlign w:val="superscript"/>
        </w:rPr>
        <w:footnoteReference w:id="2"/>
      </w:r>
      <w:r w:rsidRPr="00B4003C">
        <w:t>,</w:t>
      </w:r>
    </w:p>
    <w:p w14:paraId="34255F76" w14:textId="77777777" w:rsidR="004D1D31" w:rsidRPr="00B4003C" w:rsidRDefault="004D1D31" w:rsidP="004D1D31">
      <w:pPr>
        <w:pStyle w:val="NormalHanging12a"/>
      </w:pPr>
      <w:r w:rsidRPr="00B4003C">
        <w:t>–</w:t>
      </w:r>
      <w:r w:rsidRPr="00B4003C">
        <w:tab/>
        <w:t xml:space="preserve">vu l’avis adopté par l’Autorité européenne de sécurité des aliments (EFSA) le </w:t>
      </w:r>
      <w:r w:rsidRPr="00B4003C">
        <w:lastRenderedPageBreak/>
        <w:t>30 juin 2025 et publié le 8 août 2025</w:t>
      </w:r>
      <w:r w:rsidRPr="00B4003C">
        <w:rPr>
          <w:vertAlign w:val="superscript"/>
        </w:rPr>
        <w:footnoteReference w:id="3"/>
      </w:r>
      <w:r w:rsidRPr="00B4003C">
        <w:t>,</w:t>
      </w:r>
    </w:p>
    <w:p w14:paraId="18CC1320" w14:textId="77777777" w:rsidR="004D1D31" w:rsidRPr="00B4003C" w:rsidRDefault="004D1D31" w:rsidP="004D1D31">
      <w:pPr>
        <w:pStyle w:val="NormalHanging12a"/>
      </w:pPr>
      <w:r w:rsidRPr="00B4003C">
        <w:t>–</w:t>
      </w:r>
      <w:r w:rsidRPr="00B4003C">
        <w:tab/>
        <w:t>vu ses résolutions précédentes s’opposant à l’autorisation d’organismes génétiquement modifiés (ci-après «OGM</w:t>
      </w:r>
      <w:bookmarkStart w:id="10" w:name="_Hlk210666451"/>
      <w:r w:rsidRPr="00B4003C">
        <w:rPr>
          <w:vertAlign w:val="superscript"/>
        </w:rPr>
        <w:footnoteReference w:id="4"/>
      </w:r>
      <w:bookmarkEnd w:id="10"/>
      <w:r w:rsidRPr="00B4003C">
        <w:t xml:space="preserve">»), </w:t>
      </w:r>
    </w:p>
    <w:p w14:paraId="6806839F" w14:textId="77777777" w:rsidR="004D1D31" w:rsidRPr="00B4003C" w:rsidRDefault="004D1D31" w:rsidP="004D1D31">
      <w:pPr>
        <w:pStyle w:val="NormalHanging12a"/>
      </w:pPr>
      <w:r w:rsidRPr="00B4003C">
        <w:lastRenderedPageBreak/>
        <w:t>–</w:t>
      </w:r>
      <w:r w:rsidRPr="00B4003C">
        <w:tab/>
        <w:t>vu l’article 115, paragraphes 2 et 3, de son règlement intérieur,</w:t>
      </w:r>
    </w:p>
    <w:p w14:paraId="5CF45229" w14:textId="77777777" w:rsidR="004D1D31" w:rsidRPr="00B4003C" w:rsidRDefault="004D1D31" w:rsidP="004D1D31">
      <w:pPr>
        <w:pStyle w:val="NormalHanging12a"/>
      </w:pPr>
      <w:r w:rsidRPr="00B4003C">
        <w:t>–</w:t>
      </w:r>
      <w:r w:rsidRPr="00B4003C">
        <w:tab/>
        <w:t>vu la proposition de résolution de la commission de l’environnement, du climat et de la sécurité alimentaire,</w:t>
      </w:r>
    </w:p>
    <w:p w14:paraId="2400E236" w14:textId="77777777" w:rsidR="004D1D31" w:rsidRPr="00B4003C" w:rsidRDefault="004D1D31" w:rsidP="004D1D31">
      <w:pPr>
        <w:pStyle w:val="NormalHanging12a"/>
      </w:pPr>
      <w:r w:rsidRPr="00B4003C">
        <w:t>A.</w:t>
      </w:r>
      <w:r w:rsidRPr="00B4003C">
        <w:tab/>
        <w:t>considérant que la décision d’exécution (UE) 2015/697 de la Commission</w:t>
      </w:r>
      <w:r w:rsidRPr="00B4003C">
        <w:rPr>
          <w:rStyle w:val="FootnoteReference"/>
        </w:rPr>
        <w:footnoteReference w:id="5"/>
      </w:r>
      <w:r w:rsidRPr="00B4003C">
        <w:t xml:space="preserve"> a renouvelé l’autorisation de mise sur le marché de denrées alimentaires et d’ingrédients alimentaires produits à partir du maïs génétiquement modifié T25 (ci-après le «maïs génétiquement modifié») et d’aliments pour animaux contenant ce maïs, consistant en celui-ci ou produits à partir de celui-ci; que cette décision d’exécution a également autorisé la mise sur le marché de denrées alimentaires et d’ingrédients alimentaires contenant du maïs génétiquement modifié ou consistant en ce maïs, ainsi que de produits autres que les denrées alimentaires et les aliments pour animaux contenant du maïs génétiquement modifié ou consistant en celui-ci et destinés aux mêmes utilisations </w:t>
      </w:r>
      <w:r w:rsidRPr="00B4003C">
        <w:lastRenderedPageBreak/>
        <w:t xml:space="preserve">que tout autre maïs, à l’exception de la culture; </w:t>
      </w:r>
    </w:p>
    <w:p w14:paraId="50F2F9FF" w14:textId="77777777" w:rsidR="004D1D31" w:rsidRPr="00B4003C" w:rsidRDefault="004D1D31" w:rsidP="004D1D31">
      <w:pPr>
        <w:pStyle w:val="NormalHanging12a"/>
        <w:ind w:hanging="570"/>
      </w:pPr>
      <w:r w:rsidRPr="00B4003C">
        <w:t>B.</w:t>
      </w:r>
      <w:r w:rsidRPr="00B4003C">
        <w:tab/>
        <w:t xml:space="preserve">considérant que le 22 mars 2024, BASF SE, dont le siège est en Allemagne, au nom de BASF Agricultural Solutions </w:t>
      </w:r>
      <w:proofErr w:type="spellStart"/>
      <w:r w:rsidRPr="00B4003C">
        <w:t>Seed</w:t>
      </w:r>
      <w:proofErr w:type="spellEnd"/>
      <w:r w:rsidRPr="00B4003C">
        <w:t xml:space="preserve"> US LLC, dont le siège est aux États-Unis, a présenté à la Commission, conformément aux articles 11 et 23 du règlement (CE) nº 1829/2003, une demande de renouvellement de cette autorisation;</w:t>
      </w:r>
    </w:p>
    <w:p w14:paraId="146D9750" w14:textId="77777777" w:rsidR="004D1D31" w:rsidRPr="00B4003C" w:rsidRDefault="004D1D31" w:rsidP="004D1D31">
      <w:pPr>
        <w:pStyle w:val="NormalHanging12a"/>
      </w:pPr>
      <w:r w:rsidRPr="00B4003C">
        <w:t>C.</w:t>
      </w:r>
      <w:r w:rsidRPr="00B4003C">
        <w:tab/>
        <w:t>considérant que le 8 août 2025, l’EFSA a rendu un avis favorable sur le maïs génétiquement modifié, concluant qu’aucun danger nouveau ou exposition modifiée ni aucune nouvelle incertitude scientifique qui seraient de nature à modifier les conclusions de l’évaluation des risques initiale relative au maïs génétiquement modifié, publiée en 2013 par l’EFSA</w:t>
      </w:r>
      <w:r w:rsidRPr="00B4003C">
        <w:rPr>
          <w:rStyle w:val="FootnoteReference"/>
        </w:rPr>
        <w:footnoteReference w:id="6"/>
      </w:r>
      <w:r w:rsidRPr="00B4003C">
        <w:t>, n’avaient été mis en évidence dans le cadre de la demande de renouvellement; que ces avis n’ont tenu aucun compte de plusieurs effets environnementaux, socio-économiques et cumulés plus larges, dont l’EFSA estime qu’ils ne relèvent pas de sa compétence;</w:t>
      </w:r>
    </w:p>
    <w:p w14:paraId="4B528C36" w14:textId="77777777" w:rsidR="004D1D31" w:rsidRPr="00B4003C" w:rsidRDefault="004D1D31" w:rsidP="004D1D31">
      <w:pPr>
        <w:pStyle w:val="NormalHanging12a"/>
      </w:pPr>
      <w:r w:rsidRPr="00B4003C">
        <w:t>D.</w:t>
      </w:r>
      <w:r w:rsidRPr="00B4003C">
        <w:tab/>
        <w:t xml:space="preserve">considérant que le maïs génétiquement modifié a été mis au point pour conférer une tolérance au glufosinate; </w:t>
      </w:r>
    </w:p>
    <w:p w14:paraId="38D9DDA4" w14:textId="77777777" w:rsidR="004D1D31" w:rsidRPr="00B4003C" w:rsidRDefault="004D1D31" w:rsidP="004D1D31">
      <w:pPr>
        <w:pStyle w:val="NormalHanging12a"/>
      </w:pPr>
      <w:r w:rsidRPr="00B4003C">
        <w:t>E.</w:t>
      </w:r>
      <w:r w:rsidRPr="00B4003C">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maïs;</w:t>
      </w:r>
    </w:p>
    <w:p w14:paraId="1918B73E" w14:textId="77777777" w:rsidR="004D1D31" w:rsidRPr="00B4003C" w:rsidRDefault="004D1D31" w:rsidP="004D1D31">
      <w:pPr>
        <w:pStyle w:val="NormalHanging12a"/>
        <w:rPr>
          <w:color w:val="000000" w:themeColor="text1"/>
          <w:szCs w:val="24"/>
        </w:rPr>
      </w:pPr>
      <w:r w:rsidRPr="00B4003C">
        <w:rPr>
          <w:color w:val="000000" w:themeColor="text1"/>
        </w:rPr>
        <w:t>F.</w:t>
      </w:r>
      <w:r w:rsidRPr="00B4003C">
        <w:rPr>
          <w:color w:val="000000" w:themeColor="text1"/>
        </w:rPr>
        <w:tab/>
      </w:r>
      <w:r w:rsidRPr="00B4003C">
        <w:t xml:space="preserve">considérant que la grande majorité des cultures génétiquement modifiées, dont le maïs génétiquement modifié, l’ont été de manière à être tolérantes à un ou plusieurs herbicides «complémentaires» qui peuvent être utilisés tout au long de la culture de la plante génétiquement modifiée sans que celle-ci meure, comme ce serait le cas pour une culture non tolérante aux herbicides; </w:t>
      </w:r>
      <w:r w:rsidRPr="00B4003C">
        <w:rPr>
          <w:color w:val="000000" w:themeColor="text1"/>
        </w:rPr>
        <w:t>qu’il ressort de plusieurs études que les cultures génétiquement modifiées tolérantes aux herbicides entraînent une augmentation de l’utilisation d’herbicides complémentaires, en grande partie du fait de l’apparition de plantes adventices tolérantes aux herbicides</w:t>
      </w:r>
      <w:r w:rsidRPr="00B4003C">
        <w:rPr>
          <w:rStyle w:val="FootnoteReference"/>
          <w:color w:val="000000" w:themeColor="text1"/>
          <w:szCs w:val="24"/>
        </w:rPr>
        <w:footnoteReference w:id="7"/>
      </w:r>
      <w:r w:rsidRPr="00B4003C">
        <w:rPr>
          <w:color w:val="000000" w:themeColor="text1"/>
        </w:rPr>
        <w:t>;</w:t>
      </w:r>
    </w:p>
    <w:p w14:paraId="643A971E" w14:textId="77777777" w:rsidR="004D1D31" w:rsidRPr="00B4003C" w:rsidRDefault="004D1D31" w:rsidP="004D1D31">
      <w:pPr>
        <w:spacing w:after="240"/>
        <w:ind w:left="567" w:hanging="567"/>
        <w:rPr>
          <w:color w:val="000000" w:themeColor="text1"/>
          <w:szCs w:val="24"/>
        </w:rPr>
      </w:pPr>
      <w:r w:rsidRPr="00B4003C">
        <w:t>G.</w:t>
      </w:r>
      <w:r w:rsidRPr="00B4003C">
        <w:tab/>
        <w:t xml:space="preserve">considérant que </w:t>
      </w:r>
      <w:r w:rsidRPr="00B4003C">
        <w:rPr>
          <w:color w:val="000000" w:themeColor="text1"/>
        </w:rPr>
        <w:t xml:space="preserve">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w:t>
      </w:r>
      <w:r w:rsidRPr="00B4003C">
        <w:rPr>
          <w:color w:val="000000" w:themeColor="text1"/>
        </w:rPr>
        <w:lastRenderedPageBreak/>
        <w:t>complémentaires; qu’une dépendance accrue à l’égard des herbicides complémentaires dans les exploitations qui cultivent du maïs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r w:rsidRPr="00B4003C">
        <w:rPr>
          <w:rStyle w:val="FootnoteReference"/>
          <w:color w:val="000000" w:themeColor="text1"/>
          <w:szCs w:val="24"/>
        </w:rPr>
        <w:footnoteReference w:id="8"/>
      </w:r>
      <w:r w:rsidRPr="00B4003C">
        <w:rPr>
          <w:color w:val="000000" w:themeColor="text1"/>
        </w:rPr>
        <w:t>;</w:t>
      </w:r>
    </w:p>
    <w:p w14:paraId="36C452AF" w14:textId="77777777" w:rsidR="004D1D31" w:rsidRPr="00B4003C" w:rsidRDefault="004D1D31" w:rsidP="004D1D31">
      <w:pPr>
        <w:pStyle w:val="NormalWeb"/>
        <w:widowControl w:val="0"/>
        <w:spacing w:before="0" w:beforeAutospacing="0" w:after="240" w:afterAutospacing="0"/>
        <w:ind w:left="567" w:hanging="567"/>
      </w:pPr>
      <w:r w:rsidRPr="00B4003C">
        <w:t>H.</w:t>
      </w:r>
      <w:r w:rsidRPr="00B4003C">
        <w:tab/>
        <w:t>considérant que le glufosinate est classé comme toxique pour la reproduction 1B et correspond dès lors aux critères d’exclusion énoncés dans le règlement (CE) nº 1107/2009 du Parlement européen et du Conseil</w:t>
      </w:r>
      <w:r w:rsidRPr="00B4003C">
        <w:rPr>
          <w:rStyle w:val="FootnoteReference"/>
        </w:rPr>
        <w:footnoteReference w:id="9"/>
      </w:r>
      <w:r w:rsidRPr="00B4003C">
        <w:t>; que l’autorisation de l’utilisation du glufosinate dans l’Union est arrivée à échéance le 31 juillet 2018;</w:t>
      </w:r>
    </w:p>
    <w:p w14:paraId="24A4D5EC" w14:textId="77777777" w:rsidR="004D1D31" w:rsidRPr="00B4003C" w:rsidRDefault="004D1D31" w:rsidP="004D1D31">
      <w:pPr>
        <w:pStyle w:val="NormalHanging12a"/>
      </w:pPr>
      <w:r w:rsidRPr="00B4003C">
        <w:t>I.</w:t>
      </w:r>
      <w:r w:rsidRPr="00B4003C">
        <w:tab/>
        <w:t>considérant que les garanties d’indépendance du suivi et de la surveillance des effets néfastes potentiels sur la biodiversité, la santé des sols, les pollinisateurs et les organismes non ciblés restent insuffisantes;</w:t>
      </w:r>
    </w:p>
    <w:p w14:paraId="62AF8A1C" w14:textId="77777777" w:rsidR="004D1D31" w:rsidRPr="00B4003C" w:rsidRDefault="004D1D31" w:rsidP="004D1D31">
      <w:pPr>
        <w:spacing w:after="240"/>
        <w:ind w:left="567" w:hanging="567"/>
      </w:pPr>
      <w:r w:rsidRPr="00B4003C">
        <w:t>J.</w:t>
      </w:r>
      <w:r w:rsidRPr="00B4003C">
        <w:tab/>
        <w:t>considérant que le principe de précaution, consacré par l’article 191 du traité sur le fonctionnement de l’Union européenne, devrait s’appliquer en cas d’incertitude scientifique;</w:t>
      </w:r>
    </w:p>
    <w:p w14:paraId="03524A0A" w14:textId="77777777" w:rsidR="004D1D31" w:rsidRPr="00B4003C" w:rsidRDefault="004D1D31" w:rsidP="004D1D31">
      <w:pPr>
        <w:spacing w:after="240"/>
        <w:ind w:left="567" w:hanging="567"/>
      </w:pPr>
      <w:r w:rsidRPr="00B4003C">
        <w:t>K.</w:t>
      </w:r>
      <w:r w:rsidRPr="00B4003C">
        <w:tab/>
        <w:t>considérant que le règlement (CE) nº 1829/2003 exige que les denrées alimentaires et les aliments pour animaux génétiquement modifiés n’aient pas d’effets négatifs sur la santé humaine, la santé animale ou l’environnement;</w:t>
      </w:r>
    </w:p>
    <w:p w14:paraId="06EF0A66" w14:textId="77777777" w:rsidR="004D1D31" w:rsidRPr="00B4003C" w:rsidRDefault="004D1D31" w:rsidP="004D1D31">
      <w:pPr>
        <w:pStyle w:val="NormalWeb"/>
        <w:widowControl w:val="0"/>
        <w:spacing w:before="0" w:beforeAutospacing="0" w:after="240" w:afterAutospacing="0"/>
        <w:ind w:left="567" w:hanging="567"/>
      </w:pPr>
      <w:r w:rsidRPr="00B4003C">
        <w:t>L.</w:t>
      </w:r>
      <w:r w:rsidRPr="00B4003C">
        <w:tab/>
        <w:t>considérant que le renouvellement de l’autorisation par l’Union du maïs génétiquement modifié ne serait pas conforme aux engagements internationaux en matière de réduction des pesticides</w:t>
      </w:r>
      <w:r w:rsidRPr="00B4003C">
        <w:rPr>
          <w:vertAlign w:val="superscript"/>
        </w:rPr>
        <w:footnoteReference w:id="10"/>
      </w:r>
      <w:r w:rsidRPr="00B4003C">
        <w:t>, compte tenu de l’exposition humaine, animale et environnementale accrue au glyphosate et au glufosinate dans les pays qui cultivent ce produit génétiquement modifié tolérant aux herbicides, ainsi que des effets potentiellement graves sur la santé qui y sont associés;</w:t>
      </w:r>
    </w:p>
    <w:p w14:paraId="1B6E9758" w14:textId="77777777" w:rsidR="004D1D31" w:rsidRPr="00B4003C" w:rsidRDefault="004D1D31" w:rsidP="004D1D31">
      <w:pPr>
        <w:spacing w:after="240"/>
        <w:ind w:left="567" w:hanging="567"/>
      </w:pPr>
      <w:r w:rsidRPr="00B4003C">
        <w:t>M.</w:t>
      </w:r>
      <w:r w:rsidRPr="00B4003C">
        <w:tab/>
        <w:t>considérant que le projet de décision d’exécution de la Commission continuerait d’autoriser les importations dans l’Union de produits non conformes aux normes observées par les agriculteurs de l’Union, ce qui placerait ces derniers dans une situation de désavantage concurrentiel;</w:t>
      </w:r>
    </w:p>
    <w:p w14:paraId="7CB0BC7C" w14:textId="77777777" w:rsidR="004D1D31" w:rsidRPr="00B4003C" w:rsidRDefault="004D1D31" w:rsidP="004D1D31">
      <w:pPr>
        <w:spacing w:after="240"/>
        <w:ind w:left="567" w:hanging="567"/>
      </w:pPr>
      <w:r w:rsidRPr="00B4003C">
        <w:t>N.</w:t>
      </w:r>
      <w:r w:rsidRPr="00B4003C">
        <w:tab/>
        <w:t xml:space="preserve">considérant que les conclusions du dialogue stratégique sur l’avenir de l’agriculture </w:t>
      </w:r>
      <w:r w:rsidRPr="00B4003C">
        <w:lastRenderedPageBreak/>
        <w:t>dans l’UE</w:t>
      </w:r>
      <w:r w:rsidRPr="00B4003C">
        <w:rPr>
          <w:rStyle w:val="FootnoteReference"/>
        </w:rPr>
        <w:footnoteReference w:id="11"/>
      </w:r>
      <w:r w:rsidRPr="00B4003C">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2024 et 2025, l’une des principales revendications des agriculteurs concernait l’instauration, à l’échelle mondiale, de relations commerciales plus équitables et compatibles avec les objectifs d’un environnement sain;</w:t>
      </w:r>
    </w:p>
    <w:p w14:paraId="233BD47A" w14:textId="77777777" w:rsidR="004D1D31" w:rsidRPr="00B4003C" w:rsidRDefault="004D1D31" w:rsidP="004D1D31">
      <w:pPr>
        <w:spacing w:after="240"/>
        <w:ind w:left="567" w:hanging="567"/>
      </w:pPr>
      <w:r w:rsidRPr="00B4003C">
        <w:t>O.</w:t>
      </w:r>
      <w:r w:rsidRPr="00B4003C">
        <w:tab/>
        <w:t>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d’appel;</w:t>
      </w:r>
    </w:p>
    <w:p w14:paraId="49530C16" w14:textId="77777777" w:rsidR="004D1D31" w:rsidRPr="00B4003C" w:rsidRDefault="004D1D31" w:rsidP="004D1D31">
      <w:pPr>
        <w:pStyle w:val="NormalWeb"/>
        <w:widowControl w:val="0"/>
        <w:shd w:val="clear" w:color="auto" w:fill="FFFFFF"/>
        <w:spacing w:before="0" w:beforeAutospacing="0" w:after="240" w:afterAutospacing="0"/>
        <w:ind w:left="567" w:hanging="567"/>
        <w:rPr>
          <w:color w:val="000000" w:themeColor="text1"/>
        </w:rPr>
      </w:pPr>
      <w:r w:rsidRPr="00B4003C">
        <w:rPr>
          <w:color w:val="000000" w:themeColor="text1"/>
        </w:rPr>
        <w:t>P.</w:t>
      </w:r>
      <w:r w:rsidRPr="00B4003C">
        <w:rPr>
          <w:color w:val="000000" w:themeColor="text1"/>
        </w:rPr>
        <w:tab/>
        <w:t>considérant que, bien qu’elle reconnaisse elle-même les lacunes démocratiques, le manque de soutien des États membres et l’opposition du Parlement, la Commission continue d’autoriser des OGM;</w:t>
      </w:r>
    </w:p>
    <w:p w14:paraId="12037193" w14:textId="77777777" w:rsidR="004D1D31" w:rsidRPr="00B4003C" w:rsidRDefault="004D1D31" w:rsidP="004D1D31">
      <w:pPr>
        <w:spacing w:after="240"/>
        <w:ind w:left="567" w:hanging="567"/>
      </w:pPr>
      <w:r w:rsidRPr="00B4003C">
        <w:t>Q.</w:t>
      </w:r>
      <w:r w:rsidRPr="00B4003C">
        <w:tab/>
        <w:t>considérant que l’approche «Une seule santé» exige de tenir compte de l’interdépendance entre la santé humaine, animale, végétale et environnementale lors de l’évaluation de la durabilité et de l’innocuité à long terme des OGM;</w:t>
      </w:r>
    </w:p>
    <w:p w14:paraId="2928D61E" w14:textId="77777777" w:rsidR="004D1D31" w:rsidRPr="00B4003C" w:rsidRDefault="004D1D31" w:rsidP="004D1D31">
      <w:pPr>
        <w:pStyle w:val="NormalHanging12a"/>
      </w:pPr>
      <w:r w:rsidRPr="00B4003C">
        <w:t>1.</w:t>
      </w:r>
      <w:r w:rsidRPr="00B4003C">
        <w:tab/>
        <w:t xml:space="preserve">considère que le projet de décision d’exécution de la Commission excède les compétences d’exécution prévues dans le règlement </w:t>
      </w:r>
      <w:bookmarkStart w:id="18" w:name="_Hlk219209229"/>
      <w:r w:rsidRPr="00B4003C">
        <w:t>(CE) n</w:t>
      </w:r>
      <w:r w:rsidRPr="00B4003C">
        <w:rPr>
          <w:vertAlign w:val="superscript"/>
        </w:rPr>
        <w:t>o</w:t>
      </w:r>
      <w:bookmarkEnd w:id="18"/>
      <w:r w:rsidRPr="00B4003C">
        <w:t> 1829/2003;</w:t>
      </w:r>
    </w:p>
    <w:p w14:paraId="1EAAFBD7" w14:textId="77777777" w:rsidR="004D1D31" w:rsidRPr="00B4003C" w:rsidRDefault="004D1D31" w:rsidP="004D1D31">
      <w:pPr>
        <w:pStyle w:val="NormalHanging12a"/>
      </w:pPr>
      <w:r w:rsidRPr="00B4003C">
        <w:t>2.</w:t>
      </w:r>
      <w:r w:rsidRPr="00B4003C">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B4003C">
        <w:rPr>
          <w:vertAlign w:val="superscript"/>
        </w:rPr>
        <w:footnoteReference w:id="12"/>
      </w:r>
      <w:r w:rsidRPr="00B4003C">
        <w:t xml:space="preserve">,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 </w:t>
      </w:r>
    </w:p>
    <w:p w14:paraId="208C30C3" w14:textId="77777777" w:rsidR="004D1D31" w:rsidRPr="00B4003C" w:rsidRDefault="004D1D31" w:rsidP="004D1D31">
      <w:pPr>
        <w:pStyle w:val="NormalHanging12a"/>
      </w:pPr>
      <w:r w:rsidRPr="00B4003C">
        <w:t>3.</w:t>
      </w:r>
      <w:r w:rsidRPr="00B4003C">
        <w:tab/>
        <w:t>demande à la Commission de retirer son projet de décision d’exécution;</w:t>
      </w:r>
    </w:p>
    <w:p w14:paraId="3D377185" w14:textId="77777777" w:rsidR="004D1D31" w:rsidRPr="00B4003C" w:rsidRDefault="004D1D31" w:rsidP="004D1D31">
      <w:pPr>
        <w:spacing w:after="240"/>
        <w:ind w:left="567" w:hanging="567"/>
      </w:pPr>
      <w:bookmarkStart w:id="19" w:name="_Hlk218675841"/>
      <w:r w:rsidRPr="00B4003C">
        <w:t>4.</w:t>
      </w:r>
      <w:r w:rsidRPr="00B4003C">
        <w:tab/>
        <w:t>invite la Commission à ne pas renouveler l’autorisation du maïs génétiquement modifié, en l’absence de preuves suffisantes quant à son incidence à long terme sur la biodiversité, la sécurité alimentaire, les moyens de subsistance des agriculteurs et la santé animale, conformément à l’approche «Une seule santé»;</w:t>
      </w:r>
    </w:p>
    <w:p w14:paraId="130ADC80" w14:textId="77777777" w:rsidR="004D1D31" w:rsidRPr="00B4003C" w:rsidRDefault="004D1D31" w:rsidP="004D1D31">
      <w:pPr>
        <w:spacing w:after="240"/>
        <w:ind w:left="567" w:hanging="567"/>
      </w:pPr>
      <w:bookmarkStart w:id="20" w:name="_Hlk210900300"/>
      <w:r w:rsidRPr="00B4003C">
        <w:t>5.</w:t>
      </w:r>
      <w:r w:rsidRPr="00B4003C">
        <w:tab/>
        <w:t xml:space="preserve">invite la Commission à présenter sans retard une proposition législative visant à réformer la procédure décisionnelle relative aux OGM, afin de répondre aux objections </w:t>
      </w:r>
      <w:r w:rsidRPr="00B4003C">
        <w:lastRenderedPageBreak/>
        <w:t>constantes du Parlement et à l’absence de soutien d’une majorité qualifiée parmi les États membres</w:t>
      </w:r>
      <w:bookmarkEnd w:id="20"/>
      <w:r w:rsidRPr="00B4003C">
        <w:t>;</w:t>
      </w:r>
    </w:p>
    <w:p w14:paraId="22B9E488" w14:textId="77777777" w:rsidR="004D1D31" w:rsidRPr="00B4003C" w:rsidRDefault="004D1D31" w:rsidP="004D1D31">
      <w:pPr>
        <w:spacing w:after="240"/>
        <w:ind w:left="567" w:hanging="567"/>
      </w:pPr>
      <w:bookmarkStart w:id="21" w:name="_Hlk210900241"/>
      <w:r w:rsidRPr="00B4003C">
        <w:t>6.</w:t>
      </w:r>
      <w:r w:rsidRPr="00B4003C">
        <w:tab/>
        <w:t>souligne, à cet égard, qu’autoriser l’importation de denrées alimentaires, d’alimentation animale ou de produits de toute plante génétiquement modifiée rendue tolérante à des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cadre de Kunming-Montréal, et crée des conditions de concurrence inégales pour les agriculteurs de l’Union;</w:t>
      </w:r>
    </w:p>
    <w:bookmarkEnd w:id="21"/>
    <w:p w14:paraId="5080FA90" w14:textId="0399548E" w:rsidR="00B4003C" w:rsidRPr="00B4003C" w:rsidRDefault="004D1D31" w:rsidP="00B4003C">
      <w:pPr>
        <w:spacing w:after="240"/>
        <w:ind w:left="567" w:hanging="567"/>
      </w:pPr>
      <w:r w:rsidRPr="00B4003C">
        <w:t>7.</w:t>
      </w:r>
      <w:r w:rsidRPr="00B4003C">
        <w:tab/>
      </w:r>
      <w:bookmarkEnd w:id="19"/>
      <w:r w:rsidRPr="00B4003C">
        <w:t xml:space="preserve">charge sa Présidente de transmettre la présente résolution au Conseil et à la Commission ainsi qu’aux gouvernements et aux parlements des États membres. </w:t>
      </w:r>
    </w:p>
    <w:p w14:paraId="2BE4E818" w14:textId="42600914" w:rsidR="00E365E1" w:rsidRPr="00B4003C" w:rsidRDefault="00E365E1" w:rsidP="00C2704B"/>
    <w:sectPr w:rsidR="00E365E1" w:rsidRPr="00B4003C" w:rsidSect="00B400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65C5A" w14:textId="77777777" w:rsidR="00C2704B" w:rsidRPr="00B4003C" w:rsidRDefault="00C2704B">
      <w:r w:rsidRPr="00B4003C">
        <w:separator/>
      </w:r>
    </w:p>
  </w:endnote>
  <w:endnote w:type="continuationSeparator" w:id="0">
    <w:p w14:paraId="0FB818E0" w14:textId="77777777" w:rsidR="00C2704B" w:rsidRPr="00B4003C" w:rsidRDefault="00C2704B">
      <w:r w:rsidRPr="00B40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B0AE0" w14:textId="77777777" w:rsidR="00064002" w:rsidRPr="00B400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F1D9A" w14:textId="77777777" w:rsidR="00064002" w:rsidRPr="00B400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13E15" w14:textId="77777777" w:rsidR="00064002" w:rsidRPr="00B400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3E125" w14:textId="77777777" w:rsidR="00C2704B" w:rsidRPr="00B4003C" w:rsidRDefault="00C2704B">
      <w:r w:rsidRPr="00B4003C">
        <w:separator/>
      </w:r>
    </w:p>
  </w:footnote>
  <w:footnote w:type="continuationSeparator" w:id="0">
    <w:p w14:paraId="58F4F9DA" w14:textId="77777777" w:rsidR="00C2704B" w:rsidRPr="00B4003C" w:rsidRDefault="00C2704B">
      <w:r w:rsidRPr="00B4003C">
        <w:continuationSeparator/>
      </w:r>
    </w:p>
  </w:footnote>
  <w:footnote w:id="1">
    <w:p w14:paraId="0A81DE85" w14:textId="01757AF6" w:rsidR="004D1D31" w:rsidRPr="00D927B4" w:rsidRDefault="004D1D31" w:rsidP="00B4003C">
      <w:pPr>
        <w:pStyle w:val="FootnoteText"/>
        <w:ind w:left="567" w:hanging="567"/>
        <w:rPr>
          <w:sz w:val="24"/>
          <w:lang w:val="da-DK"/>
        </w:rPr>
      </w:pPr>
      <w:r w:rsidRPr="00B4003C">
        <w:rPr>
          <w:rStyle w:val="FootnoteReference"/>
          <w:sz w:val="24"/>
        </w:rPr>
        <w:footnoteRef/>
      </w:r>
      <w:r w:rsidR="00B4003C" w:rsidRPr="00D927B4">
        <w:rPr>
          <w:sz w:val="24"/>
          <w:lang w:val="da-DK"/>
        </w:rPr>
        <w:t xml:space="preserve"> </w:t>
      </w:r>
      <w:r w:rsidR="00B4003C" w:rsidRPr="00D927B4">
        <w:rPr>
          <w:sz w:val="24"/>
          <w:lang w:val="da-DK"/>
        </w:rPr>
        <w:tab/>
      </w:r>
      <w:r w:rsidRPr="00D927B4">
        <w:rPr>
          <w:sz w:val="24"/>
          <w:lang w:val="da-DK"/>
        </w:rPr>
        <w:t>JO L 268 du 18.10.2003, p. 1., ELI: </w:t>
      </w:r>
      <w:hyperlink r:id="rId1" w:tooltip="Permet d’accéder à ce document via son URI ELI." w:history="1">
        <w:r w:rsidRPr="00D927B4">
          <w:rPr>
            <w:rStyle w:val="Hyperlink"/>
            <w:sz w:val="24"/>
            <w:lang w:val="da-DK"/>
          </w:rPr>
          <w:t>http://data.europa.eu/eli/reg/2003/1829/oj</w:t>
        </w:r>
      </w:hyperlink>
      <w:r w:rsidRPr="00D927B4">
        <w:rPr>
          <w:rStyle w:val="Hyperlink"/>
          <w:sz w:val="24"/>
          <w:lang w:val="da-DK"/>
        </w:rPr>
        <w:t>.</w:t>
      </w:r>
    </w:p>
  </w:footnote>
  <w:footnote w:id="2">
    <w:p w14:paraId="334247F1" w14:textId="3C19FE72" w:rsidR="004D1D31" w:rsidRPr="00D927B4" w:rsidRDefault="004D1D31" w:rsidP="00B4003C">
      <w:pPr>
        <w:pStyle w:val="FootnoteText"/>
        <w:ind w:left="567" w:hanging="567"/>
        <w:rPr>
          <w:sz w:val="24"/>
          <w:lang w:val="da-DK"/>
        </w:rPr>
      </w:pPr>
      <w:r w:rsidRPr="00B4003C">
        <w:rPr>
          <w:rStyle w:val="FootnoteReference"/>
          <w:sz w:val="24"/>
        </w:rPr>
        <w:footnoteRef/>
      </w:r>
      <w:r w:rsidR="00B4003C" w:rsidRPr="00D927B4">
        <w:rPr>
          <w:sz w:val="24"/>
          <w:lang w:val="da-DK"/>
        </w:rPr>
        <w:t xml:space="preserve"> </w:t>
      </w:r>
      <w:r w:rsidR="00B4003C" w:rsidRPr="00D927B4">
        <w:rPr>
          <w:sz w:val="24"/>
          <w:lang w:val="da-DK"/>
        </w:rPr>
        <w:tab/>
      </w:r>
      <w:r w:rsidRPr="00D927B4">
        <w:rPr>
          <w:sz w:val="24"/>
          <w:lang w:val="da-DK"/>
        </w:rPr>
        <w:t>JO L 55 du 28.2.2011, p. 13, ELI: </w:t>
      </w:r>
      <w:hyperlink r:id="rId2" w:history="1">
        <w:r w:rsidRPr="00D927B4">
          <w:rPr>
            <w:rStyle w:val="Hyperlink"/>
            <w:sz w:val="24"/>
            <w:lang w:val="da-DK"/>
          </w:rPr>
          <w:t>http://data.europa.eu/eli/reg/2011/182/oj</w:t>
        </w:r>
      </w:hyperlink>
      <w:r w:rsidRPr="00D927B4">
        <w:rPr>
          <w:sz w:val="24"/>
          <w:lang w:val="da-DK"/>
        </w:rPr>
        <w:t>.</w:t>
      </w:r>
    </w:p>
  </w:footnote>
  <w:footnote w:id="3">
    <w:p w14:paraId="10CEC82A" w14:textId="25FF6265" w:rsidR="004D1D31" w:rsidRPr="00B4003C" w:rsidRDefault="004D1D31" w:rsidP="00B4003C">
      <w:pPr>
        <w:pStyle w:val="FootnoteText"/>
        <w:ind w:left="567" w:hanging="567"/>
        <w:rPr>
          <w:sz w:val="24"/>
        </w:rPr>
      </w:pPr>
      <w:r w:rsidRPr="00B4003C">
        <w:rPr>
          <w:sz w:val="24"/>
          <w:vertAlign w:val="superscript"/>
        </w:rPr>
        <w:footnoteRef/>
      </w:r>
      <w:bookmarkStart w:id="9" w:name="_Hlk219207010"/>
      <w:r w:rsidR="00B4003C" w:rsidRPr="00B4003C">
        <w:rPr>
          <w:sz w:val="24"/>
        </w:rPr>
        <w:t xml:space="preserve"> </w:t>
      </w:r>
      <w:r w:rsidR="00B4003C" w:rsidRPr="00B4003C">
        <w:rPr>
          <w:sz w:val="24"/>
        </w:rPr>
        <w:tab/>
      </w:r>
      <w:r w:rsidRPr="00B4003C">
        <w:rPr>
          <w:sz w:val="24"/>
        </w:rPr>
        <w:t>Avis scientifique du groupe scientifique de l’EFSA sur les organismes génétiquement modifiés intitulé</w:t>
      </w:r>
      <w:bookmarkEnd w:id="9"/>
      <w:r w:rsidRPr="00B4003C">
        <w:rPr>
          <w:sz w:val="24"/>
        </w:rPr>
        <w:t xml:space="preserve"> «</w:t>
      </w:r>
      <w:proofErr w:type="spellStart"/>
      <w:r w:rsidRPr="00B4003C">
        <w:rPr>
          <w:sz w:val="24"/>
        </w:rPr>
        <w:t>Assessment</w:t>
      </w:r>
      <w:proofErr w:type="spellEnd"/>
      <w:r w:rsidRPr="00B4003C">
        <w:rPr>
          <w:sz w:val="24"/>
        </w:rPr>
        <w:t xml:space="preserve"> of </w:t>
      </w:r>
      <w:proofErr w:type="spellStart"/>
      <w:r w:rsidRPr="00B4003C">
        <w:rPr>
          <w:sz w:val="24"/>
        </w:rPr>
        <w:t>genetically</w:t>
      </w:r>
      <w:proofErr w:type="spellEnd"/>
      <w:r w:rsidRPr="00B4003C">
        <w:rPr>
          <w:sz w:val="24"/>
        </w:rPr>
        <w:t xml:space="preserve"> </w:t>
      </w:r>
      <w:proofErr w:type="spellStart"/>
      <w:r w:rsidRPr="00B4003C">
        <w:rPr>
          <w:sz w:val="24"/>
        </w:rPr>
        <w:t>modified</w:t>
      </w:r>
      <w:proofErr w:type="spellEnd"/>
      <w:r w:rsidRPr="00B4003C">
        <w:rPr>
          <w:sz w:val="24"/>
        </w:rPr>
        <w:t xml:space="preserve"> T25 </w:t>
      </w:r>
      <w:proofErr w:type="spellStart"/>
      <w:r w:rsidRPr="00B4003C">
        <w:rPr>
          <w:sz w:val="24"/>
        </w:rPr>
        <w:t>maize</w:t>
      </w:r>
      <w:proofErr w:type="spellEnd"/>
      <w:r w:rsidRPr="00B4003C">
        <w:rPr>
          <w:sz w:val="24"/>
        </w:rPr>
        <w:t xml:space="preserve"> for </w:t>
      </w:r>
      <w:proofErr w:type="spellStart"/>
      <w:r w:rsidRPr="00B4003C">
        <w:rPr>
          <w:sz w:val="24"/>
        </w:rPr>
        <w:t>renewal</w:t>
      </w:r>
      <w:proofErr w:type="spellEnd"/>
      <w:r w:rsidRPr="00B4003C">
        <w:rPr>
          <w:sz w:val="24"/>
        </w:rPr>
        <w:t xml:space="preserve"> </w:t>
      </w:r>
      <w:proofErr w:type="spellStart"/>
      <w:r w:rsidRPr="00B4003C">
        <w:rPr>
          <w:sz w:val="24"/>
        </w:rPr>
        <w:t>authorisation</w:t>
      </w:r>
      <w:proofErr w:type="spellEnd"/>
      <w:r w:rsidRPr="00B4003C">
        <w:rPr>
          <w:sz w:val="24"/>
        </w:rPr>
        <w:t xml:space="preserve"> </w:t>
      </w:r>
      <w:proofErr w:type="spellStart"/>
      <w:r w:rsidRPr="00B4003C">
        <w:rPr>
          <w:sz w:val="24"/>
        </w:rPr>
        <w:t>under</w:t>
      </w:r>
      <w:proofErr w:type="spellEnd"/>
      <w:r w:rsidRPr="00B4003C">
        <w:rPr>
          <w:sz w:val="24"/>
        </w:rPr>
        <w:t xml:space="preserve"> </w:t>
      </w:r>
      <w:proofErr w:type="spellStart"/>
      <w:r w:rsidRPr="00B4003C">
        <w:rPr>
          <w:sz w:val="24"/>
        </w:rPr>
        <w:t>Regulation</w:t>
      </w:r>
      <w:proofErr w:type="spellEnd"/>
      <w:r w:rsidRPr="00B4003C">
        <w:rPr>
          <w:sz w:val="24"/>
        </w:rPr>
        <w:t xml:space="preserve"> (EC) No 1829/2003 (dossier GMFF-2024-22651)» («Évaluation du maïs génétiquement modifié T25 en vue du renouvellement de l’autorisation au titre du règlement (CE) nº 1829/2003 (dossier GMFF-2024-22651)»), </w:t>
      </w:r>
      <w:r w:rsidRPr="00B4003C">
        <w:rPr>
          <w:i/>
          <w:sz w:val="24"/>
        </w:rPr>
        <w:t>EFSA Journal</w:t>
      </w:r>
      <w:r w:rsidRPr="00B4003C">
        <w:rPr>
          <w:sz w:val="24"/>
        </w:rPr>
        <w:t>,</w:t>
      </w:r>
      <w:r w:rsidRPr="00B4003C">
        <w:rPr>
          <w:i/>
          <w:sz w:val="24"/>
        </w:rPr>
        <w:t xml:space="preserve"> </w:t>
      </w:r>
      <w:r w:rsidRPr="00B4003C">
        <w:rPr>
          <w:sz w:val="24"/>
        </w:rPr>
        <w:t xml:space="preserve">2025, 23(8):e9570, </w:t>
      </w:r>
      <w:hyperlink r:id="rId3" w:history="1">
        <w:r w:rsidRPr="00B4003C">
          <w:rPr>
            <w:rStyle w:val="Hyperlink"/>
            <w:sz w:val="24"/>
          </w:rPr>
          <w:t>https://doi.org/10.2903/j.efsa.2025.9570</w:t>
        </w:r>
      </w:hyperlink>
      <w:r w:rsidRPr="00B4003C">
        <w:rPr>
          <w:sz w:val="24"/>
        </w:rPr>
        <w:t xml:space="preserve">. </w:t>
      </w:r>
    </w:p>
  </w:footnote>
  <w:footnote w:id="4">
    <w:p w14:paraId="67E19E0A" w14:textId="14EBD222" w:rsidR="004D1D31" w:rsidRPr="00B4003C" w:rsidRDefault="004D1D31" w:rsidP="00B4003C">
      <w:pPr>
        <w:pStyle w:val="FootnoteText"/>
        <w:ind w:left="567" w:hanging="567"/>
        <w:rPr>
          <w:color w:val="000000" w:themeColor="text1"/>
          <w:sz w:val="24"/>
          <w:vertAlign w:val="superscript"/>
        </w:rPr>
      </w:pPr>
      <w:r w:rsidRPr="00B4003C">
        <w:rPr>
          <w:rStyle w:val="FootnoteReference"/>
          <w:sz w:val="24"/>
        </w:rPr>
        <w:footnoteRef/>
      </w:r>
      <w:r w:rsidR="00B4003C" w:rsidRPr="00B4003C">
        <w:rPr>
          <w:color w:val="000000" w:themeColor="text1"/>
          <w:sz w:val="24"/>
        </w:rPr>
        <w:t xml:space="preserve"> </w:t>
      </w:r>
      <w:r w:rsidR="00B4003C" w:rsidRPr="00B4003C">
        <w:rPr>
          <w:color w:val="000000" w:themeColor="text1"/>
          <w:sz w:val="24"/>
        </w:rPr>
        <w:tab/>
      </w:r>
      <w:r w:rsidRPr="00B4003C">
        <w:rPr>
          <w:color w:val="000000" w:themeColor="text1"/>
          <w:sz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14:paraId="5578DAF8" w14:textId="4A16D644"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4D1D31" w:rsidRPr="00B4003C">
          <w:rPr>
            <w:rStyle w:val="Hyperlink"/>
            <w:sz w:val="24"/>
          </w:rPr>
          <w:t>http://data.europa.eu/eli/C/2025/1797/oj</w:t>
        </w:r>
      </w:hyperlink>
      <w:r w:rsidR="004D1D31" w:rsidRPr="00B4003C">
        <w:rPr>
          <w:color w:val="000000" w:themeColor="text1"/>
          <w:sz w:val="24"/>
        </w:rPr>
        <w:t>);</w:t>
      </w:r>
    </w:p>
    <w:p w14:paraId="1875472B" w14:textId="0ECBBAF9" w:rsidR="004D1D31" w:rsidRPr="00B4003C" w:rsidRDefault="00B4003C" w:rsidP="00B4003C">
      <w:pPr>
        <w:pStyle w:val="FootnoteText"/>
        <w:keepN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4D1D31" w:rsidRPr="00B4003C">
          <w:rPr>
            <w:rStyle w:val="Hyperlink"/>
            <w:sz w:val="24"/>
          </w:rPr>
          <w:t>http://data.europa.eu/eli/C/2025/1798/oj</w:t>
        </w:r>
      </w:hyperlink>
      <w:r w:rsidR="004D1D31" w:rsidRPr="00B4003C">
        <w:rPr>
          <w:color w:val="000000" w:themeColor="text1"/>
          <w:sz w:val="24"/>
        </w:rPr>
        <w:t>);</w:t>
      </w:r>
    </w:p>
    <w:p w14:paraId="663805C0" w14:textId="38A9BA3E"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6" w:history="1">
        <w:r w:rsidR="004D1D31" w:rsidRPr="00B4003C">
          <w:rPr>
            <w:rStyle w:val="Hyperlink"/>
            <w:sz w:val="24"/>
          </w:rPr>
          <w:t>http://data.europa.eu/eli/C/2025/1799/oj</w:t>
        </w:r>
      </w:hyperlink>
      <w:r w:rsidR="004D1D31" w:rsidRPr="00B4003C">
        <w:rPr>
          <w:color w:val="000000" w:themeColor="text1"/>
          <w:sz w:val="24"/>
        </w:rPr>
        <w:t>);</w:t>
      </w:r>
    </w:p>
    <w:p w14:paraId="0E417B62" w14:textId="4B77D1F3"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4D1D31" w:rsidRPr="00B4003C">
          <w:rPr>
            <w:rStyle w:val="Hyperlink"/>
            <w:sz w:val="24"/>
          </w:rPr>
          <w:t>http://data.europa.eu/eli/C/2025/1800/oj</w:t>
        </w:r>
      </w:hyperlink>
      <w:r w:rsidR="004D1D31" w:rsidRPr="00B4003C">
        <w:rPr>
          <w:color w:val="000000" w:themeColor="text1"/>
          <w:sz w:val="24"/>
        </w:rPr>
        <w:t>);</w:t>
      </w:r>
    </w:p>
    <w:p w14:paraId="01270FE9" w14:textId="7371A66B"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8" w:history="1">
        <w:r w:rsidR="004D1D31" w:rsidRPr="00B4003C">
          <w:rPr>
            <w:rStyle w:val="Hyperlink"/>
            <w:sz w:val="24"/>
          </w:rPr>
          <w:t>http://data.europa.eu/eli/C/2025/1801/oj</w:t>
        </w:r>
      </w:hyperlink>
      <w:r w:rsidR="004D1D31" w:rsidRPr="00B4003C">
        <w:rPr>
          <w:color w:val="000000" w:themeColor="text1"/>
          <w:sz w:val="24"/>
        </w:rPr>
        <w:t>);</w:t>
      </w:r>
    </w:p>
    <w:p w14:paraId="5299FEB0" w14:textId="2859B57C"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9" w:history="1">
        <w:r w:rsidR="004D1D31" w:rsidRPr="00B4003C">
          <w:rPr>
            <w:rStyle w:val="Hyperlink"/>
            <w:sz w:val="24"/>
          </w:rPr>
          <w:t>http://data.europa.eu/eli/C/2025/1802/oj</w:t>
        </w:r>
      </w:hyperlink>
      <w:r w:rsidR="004D1D31" w:rsidRPr="00B4003C">
        <w:rPr>
          <w:color w:val="000000" w:themeColor="text1"/>
          <w:sz w:val="24"/>
        </w:rPr>
        <w:t>);</w:t>
      </w:r>
    </w:p>
    <w:p w14:paraId="78CC83BF" w14:textId="0F663E09"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4D1D31" w:rsidRPr="00B4003C">
          <w:rPr>
            <w:rStyle w:val="Hyperlink"/>
            <w:sz w:val="24"/>
          </w:rPr>
          <w:t>http://data.europa.eu/eli/C/2025/1803/oj</w:t>
        </w:r>
      </w:hyperlink>
      <w:r w:rsidR="004D1D31" w:rsidRPr="00B4003C">
        <w:rPr>
          <w:color w:val="000000" w:themeColor="text1"/>
          <w:sz w:val="24"/>
        </w:rPr>
        <w:t>);</w:t>
      </w:r>
    </w:p>
    <w:p w14:paraId="58E72B93" w14:textId="59A8601A" w:rsidR="004D1D31" w:rsidRPr="00B4003C" w:rsidRDefault="00B4003C" w:rsidP="00B4003C">
      <w:pPr>
        <w:pStyle w:val="FootnoteText"/>
        <w:ind w:left="567" w:hanging="567"/>
        <w:rPr>
          <w:color w:val="000000" w:themeColor="text1"/>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t>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4D1D31" w:rsidRPr="00B4003C">
          <w:rPr>
            <w:rStyle w:val="Hyperlink"/>
            <w:sz w:val="24"/>
          </w:rPr>
          <w:t>http://data.europa.eu/eli/C/2025/1804/oj</w:t>
        </w:r>
      </w:hyperlink>
      <w:r w:rsidR="004D1D31" w:rsidRPr="00B4003C">
        <w:rPr>
          <w:color w:val="000000" w:themeColor="text1"/>
          <w:sz w:val="24"/>
        </w:rPr>
        <w:t>);</w:t>
      </w:r>
    </w:p>
    <w:p w14:paraId="377F838A" w14:textId="41A0196C" w:rsidR="004D1D31" w:rsidRPr="00B4003C" w:rsidRDefault="00B4003C" w:rsidP="00B4003C">
      <w:pPr>
        <w:pStyle w:val="FootnoteText"/>
        <w:ind w:left="567" w:hanging="567"/>
        <w:rPr>
          <w:sz w:val="24"/>
          <w:vertAlign w:val="superscript"/>
        </w:rPr>
      </w:pPr>
      <w:r w:rsidRPr="00B4003C">
        <w:rPr>
          <w:color w:val="000000" w:themeColor="text1"/>
          <w:sz w:val="24"/>
        </w:rPr>
        <w:t xml:space="preserve"> </w:t>
      </w:r>
      <w:r w:rsidRPr="00B4003C">
        <w:rPr>
          <w:color w:val="000000" w:themeColor="text1"/>
          <w:sz w:val="24"/>
        </w:rPr>
        <w:tab/>
      </w:r>
      <w:r w:rsidR="004D1D31" w:rsidRPr="00B4003C">
        <w:rPr>
          <w:color w:val="000000" w:themeColor="text1"/>
          <w:sz w:val="24"/>
        </w:rPr>
        <w:t>–</w:t>
      </w:r>
      <w:r w:rsidR="004D1D31" w:rsidRPr="00B4003C">
        <w:rPr>
          <w:color w:val="000000" w:themeColor="text1"/>
          <w:sz w:val="24"/>
        </w:rPr>
        <w:tab/>
      </w:r>
      <w:r w:rsidR="004D1D31" w:rsidRPr="00B4003C">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w:t>
      </w:r>
      <w:bookmarkStart w:id="11" w:name="_Hlk219207574"/>
      <w:r w:rsidR="004D1D31" w:rsidRPr="00B4003C">
        <w:rPr>
          <w:sz w:val="24"/>
        </w:rPr>
        <w:t>(JO C, C/2025/2246, 29.4.2025, ELI: </w:t>
      </w:r>
      <w:hyperlink r:id="rId12" w:tooltip="Permet d’accéder à ce document via son URI ELI." w:history="1">
        <w:r w:rsidR="004D1D31" w:rsidRPr="00B4003C">
          <w:rPr>
            <w:rStyle w:val="Hyperlink"/>
            <w:sz w:val="24"/>
          </w:rPr>
          <w:t>http://data.europa.eu/eli/C/2025/2246/oj</w:t>
        </w:r>
      </w:hyperlink>
      <w:r w:rsidR="004D1D31" w:rsidRPr="00B4003C">
        <w:rPr>
          <w:sz w:val="24"/>
        </w:rPr>
        <w:t>);</w:t>
      </w:r>
      <w:bookmarkEnd w:id="11"/>
    </w:p>
    <w:p w14:paraId="31E61682" w14:textId="2553E27B"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w:t>
      </w:r>
      <w:bookmarkStart w:id="12" w:name="_Hlk219207593"/>
      <w:r w:rsidR="004D1D31" w:rsidRPr="00B4003C">
        <w:rPr>
          <w:sz w:val="24"/>
        </w:rPr>
        <w:t>(JO C, C/2025/2247, 29.4.2025, ELI: </w:t>
      </w:r>
      <w:hyperlink r:id="rId13" w:history="1">
        <w:r w:rsidR="004D1D31" w:rsidRPr="00B4003C">
          <w:rPr>
            <w:rStyle w:val="Hyperlink"/>
            <w:sz w:val="24"/>
          </w:rPr>
          <w:t>http://data.europa.eu/eli/C/2025/2247/oj</w:t>
        </w:r>
      </w:hyperlink>
      <w:r w:rsidR="004D1D31" w:rsidRPr="00B4003C">
        <w:rPr>
          <w:sz w:val="24"/>
        </w:rPr>
        <w:t>);</w:t>
      </w:r>
      <w:bookmarkEnd w:id="12"/>
    </w:p>
    <w:p w14:paraId="62FA36BE" w14:textId="38D3D604" w:rsidR="004D1D31" w:rsidRPr="00B4003C" w:rsidRDefault="00B4003C" w:rsidP="00B4003C">
      <w:pPr>
        <w:pStyle w:val="FootnoteText"/>
        <w:ind w:left="567" w:hanging="567"/>
        <w:rPr>
          <w:sz w:val="24"/>
          <w:vertAlign w:val="superscript"/>
        </w:rPr>
      </w:pPr>
      <w:bookmarkStart w:id="13" w:name="_Hlk219207619"/>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P10_TA(2025)0106</w:t>
      </w:r>
      <w:r w:rsidR="00D927B4">
        <w:rPr>
          <w:sz w:val="24"/>
        </w:rPr>
        <w:t>)</w:t>
      </w:r>
      <w:r w:rsidR="004D1D31" w:rsidRPr="00B4003C">
        <w:rPr>
          <w:sz w:val="24"/>
        </w:rPr>
        <w:t>;</w:t>
      </w:r>
    </w:p>
    <w:p w14:paraId="3412F5BC" w14:textId="4B272A7B"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8 octobre 2025 sur la décision d’exécution de la Commission (UE) 2025/1898 du 22 septembre 2025 autorisant la mise sur le marché de produits contenant du maïs génétiquement modifié DP51291, consistant en ce maïs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P10_TA(2025)0222</w:t>
      </w:r>
      <w:r w:rsidR="00D927B4">
        <w:rPr>
          <w:sz w:val="24"/>
        </w:rPr>
        <w:t>)</w:t>
      </w:r>
      <w:r w:rsidR="004D1D31" w:rsidRPr="00B4003C">
        <w:rPr>
          <w:sz w:val="24"/>
        </w:rPr>
        <w:t>;</w:t>
      </w:r>
    </w:p>
    <w:p w14:paraId="5669F78D" w14:textId="1F132296"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[P10_TA(2025)0288];</w:t>
      </w:r>
    </w:p>
    <w:p w14:paraId="3A4AB64A" w14:textId="0896EBA2" w:rsidR="004D1D31" w:rsidRPr="00B4003C" w:rsidRDefault="00B4003C" w:rsidP="00B4003C">
      <w:pPr>
        <w:pStyle w:val="FootnoteText"/>
        <w:keepN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P10_TA(2025)0289</w:t>
      </w:r>
      <w:r w:rsidR="00D927B4">
        <w:rPr>
          <w:sz w:val="24"/>
        </w:rPr>
        <w:t>)</w:t>
      </w:r>
      <w:r w:rsidR="004D1D31" w:rsidRPr="00B4003C">
        <w:rPr>
          <w:sz w:val="24"/>
        </w:rPr>
        <w:t>;</w:t>
      </w:r>
    </w:p>
    <w:p w14:paraId="5F3FF518" w14:textId="5738B7D0"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P10_TA(2025)0290</w:t>
      </w:r>
      <w:r w:rsidR="00D927B4">
        <w:rPr>
          <w:sz w:val="24"/>
        </w:rPr>
        <w:t>)</w:t>
      </w:r>
      <w:r w:rsidR="004D1D31" w:rsidRPr="00B4003C">
        <w:rPr>
          <w:sz w:val="24"/>
        </w:rPr>
        <w:t>;</w:t>
      </w:r>
    </w:p>
    <w:p w14:paraId="33AA8D1C" w14:textId="2FB4B52F"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P10_TA(2025)0291</w:t>
      </w:r>
      <w:r w:rsidR="00D927B4">
        <w:rPr>
          <w:sz w:val="24"/>
        </w:rPr>
        <w:t>)</w:t>
      </w:r>
      <w:r w:rsidR="004D1D31" w:rsidRPr="00B4003C">
        <w:rPr>
          <w:sz w:val="24"/>
        </w:rPr>
        <w:t>;</w:t>
      </w:r>
    </w:p>
    <w:p w14:paraId="30F43A86" w14:textId="3981B27D"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P10_TA(2025)0292</w:t>
      </w:r>
      <w:r w:rsidR="00D927B4">
        <w:rPr>
          <w:sz w:val="24"/>
        </w:rPr>
        <w:t>)</w:t>
      </w:r>
      <w:r w:rsidR="004D1D31" w:rsidRPr="00B4003C">
        <w:rPr>
          <w:sz w:val="24"/>
        </w:rPr>
        <w:t>;</w:t>
      </w:r>
    </w:p>
    <w:p w14:paraId="2475E7DF" w14:textId="09CAA0C3" w:rsidR="004D1D31" w:rsidRPr="00B4003C" w:rsidRDefault="00B4003C" w:rsidP="00B4003C">
      <w:pPr>
        <w:pStyle w:val="FootnoteText"/>
        <w:ind w:left="567" w:hanging="567"/>
        <w:rPr>
          <w:sz w:val="24"/>
          <w:vertAlign w:val="superscript"/>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16 décembre 2025 sur le projet de décision d’exécution de la Commission renouvelant l’autorisation de mise sur le marché de produits contenant du maïs génétiquement modifié NK603, consistant en ce colza ou produits à partir de celui-ci, en application du règlement (CE) nº 1829/2003 du Parlement européen et du Conseil </w:t>
      </w:r>
      <w:r w:rsidR="00D927B4">
        <w:rPr>
          <w:sz w:val="24"/>
        </w:rPr>
        <w:t xml:space="preserve">(Textes adoptés de cette date, </w:t>
      </w:r>
      <w:r w:rsidR="004D1D31" w:rsidRPr="00B4003C">
        <w:rPr>
          <w:sz w:val="24"/>
        </w:rPr>
        <w:t>P10_TA(2025)0327</w:t>
      </w:r>
      <w:r w:rsidR="00D927B4">
        <w:rPr>
          <w:sz w:val="24"/>
        </w:rPr>
        <w:t>)</w:t>
      </w:r>
      <w:r w:rsidR="004D1D31" w:rsidRPr="00B4003C">
        <w:rPr>
          <w:sz w:val="24"/>
        </w:rPr>
        <w:t>;</w:t>
      </w:r>
    </w:p>
    <w:p w14:paraId="5A4D0A89" w14:textId="2EDC514E" w:rsidR="004D1D31" w:rsidRPr="00B4003C" w:rsidRDefault="00B4003C" w:rsidP="00B4003C">
      <w:pPr>
        <w:pStyle w:val="FootnoteText"/>
        <w:ind w:left="567" w:hanging="567"/>
        <w:rPr>
          <w:sz w:val="24"/>
        </w:rPr>
      </w:pPr>
      <w:r w:rsidRPr="00B4003C">
        <w:rPr>
          <w:sz w:val="24"/>
        </w:rPr>
        <w:t xml:space="preserve"> </w:t>
      </w:r>
      <w:r w:rsidRPr="00B4003C">
        <w:rPr>
          <w:sz w:val="24"/>
        </w:rPr>
        <w:tab/>
      </w:r>
      <w:r w:rsidR="004D1D31" w:rsidRPr="00B4003C">
        <w:rPr>
          <w:sz w:val="24"/>
        </w:rPr>
        <w:t>–</w:t>
      </w:r>
      <w:r w:rsidR="004D1D31" w:rsidRPr="00B4003C">
        <w:rPr>
          <w:sz w:val="24"/>
        </w:rPr>
        <w:tab/>
        <w:t xml:space="preserve">résolution 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w:t>
      </w:r>
      <w:r w:rsidR="00D927B4">
        <w:rPr>
          <w:sz w:val="24"/>
        </w:rPr>
        <w:t xml:space="preserve">(Textes adoptés de cette date, </w:t>
      </w:r>
      <w:r w:rsidR="004D1D31" w:rsidRPr="00B4003C">
        <w:rPr>
          <w:sz w:val="24"/>
        </w:rPr>
        <w:t>P10_TA(2025)0328</w:t>
      </w:r>
      <w:r w:rsidR="00D927B4">
        <w:rPr>
          <w:sz w:val="24"/>
        </w:rPr>
        <w:t>)</w:t>
      </w:r>
      <w:r w:rsidR="004D1D31" w:rsidRPr="00B4003C">
        <w:rPr>
          <w:sz w:val="24"/>
        </w:rPr>
        <w:t>.</w:t>
      </w:r>
      <w:bookmarkEnd w:id="13"/>
    </w:p>
  </w:footnote>
  <w:footnote w:id="5">
    <w:p w14:paraId="589A1045" w14:textId="3E3FA963" w:rsidR="004D1D31" w:rsidRPr="00B4003C" w:rsidRDefault="004D1D31" w:rsidP="00B4003C">
      <w:pPr>
        <w:pStyle w:val="FootnoteText"/>
        <w:ind w:left="567" w:hanging="567"/>
        <w:rPr>
          <w:iCs/>
          <w:sz w:val="24"/>
        </w:rPr>
      </w:pPr>
      <w:r w:rsidRPr="00B4003C">
        <w:rPr>
          <w:rStyle w:val="FootnoteReference"/>
          <w:sz w:val="24"/>
        </w:rPr>
        <w:footnoteRef/>
      </w:r>
      <w:r w:rsidR="00B4003C" w:rsidRPr="00B4003C">
        <w:rPr>
          <w:sz w:val="24"/>
        </w:rPr>
        <w:t xml:space="preserve"> </w:t>
      </w:r>
      <w:r w:rsidR="00B4003C" w:rsidRPr="00B4003C">
        <w:rPr>
          <w:sz w:val="24"/>
        </w:rPr>
        <w:tab/>
      </w:r>
      <w:r w:rsidRPr="00B4003C">
        <w:rPr>
          <w:sz w:val="24"/>
        </w:rPr>
        <w:t>Décision d’exécution (UE) 2015/697 de la Commission du 24 avril 2015 autorisant la mise sur le marché du maïs génétiquement modifié T25 (ACS-ZMØØ3-2) et renouvelant l’autorisation des produits de maïs T25 (ACS-ZMØØ3-2) existants, en application du règlement (CE) n</w:t>
      </w:r>
      <w:r w:rsidRPr="00B4003C">
        <w:rPr>
          <w:sz w:val="24"/>
          <w:vertAlign w:val="superscript"/>
        </w:rPr>
        <w:t>o</w:t>
      </w:r>
      <w:r w:rsidRPr="00B4003C">
        <w:rPr>
          <w:sz w:val="24"/>
        </w:rPr>
        <w:t> 1829/2003 du Parlement européen et du Conseil (JO L 112 du 30.4.2015, p. 66, ELI: </w:t>
      </w:r>
      <w:hyperlink r:id="rId14" w:history="1">
        <w:r w:rsidRPr="00B4003C">
          <w:rPr>
            <w:rStyle w:val="Hyperlink"/>
            <w:sz w:val="24"/>
          </w:rPr>
          <w:t>http://data.europa.eu/eli/dec_impl/2015/697/oj</w:t>
        </w:r>
      </w:hyperlink>
      <w:r w:rsidRPr="00B4003C">
        <w:rPr>
          <w:sz w:val="24"/>
        </w:rPr>
        <w:t>).</w:t>
      </w:r>
    </w:p>
  </w:footnote>
  <w:footnote w:id="6">
    <w:p w14:paraId="296F137D" w14:textId="08BB2014"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sz w:val="24"/>
        </w:rPr>
        <w:t xml:space="preserve"> </w:t>
      </w:r>
      <w:r w:rsidR="00B4003C" w:rsidRPr="00B4003C">
        <w:rPr>
          <w:sz w:val="24"/>
        </w:rPr>
        <w:tab/>
      </w:r>
      <w:r w:rsidRPr="00B4003C">
        <w:rPr>
          <w:sz w:val="24"/>
        </w:rPr>
        <w:t xml:space="preserve">Avis scientifique du groupe scientifique de l’EFSA sur les organismes génétiquement modifiés relatif aux demandes EFSA-GMO-RX-T25 et EFSA-GMO-NL-2007-46 de renouvellement de l’autorisation du maïs T25 et d’autorisation de mise sur le marché du maïs génétiquement modifié tolérant aux herbicides T25, en vue de l’alimentation humaine et animale, de l’importation et de la transformation, déposées au titre du règlement (CE) nº 1829/2003 par Bayer </w:t>
      </w:r>
      <w:proofErr w:type="spellStart"/>
      <w:r w:rsidRPr="00B4003C">
        <w:rPr>
          <w:sz w:val="24"/>
        </w:rPr>
        <w:t>CropScience</w:t>
      </w:r>
      <w:proofErr w:type="spellEnd"/>
      <w:r w:rsidRPr="00B4003C">
        <w:rPr>
          <w:sz w:val="24"/>
        </w:rPr>
        <w:t xml:space="preserve"> AG, </w:t>
      </w:r>
      <w:r w:rsidRPr="00B4003C">
        <w:rPr>
          <w:i/>
          <w:sz w:val="24"/>
        </w:rPr>
        <w:t xml:space="preserve">EFSA Journal, </w:t>
      </w:r>
      <w:r w:rsidRPr="00B4003C">
        <w:rPr>
          <w:sz w:val="24"/>
        </w:rPr>
        <w:t xml:space="preserve">2013, 11(10):3356, </w:t>
      </w:r>
      <w:hyperlink r:id="rId15" w:history="1">
        <w:r w:rsidRPr="00B4003C">
          <w:rPr>
            <w:rStyle w:val="Hyperlink"/>
            <w:sz w:val="24"/>
          </w:rPr>
          <w:t>https://doi.org/10.2903/j.efsa.2013.3356</w:t>
        </w:r>
      </w:hyperlink>
      <w:r w:rsidRPr="00B4003C">
        <w:rPr>
          <w:sz w:val="24"/>
        </w:rPr>
        <w:t>.</w:t>
      </w:r>
    </w:p>
  </w:footnote>
  <w:footnote w:id="7">
    <w:p w14:paraId="254B75E2" w14:textId="6CBB192D"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sz w:val="24"/>
          <w:shd w:val="clear" w:color="auto" w:fill="FFFFFF"/>
        </w:rPr>
        <w:t xml:space="preserve"> </w:t>
      </w:r>
      <w:r w:rsidR="00B4003C" w:rsidRPr="00B4003C">
        <w:rPr>
          <w:sz w:val="24"/>
          <w:shd w:val="clear" w:color="auto" w:fill="FFFFFF"/>
        </w:rPr>
        <w:tab/>
      </w:r>
      <w:r w:rsidRPr="00B4003C">
        <w:rPr>
          <w:sz w:val="24"/>
          <w:shd w:val="clear" w:color="auto" w:fill="FFFFFF"/>
        </w:rPr>
        <w:t>Voir, par exemple, Bonny, S., «</w:t>
      </w:r>
      <w:proofErr w:type="spellStart"/>
      <w:r w:rsidRPr="00B4003C">
        <w:rPr>
          <w:sz w:val="24"/>
          <w:shd w:val="clear" w:color="auto" w:fill="FFFFFF"/>
        </w:rPr>
        <w:t>Genetically</w:t>
      </w:r>
      <w:proofErr w:type="spellEnd"/>
      <w:r w:rsidRPr="00B4003C">
        <w:rPr>
          <w:sz w:val="24"/>
          <w:shd w:val="clear" w:color="auto" w:fill="FFFFFF"/>
        </w:rPr>
        <w:t xml:space="preserve"> </w:t>
      </w:r>
      <w:proofErr w:type="spellStart"/>
      <w:r w:rsidRPr="00B4003C">
        <w:rPr>
          <w:sz w:val="24"/>
          <w:shd w:val="clear" w:color="auto" w:fill="FFFFFF"/>
        </w:rPr>
        <w:t>Modified</w:t>
      </w:r>
      <w:proofErr w:type="spellEnd"/>
      <w:r w:rsidRPr="00B4003C">
        <w:rPr>
          <w:sz w:val="24"/>
          <w:shd w:val="clear" w:color="auto" w:fill="FFFFFF"/>
        </w:rPr>
        <w:t xml:space="preserve"> Herbicide-</w:t>
      </w:r>
      <w:proofErr w:type="spellStart"/>
      <w:r w:rsidRPr="00B4003C">
        <w:rPr>
          <w:sz w:val="24"/>
          <w:shd w:val="clear" w:color="auto" w:fill="FFFFFF"/>
        </w:rPr>
        <w:t>Tolerant</w:t>
      </w:r>
      <w:proofErr w:type="spellEnd"/>
      <w:r w:rsidRPr="00B4003C">
        <w:rPr>
          <w:sz w:val="24"/>
          <w:shd w:val="clear" w:color="auto" w:fill="FFFFFF"/>
        </w:rPr>
        <w:t xml:space="preserve"> </w:t>
      </w:r>
      <w:proofErr w:type="spellStart"/>
      <w:r w:rsidRPr="00B4003C">
        <w:rPr>
          <w:sz w:val="24"/>
          <w:shd w:val="clear" w:color="auto" w:fill="FFFFFF"/>
        </w:rPr>
        <w:t>Crops</w:t>
      </w:r>
      <w:proofErr w:type="spellEnd"/>
      <w:r w:rsidRPr="00B4003C">
        <w:rPr>
          <w:sz w:val="24"/>
          <w:shd w:val="clear" w:color="auto" w:fill="FFFFFF"/>
        </w:rPr>
        <w:t xml:space="preserve">, </w:t>
      </w:r>
      <w:proofErr w:type="spellStart"/>
      <w:r w:rsidRPr="00B4003C">
        <w:rPr>
          <w:sz w:val="24"/>
          <w:shd w:val="clear" w:color="auto" w:fill="FFFFFF"/>
        </w:rPr>
        <w:t>Weeds</w:t>
      </w:r>
      <w:proofErr w:type="spellEnd"/>
      <w:r w:rsidRPr="00B4003C">
        <w:rPr>
          <w:sz w:val="24"/>
          <w:shd w:val="clear" w:color="auto" w:fill="FFFFFF"/>
        </w:rPr>
        <w:t xml:space="preserve">, and Herbicides: </w:t>
      </w:r>
      <w:proofErr w:type="spellStart"/>
      <w:r w:rsidRPr="00B4003C">
        <w:rPr>
          <w:sz w:val="24"/>
        </w:rPr>
        <w:t>Overview</w:t>
      </w:r>
      <w:proofErr w:type="spellEnd"/>
      <w:r w:rsidRPr="00B4003C">
        <w:rPr>
          <w:sz w:val="24"/>
        </w:rPr>
        <w:t xml:space="preserve"> and Impact», </w:t>
      </w:r>
      <w:proofErr w:type="spellStart"/>
      <w:r w:rsidRPr="00B4003C">
        <w:rPr>
          <w:i/>
          <w:iCs/>
          <w:sz w:val="24"/>
        </w:rPr>
        <w:t>Environmental</w:t>
      </w:r>
      <w:proofErr w:type="spellEnd"/>
      <w:r w:rsidRPr="00B4003C">
        <w:rPr>
          <w:i/>
          <w:iCs/>
          <w:sz w:val="24"/>
        </w:rPr>
        <w:t xml:space="preserve"> Management</w:t>
      </w:r>
      <w:r w:rsidRPr="00B4003C">
        <w:rPr>
          <w:sz w:val="24"/>
        </w:rPr>
        <w:t xml:space="preserve">, janvier 2016, 57(1), p. 31-48, </w:t>
      </w:r>
      <w:bookmarkStart w:id="14" w:name="_Hlk219208464"/>
      <w:r w:rsidRPr="00B4003C">
        <w:rPr>
          <w:sz w:val="24"/>
        </w:rPr>
        <w:t>https://doi.org/10.1007/s00267-015-0589-7</w:t>
      </w:r>
      <w:bookmarkEnd w:id="14"/>
      <w:r w:rsidRPr="00B4003C">
        <w:rPr>
          <w:sz w:val="24"/>
        </w:rPr>
        <w:t xml:space="preserve">, et </w:t>
      </w:r>
      <w:proofErr w:type="spellStart"/>
      <w:r w:rsidRPr="00B4003C">
        <w:rPr>
          <w:sz w:val="24"/>
        </w:rPr>
        <w:t>Benbrook</w:t>
      </w:r>
      <w:proofErr w:type="spellEnd"/>
      <w:r w:rsidRPr="00B4003C">
        <w:rPr>
          <w:sz w:val="24"/>
        </w:rPr>
        <w:t xml:space="preserve">, C.M., «Impacts of </w:t>
      </w:r>
      <w:proofErr w:type="spellStart"/>
      <w:r w:rsidRPr="00B4003C">
        <w:rPr>
          <w:sz w:val="24"/>
        </w:rPr>
        <w:t>genetically</w:t>
      </w:r>
      <w:proofErr w:type="spellEnd"/>
      <w:r w:rsidRPr="00B4003C">
        <w:rPr>
          <w:sz w:val="24"/>
        </w:rPr>
        <w:t xml:space="preserve"> </w:t>
      </w:r>
      <w:proofErr w:type="spellStart"/>
      <w:r w:rsidRPr="00B4003C">
        <w:rPr>
          <w:sz w:val="24"/>
        </w:rPr>
        <w:t>engineered</w:t>
      </w:r>
      <w:proofErr w:type="spellEnd"/>
      <w:r w:rsidRPr="00B4003C">
        <w:rPr>
          <w:sz w:val="24"/>
        </w:rPr>
        <w:t xml:space="preserve"> </w:t>
      </w:r>
      <w:proofErr w:type="spellStart"/>
      <w:r w:rsidRPr="00B4003C">
        <w:rPr>
          <w:sz w:val="24"/>
        </w:rPr>
        <w:t>crops</w:t>
      </w:r>
      <w:proofErr w:type="spellEnd"/>
      <w:r w:rsidRPr="00B4003C">
        <w:rPr>
          <w:sz w:val="24"/>
        </w:rPr>
        <w:t xml:space="preserve"> on pesticide use in the U.S. – the first </w:t>
      </w:r>
      <w:proofErr w:type="spellStart"/>
      <w:r w:rsidRPr="00B4003C">
        <w:rPr>
          <w:sz w:val="24"/>
        </w:rPr>
        <w:t>sixteen</w:t>
      </w:r>
      <w:proofErr w:type="spellEnd"/>
      <w:r w:rsidRPr="00B4003C">
        <w:rPr>
          <w:sz w:val="24"/>
        </w:rPr>
        <w:t xml:space="preserve"> </w:t>
      </w:r>
      <w:proofErr w:type="spellStart"/>
      <w:r w:rsidRPr="00B4003C">
        <w:rPr>
          <w:sz w:val="24"/>
        </w:rPr>
        <w:t>years</w:t>
      </w:r>
      <w:proofErr w:type="spellEnd"/>
      <w:r w:rsidRPr="00B4003C">
        <w:rPr>
          <w:sz w:val="24"/>
        </w:rPr>
        <w:t xml:space="preserve">», </w:t>
      </w:r>
      <w:proofErr w:type="spellStart"/>
      <w:r w:rsidRPr="00B4003C">
        <w:rPr>
          <w:i/>
          <w:sz w:val="24"/>
        </w:rPr>
        <w:t>Environmental</w:t>
      </w:r>
      <w:proofErr w:type="spellEnd"/>
      <w:r w:rsidRPr="00B4003C">
        <w:rPr>
          <w:i/>
          <w:sz w:val="24"/>
        </w:rPr>
        <w:t xml:space="preserve"> Sciences Europe</w:t>
      </w:r>
      <w:r w:rsidRPr="00B4003C">
        <w:rPr>
          <w:sz w:val="24"/>
        </w:rPr>
        <w:t xml:space="preserve">, 28 septembre 2012, Vol. 24(1), </w:t>
      </w:r>
      <w:bookmarkStart w:id="15" w:name="_Hlk219208485"/>
      <w:r w:rsidRPr="00B4003C">
        <w:rPr>
          <w:sz w:val="24"/>
        </w:rPr>
        <w:fldChar w:fldCharType="begin"/>
      </w:r>
      <w:r w:rsidRPr="00B4003C">
        <w:rPr>
          <w:sz w:val="24"/>
        </w:rPr>
        <w:instrText>HYPERLINK "https://doi.org/10.1186/2190-4715-24-24"</w:instrText>
      </w:r>
      <w:r w:rsidRPr="00B4003C">
        <w:rPr>
          <w:sz w:val="24"/>
        </w:rPr>
      </w:r>
      <w:r w:rsidRPr="00B4003C">
        <w:rPr>
          <w:sz w:val="24"/>
        </w:rPr>
        <w:fldChar w:fldCharType="separate"/>
      </w:r>
      <w:r w:rsidRPr="00B4003C">
        <w:rPr>
          <w:rStyle w:val="Hyperlink"/>
          <w:sz w:val="24"/>
        </w:rPr>
        <w:t>https://doi.org/10.1186/2190-4715-24-24</w:t>
      </w:r>
      <w:r w:rsidRPr="00B4003C">
        <w:rPr>
          <w:sz w:val="24"/>
        </w:rPr>
        <w:fldChar w:fldCharType="end"/>
      </w:r>
      <w:r w:rsidRPr="00B4003C">
        <w:rPr>
          <w:sz w:val="24"/>
        </w:rPr>
        <w:t>.</w:t>
      </w:r>
      <w:bookmarkEnd w:id="15"/>
      <w:r w:rsidRPr="00B4003C">
        <w:rPr>
          <w:sz w:val="24"/>
          <w:shd w:val="clear" w:color="auto" w:fill="FFFFFF"/>
        </w:rPr>
        <w:t xml:space="preserve"> </w:t>
      </w:r>
    </w:p>
  </w:footnote>
  <w:footnote w:id="8">
    <w:p w14:paraId="5AF61FEA" w14:textId="74C42E27"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sz w:val="24"/>
        </w:rPr>
        <w:t xml:space="preserve"> </w:t>
      </w:r>
      <w:r w:rsidR="00B4003C" w:rsidRPr="00B4003C">
        <w:rPr>
          <w:sz w:val="24"/>
        </w:rPr>
        <w:tab/>
      </w:r>
      <w:r w:rsidRPr="00B4003C">
        <w:rPr>
          <w:sz w:val="24"/>
        </w:rPr>
        <w:t>Voir, par exemple:</w:t>
      </w:r>
      <w:bookmarkStart w:id="16" w:name="_Hlk219286352"/>
      <w:bookmarkStart w:id="17" w:name="_Hlk219208511"/>
      <w:r w:rsidRPr="00B4003C">
        <w:rPr>
          <w:rStyle w:val="Hyperlink"/>
          <w:sz w:val="24"/>
        </w:rPr>
        <w:t xml:space="preserve"> </w:t>
      </w:r>
      <w:hyperlink r:id="rId16" w:history="1">
        <w:r w:rsidRPr="00B4003C">
          <w:rPr>
            <w:rStyle w:val="Hyperlink"/>
            <w:sz w:val="24"/>
          </w:rPr>
          <w:t>https://doi.org/10.1002/ps.8105</w:t>
        </w:r>
      </w:hyperlink>
      <w:r w:rsidRPr="00B4003C">
        <w:rPr>
          <w:sz w:val="24"/>
          <w:shd w:val="clear" w:color="auto" w:fill="FFFFFF"/>
        </w:rPr>
        <w:t>, and</w:t>
      </w:r>
      <w:bookmarkEnd w:id="16"/>
      <w:r w:rsidRPr="00B4003C">
        <w:rPr>
          <w:sz w:val="24"/>
          <w:shd w:val="clear" w:color="auto" w:fill="FFFFFF"/>
        </w:rPr>
        <w:t xml:space="preserve"> </w:t>
      </w:r>
      <w:hyperlink r:id="rId17" w:history="1">
        <w:r w:rsidRPr="00B4003C">
          <w:rPr>
            <w:rStyle w:val="Hyperlink"/>
            <w:sz w:val="24"/>
          </w:rPr>
          <w:t>https://doi.org/10.1016/j.geoforum.2009.03.009</w:t>
        </w:r>
      </w:hyperlink>
      <w:r w:rsidRPr="00B4003C">
        <w:rPr>
          <w:sz w:val="24"/>
        </w:rPr>
        <w:t>.</w:t>
      </w:r>
      <w:bookmarkEnd w:id="17"/>
    </w:p>
  </w:footnote>
  <w:footnote w:id="9">
    <w:p w14:paraId="2F33326B" w14:textId="59112C2B"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sz w:val="24"/>
        </w:rPr>
        <w:t xml:space="preserve"> </w:t>
      </w:r>
      <w:r w:rsidR="00B4003C" w:rsidRPr="00B4003C">
        <w:rPr>
          <w:sz w:val="24"/>
        </w:rPr>
        <w:tab/>
      </w:r>
      <w:r w:rsidRPr="00B4003C">
        <w:rPr>
          <w:sz w:val="24"/>
        </w:rPr>
        <w:t>Règlement (CE) nº 1107/2009 du Parlement européen et du Conseil du 21 octobre 2009 concernant la mise sur le marché des produits phytopharmaceutiques et abrogeant les directives 79/117/CEE et 91/414/CEE du Conseil (JO L 309 du 24.11.2009, p. 1, ELI: </w:t>
      </w:r>
      <w:hyperlink r:id="rId18" w:tooltip="Permet d’accéder à ce document via son URI ELI." w:history="1">
        <w:r w:rsidRPr="00B4003C">
          <w:rPr>
            <w:rStyle w:val="Hyperlink"/>
            <w:sz w:val="24"/>
          </w:rPr>
          <w:t>http://data.europa.eu/eli/reg/2009/1107/oj</w:t>
        </w:r>
      </w:hyperlink>
      <w:r w:rsidRPr="00B4003C">
        <w:rPr>
          <w:sz w:val="24"/>
        </w:rPr>
        <w:t>).</w:t>
      </w:r>
    </w:p>
  </w:footnote>
  <w:footnote w:id="10">
    <w:p w14:paraId="5A22079D" w14:textId="065A64BA"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color w:val="000000" w:themeColor="text1"/>
          <w:sz w:val="24"/>
        </w:rPr>
        <w:t xml:space="preserve"> </w:t>
      </w:r>
      <w:r w:rsidR="00B4003C" w:rsidRPr="00B4003C">
        <w:rPr>
          <w:color w:val="000000" w:themeColor="text1"/>
          <w:sz w:val="24"/>
        </w:rPr>
        <w:tab/>
      </w:r>
      <w:r w:rsidRPr="00B4003C">
        <w:rPr>
          <w:color w:val="000000" w:themeColor="text1"/>
          <w:sz w:val="24"/>
        </w:rPr>
        <w:t>En décembre 2022, un cadre mondial sur la biodiversité a été adopté lors de la COP15 de la convention des Nations unies sur la diversité biologique, qui prévoit un objectif mondial de réduction du risque lié aux pesticides d’au moins 50</w:t>
      </w:r>
      <w:r w:rsidRPr="00B4003C">
        <w:rPr>
          <w:sz w:val="24"/>
        </w:rPr>
        <w:t> </w:t>
      </w:r>
      <w:r w:rsidRPr="00B4003C">
        <w:rPr>
          <w:color w:val="000000" w:themeColor="text1"/>
          <w:sz w:val="24"/>
        </w:rPr>
        <w:t xml:space="preserve">% d’ici 2030 (voir: </w:t>
      </w:r>
      <w:hyperlink r:id="rId19" w:history="1">
        <w:r w:rsidRPr="00B4003C">
          <w:rPr>
            <w:rStyle w:val="Hyperlink"/>
            <w:sz w:val="24"/>
          </w:rPr>
          <w:t>https://ec.europa.eu/commission/presscorner/detail/fr/ip_22_7834</w:t>
        </w:r>
      </w:hyperlink>
      <w:r w:rsidRPr="00B4003C">
        <w:rPr>
          <w:sz w:val="24"/>
        </w:rPr>
        <w:t xml:space="preserve">). </w:t>
      </w:r>
    </w:p>
  </w:footnote>
  <w:footnote w:id="11">
    <w:p w14:paraId="668AFC95" w14:textId="58FB6F99"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sz w:val="24"/>
        </w:rPr>
        <w:t xml:space="preserve"> </w:t>
      </w:r>
      <w:r w:rsidR="00B4003C" w:rsidRPr="00B4003C">
        <w:rPr>
          <w:sz w:val="24"/>
        </w:rPr>
        <w:tab/>
      </w:r>
      <w:hyperlink r:id="rId20" w:history="1">
        <w:r w:rsidRPr="00B4003C">
          <w:rPr>
            <w:rStyle w:val="Hyperlink"/>
            <w:sz w:val="24"/>
          </w:rPr>
          <w:t>https://commission.europa.eu/strategy-and-policy/priorities-2019-2024/european-green-deal/agriculture-and-green-deal/strategic-dialogue-future-eu-agriculture_fr</w:t>
        </w:r>
      </w:hyperlink>
      <w:r w:rsidRPr="00B4003C">
        <w:rPr>
          <w:rStyle w:val="Hyperlink"/>
          <w:sz w:val="24"/>
        </w:rPr>
        <w:t>.</w:t>
      </w:r>
      <w:r w:rsidRPr="00B4003C">
        <w:rPr>
          <w:sz w:val="24"/>
        </w:rPr>
        <w:t xml:space="preserve"> </w:t>
      </w:r>
    </w:p>
  </w:footnote>
  <w:footnote w:id="12">
    <w:p w14:paraId="7D08C534" w14:textId="1A112439" w:rsidR="004D1D31" w:rsidRPr="00B4003C" w:rsidRDefault="004D1D31" w:rsidP="00B4003C">
      <w:pPr>
        <w:pStyle w:val="FootnoteText"/>
        <w:ind w:left="567" w:hanging="567"/>
        <w:rPr>
          <w:sz w:val="24"/>
        </w:rPr>
      </w:pPr>
      <w:r w:rsidRPr="00B4003C">
        <w:rPr>
          <w:rStyle w:val="FootnoteReference"/>
          <w:sz w:val="24"/>
        </w:rPr>
        <w:footnoteRef/>
      </w:r>
      <w:r w:rsidR="00B4003C" w:rsidRPr="00B4003C">
        <w:rPr>
          <w:sz w:val="24"/>
        </w:rPr>
        <w:t xml:space="preserve"> </w:t>
      </w:r>
      <w:r w:rsidR="00B4003C" w:rsidRPr="00B4003C">
        <w:rPr>
          <w:sz w:val="24"/>
        </w:rPr>
        <w:tab/>
      </w:r>
      <w:r w:rsidRPr="00B4003C">
        <w:rPr>
          <w:sz w:val="24"/>
        </w:rPr>
        <w:t xml:space="preserve">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w:t>
      </w:r>
      <w:r w:rsidRPr="00B4003C">
        <w:rPr>
          <w:color w:val="000000" w:themeColor="text1"/>
          <w:sz w:val="24"/>
        </w:rPr>
        <w:t>ELI: </w:t>
      </w:r>
      <w:hyperlink r:id="rId21" w:tgtFrame="Gives access to this document through its ELI URI." w:history="1">
        <w:r w:rsidRPr="00B4003C">
          <w:rPr>
            <w:rStyle w:val="Hyperlink"/>
            <w:color w:val="0070C0"/>
            <w:sz w:val="24"/>
          </w:rPr>
          <w:t>http://data.europa.eu/eli/reg/2002/178/oj</w:t>
        </w:r>
      </w:hyperlink>
      <w:r w:rsidRPr="00B4003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E7C3" w14:textId="77777777" w:rsidR="00064002" w:rsidRPr="00B400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AFC4" w14:textId="77777777" w:rsidR="00064002" w:rsidRPr="00B400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BB4D3" w14:textId="77777777" w:rsidR="00064002" w:rsidRPr="00B400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033506">
    <w:abstractNumId w:val="9"/>
  </w:num>
  <w:num w:numId="2" w16cid:durableId="1419905618">
    <w:abstractNumId w:val="9"/>
  </w:num>
  <w:num w:numId="3" w16cid:durableId="130562171">
    <w:abstractNumId w:val="7"/>
  </w:num>
  <w:num w:numId="4" w16cid:durableId="1869558970">
    <w:abstractNumId w:val="7"/>
  </w:num>
  <w:num w:numId="5" w16cid:durableId="387000641">
    <w:abstractNumId w:val="6"/>
  </w:num>
  <w:num w:numId="6" w16cid:durableId="1804693404">
    <w:abstractNumId w:val="6"/>
  </w:num>
  <w:num w:numId="7" w16cid:durableId="1612006356">
    <w:abstractNumId w:val="5"/>
  </w:num>
  <w:num w:numId="8" w16cid:durableId="661158738">
    <w:abstractNumId w:val="5"/>
  </w:num>
  <w:num w:numId="9" w16cid:durableId="1796678224">
    <w:abstractNumId w:val="4"/>
  </w:num>
  <w:num w:numId="10" w16cid:durableId="840194971">
    <w:abstractNumId w:val="4"/>
  </w:num>
  <w:num w:numId="11" w16cid:durableId="813328674">
    <w:abstractNumId w:val="8"/>
  </w:num>
  <w:num w:numId="12" w16cid:durableId="773209272">
    <w:abstractNumId w:val="8"/>
  </w:num>
  <w:num w:numId="13" w16cid:durableId="864946389">
    <w:abstractNumId w:val="3"/>
  </w:num>
  <w:num w:numId="14" w16cid:durableId="1201088215">
    <w:abstractNumId w:val="3"/>
  </w:num>
  <w:num w:numId="15" w16cid:durableId="849417320">
    <w:abstractNumId w:val="2"/>
  </w:num>
  <w:num w:numId="16" w16cid:durableId="1590189678">
    <w:abstractNumId w:val="2"/>
  </w:num>
  <w:num w:numId="17" w16cid:durableId="645403084">
    <w:abstractNumId w:val="1"/>
  </w:num>
  <w:num w:numId="18" w16cid:durableId="671764617">
    <w:abstractNumId w:val="1"/>
  </w:num>
  <w:num w:numId="19" w16cid:durableId="1577935543">
    <w:abstractNumId w:val="0"/>
  </w:num>
  <w:num w:numId="20" w16cid:durableId="1784034345">
    <w:abstractNumId w:val="0"/>
  </w:num>
  <w:num w:numId="21" w16cid:durableId="1236893207">
    <w:abstractNumId w:val="9"/>
  </w:num>
  <w:num w:numId="22" w16cid:durableId="623462734">
    <w:abstractNumId w:val="7"/>
  </w:num>
  <w:num w:numId="23" w16cid:durableId="2043020893">
    <w:abstractNumId w:val="6"/>
  </w:num>
  <w:num w:numId="24" w16cid:durableId="1744831929">
    <w:abstractNumId w:val="5"/>
  </w:num>
  <w:num w:numId="25" w16cid:durableId="850026510">
    <w:abstractNumId w:val="4"/>
  </w:num>
  <w:num w:numId="26" w16cid:durableId="1686011174">
    <w:abstractNumId w:val="8"/>
  </w:num>
  <w:num w:numId="27" w16cid:durableId="111749444">
    <w:abstractNumId w:val="3"/>
  </w:num>
  <w:num w:numId="28" w16cid:durableId="17201349">
    <w:abstractNumId w:val="2"/>
  </w:num>
  <w:num w:numId="29" w16cid:durableId="1300765677">
    <w:abstractNumId w:val="1"/>
  </w:num>
  <w:num w:numId="30" w16cid:durableId="1940720781">
    <w:abstractNumId w:val="0"/>
  </w:num>
  <w:num w:numId="31" w16cid:durableId="227764324">
    <w:abstractNumId w:val="9"/>
  </w:num>
  <w:num w:numId="32" w16cid:durableId="544217252">
    <w:abstractNumId w:val="7"/>
  </w:num>
  <w:num w:numId="33" w16cid:durableId="441724933">
    <w:abstractNumId w:val="6"/>
  </w:num>
  <w:num w:numId="34" w16cid:durableId="1939286481">
    <w:abstractNumId w:val="5"/>
  </w:num>
  <w:num w:numId="35" w16cid:durableId="1288197912">
    <w:abstractNumId w:val="4"/>
  </w:num>
  <w:num w:numId="36" w16cid:durableId="36704215">
    <w:abstractNumId w:val="8"/>
  </w:num>
  <w:num w:numId="37" w16cid:durableId="363285522">
    <w:abstractNumId w:val="3"/>
  </w:num>
  <w:num w:numId="38" w16cid:durableId="2123066410">
    <w:abstractNumId w:val="2"/>
  </w:num>
  <w:num w:numId="39" w16cid:durableId="2137984477">
    <w:abstractNumId w:val="1"/>
  </w:num>
  <w:num w:numId="40" w16cid:durableId="1735162472">
    <w:abstractNumId w:val="0"/>
  </w:num>
  <w:num w:numId="41" w16cid:durableId="1278218804">
    <w:abstractNumId w:val="10"/>
  </w:num>
  <w:num w:numId="42" w16cid:durableId="1663654752">
    <w:abstractNumId w:val="10"/>
  </w:num>
  <w:num w:numId="43" w16cid:durableId="1687949599">
    <w:abstractNumId w:val="10"/>
  </w:num>
  <w:num w:numId="44" w16cid:durableId="3389672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FR"/>
    <w:docVar w:name="dvnumam" w:val="0"/>
    <w:docVar w:name="dvpe" w:val="782.204"/>
    <w:docVar w:name="dvtitre" w:val="Résolution du Parlement européen du ... 2026 sur le projet de décision d’exécution de la Commission renouvelant l’autorisation de mise sur le marché de produits contenant du maïs génétiquement modifié T25 (ACS-ZMØØ3-2), consistant en ce maïs ou produits à partir de celui-ci, en application du règlement (CE) nº 1829/2003 du Parlement européen et du Conseil(D111473/02 – 2026/2535(RSP))"/>
  </w:docVars>
  <w:rsids>
    <w:rsidRoot w:val="00C2704B"/>
    <w:rsid w:val="00002272"/>
    <w:rsid w:val="00064002"/>
    <w:rsid w:val="000677B9"/>
    <w:rsid w:val="000831BA"/>
    <w:rsid w:val="000A42CC"/>
    <w:rsid w:val="000B1D12"/>
    <w:rsid w:val="000E7DD9"/>
    <w:rsid w:val="0010095E"/>
    <w:rsid w:val="00125B37"/>
    <w:rsid w:val="00187494"/>
    <w:rsid w:val="001F32AE"/>
    <w:rsid w:val="00246CA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D31"/>
    <w:rsid w:val="0050519A"/>
    <w:rsid w:val="005072A1"/>
    <w:rsid w:val="00514517"/>
    <w:rsid w:val="00545827"/>
    <w:rsid w:val="00560270"/>
    <w:rsid w:val="005C2568"/>
    <w:rsid w:val="005F0D6E"/>
    <w:rsid w:val="005F1B17"/>
    <w:rsid w:val="00602B02"/>
    <w:rsid w:val="006037C0"/>
    <w:rsid w:val="006631B6"/>
    <w:rsid w:val="0067258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6D4"/>
    <w:rsid w:val="008C2AC6"/>
    <w:rsid w:val="00930C23"/>
    <w:rsid w:val="0093193B"/>
    <w:rsid w:val="009509D8"/>
    <w:rsid w:val="00950B64"/>
    <w:rsid w:val="00962402"/>
    <w:rsid w:val="00981893"/>
    <w:rsid w:val="00A1687D"/>
    <w:rsid w:val="00A43E52"/>
    <w:rsid w:val="00A4678D"/>
    <w:rsid w:val="00A778C7"/>
    <w:rsid w:val="00AB441E"/>
    <w:rsid w:val="00AB6293"/>
    <w:rsid w:val="00AE0928"/>
    <w:rsid w:val="00AF3B82"/>
    <w:rsid w:val="00B12E95"/>
    <w:rsid w:val="00B22876"/>
    <w:rsid w:val="00B4003C"/>
    <w:rsid w:val="00B558F0"/>
    <w:rsid w:val="00BD48FE"/>
    <w:rsid w:val="00BD7BD8"/>
    <w:rsid w:val="00BE6ADC"/>
    <w:rsid w:val="00C05BFE"/>
    <w:rsid w:val="00C23CD4"/>
    <w:rsid w:val="00C2704B"/>
    <w:rsid w:val="00C61C0C"/>
    <w:rsid w:val="00C941CB"/>
    <w:rsid w:val="00CC2357"/>
    <w:rsid w:val="00CF071A"/>
    <w:rsid w:val="00D058B8"/>
    <w:rsid w:val="00D56C11"/>
    <w:rsid w:val="00D834A0"/>
    <w:rsid w:val="00D872DF"/>
    <w:rsid w:val="00D91E21"/>
    <w:rsid w:val="00D927B4"/>
    <w:rsid w:val="00DA7FCD"/>
    <w:rsid w:val="00E365E1"/>
    <w:rsid w:val="00E820A4"/>
    <w:rsid w:val="00EB006A"/>
    <w:rsid w:val="00EB4772"/>
    <w:rsid w:val="00EB48AA"/>
    <w:rsid w:val="00ED169E"/>
    <w:rsid w:val="00ED4235"/>
    <w:rsid w:val="00F04346"/>
    <w:rsid w:val="00F075DC"/>
    <w:rsid w:val="00F149E9"/>
    <w:rsid w:val="00F22B1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29867"/>
  <w15:chartTrackingRefBased/>
  <w15:docId w15:val="{01731D27-E580-4D02-83DA-613D0FD9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D1D31"/>
    <w:pPr>
      <w:spacing w:before="480" w:after="240"/>
    </w:pPr>
  </w:style>
  <w:style w:type="paragraph" w:customStyle="1" w:styleId="NormalHanging12a">
    <w:name w:val="NormalHanging12a"/>
    <w:basedOn w:val="Normal"/>
    <w:uiPriority w:val="99"/>
    <w:qFormat/>
    <w:rsid w:val="004D1D31"/>
    <w:pPr>
      <w:spacing w:after="240"/>
      <w:ind w:left="567" w:hanging="567"/>
    </w:pPr>
  </w:style>
  <w:style w:type="character" w:styleId="Hyperlink">
    <w:name w:val="Hyperlink"/>
    <w:basedOn w:val="DefaultParagraphFont"/>
    <w:uiPriority w:val="99"/>
    <w:rsid w:val="004D1D31"/>
    <w:rPr>
      <w:color w:val="0563C1" w:themeColor="hyperlink"/>
      <w:u w:val="single"/>
    </w:rPr>
  </w:style>
  <w:style w:type="paragraph" w:styleId="NormalWeb">
    <w:name w:val="Normal (Web)"/>
    <w:basedOn w:val="Normal"/>
    <w:uiPriority w:val="99"/>
    <w:unhideWhenUsed/>
    <w:rsid w:val="004D1D31"/>
    <w:pPr>
      <w:widowControl/>
      <w:spacing w:before="100" w:beforeAutospacing="1" w:after="100" w:afterAutospacing="1"/>
    </w:pPr>
    <w:rPr>
      <w:szCs w:val="24"/>
    </w:rPr>
  </w:style>
  <w:style w:type="paragraph" w:styleId="Revision">
    <w:name w:val="Revision"/>
    <w:hidden/>
    <w:uiPriority w:val="99"/>
    <w:semiHidden/>
    <w:rsid w:val="00602B0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fr"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fr/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1688</Words>
  <Characters>9752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2026-02-10T11:11:00Z</dcterms:created>
  <dcterms:modified xsi:type="dcterms:W3CDTF">2026-02-11T11:51:00Z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B10-0106/2026</vt:lpwstr>
  </property>
  <property fmtid="{D5CDD505-2E9C-101B-9397-08002B2CF9AE}" pid="4" name="&lt;Type&gt;">
    <vt:lpwstr>RR</vt:lpwstr>
  </property>
</Properties>
</file>