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3C7A" w14:paraId="23C11C0E" w14:textId="77777777" w:rsidTr="0010095E">
        <w:trPr>
          <w:trHeight w:hRule="exact" w:val="1418"/>
        </w:trPr>
        <w:tc>
          <w:tcPr>
            <w:tcW w:w="6804" w:type="dxa"/>
            <w:shd w:val="clear" w:color="auto" w:fill="auto"/>
            <w:vAlign w:val="center"/>
          </w:tcPr>
          <w:p w14:paraId="514CCC2B" w14:textId="585A7F57" w:rsidR="00751A4A" w:rsidRPr="00C03C7A" w:rsidRDefault="00A163C9" w:rsidP="0010095E">
            <w:pPr>
              <w:pStyle w:val="EPName"/>
            </w:pPr>
            <w:r w:rsidRPr="00C03C7A">
              <w:t>Europos Parlamentas</w:t>
            </w:r>
          </w:p>
          <w:p w14:paraId="0A41666A" w14:textId="77777777" w:rsidR="00751A4A" w:rsidRPr="00C03C7A" w:rsidRDefault="005F1B17" w:rsidP="005F1B17">
            <w:pPr>
              <w:pStyle w:val="EPTerm"/>
              <w:rPr>
                <w:rStyle w:val="HideTWBExt"/>
                <w:noProof w:val="0"/>
                <w:vanish w:val="0"/>
                <w:color w:val="auto"/>
              </w:rPr>
            </w:pPr>
            <w:r w:rsidRPr="00C03C7A">
              <w:t>2024</w:t>
            </w:r>
            <w:r w:rsidR="00817416" w:rsidRPr="00C03C7A">
              <w:t>-202</w:t>
            </w:r>
            <w:r w:rsidRPr="00C03C7A">
              <w:t>9</w:t>
            </w:r>
          </w:p>
        </w:tc>
        <w:tc>
          <w:tcPr>
            <w:tcW w:w="2268" w:type="dxa"/>
            <w:shd w:val="clear" w:color="auto" w:fill="auto"/>
          </w:tcPr>
          <w:p w14:paraId="0A02AD5A" w14:textId="77777777" w:rsidR="00751A4A" w:rsidRPr="00C03C7A" w:rsidRDefault="00187494" w:rsidP="0010095E">
            <w:pPr>
              <w:pStyle w:val="EPLogo"/>
            </w:pPr>
            <w:r w:rsidRPr="00C03C7A">
              <w:rPr>
                <w:noProof/>
                <w:lang w:eastAsia="ja-JP"/>
              </w:rPr>
              <w:drawing>
                <wp:inline distT="0" distB="0" distL="0" distR="0" wp14:anchorId="02D8FF8C" wp14:editId="59D05A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5E0E11" w14:textId="77777777" w:rsidR="00D058B8" w:rsidRPr="00C03C7A" w:rsidRDefault="00D058B8" w:rsidP="004C5D52">
      <w:pPr>
        <w:pStyle w:val="LineTop"/>
      </w:pPr>
    </w:p>
    <w:p w14:paraId="2D4E78DF" w14:textId="3C63E570" w:rsidR="00680577" w:rsidRPr="00C03C7A" w:rsidRDefault="00A163C9" w:rsidP="00680577">
      <w:pPr>
        <w:pStyle w:val="EPBodyTA1"/>
      </w:pPr>
      <w:r w:rsidRPr="00C03C7A">
        <w:t>PRIIMTI TEKSTAI</w:t>
      </w:r>
    </w:p>
    <w:p w14:paraId="367FBC8F" w14:textId="77777777" w:rsidR="00D058B8" w:rsidRPr="00C03C7A" w:rsidRDefault="00D058B8" w:rsidP="00D058B8">
      <w:pPr>
        <w:pStyle w:val="LineBottom"/>
      </w:pPr>
    </w:p>
    <w:p w14:paraId="374B3B6B" w14:textId="6896251B" w:rsidR="00A163C9" w:rsidRPr="00C03C7A" w:rsidRDefault="00A163C9" w:rsidP="00A163C9">
      <w:pPr>
        <w:pStyle w:val="ATHeading1"/>
      </w:pPr>
      <w:bookmarkStart w:id="0" w:name="TANumber"/>
      <w:r w:rsidRPr="00C03C7A">
        <w:t>P10_TA(2026)00</w:t>
      </w:r>
      <w:r w:rsidR="00670458">
        <w:t>42</w:t>
      </w:r>
      <w:bookmarkEnd w:id="0"/>
    </w:p>
    <w:p w14:paraId="18BA9E75" w14:textId="5AD1AABA" w:rsidR="00A163C9" w:rsidRPr="00C03C7A" w:rsidRDefault="002F1C94" w:rsidP="00A163C9">
      <w:pPr>
        <w:pStyle w:val="ATHeading2"/>
      </w:pPr>
      <w:bookmarkStart w:id="1" w:name="title"/>
      <w:r>
        <w:t>G</w:t>
      </w:r>
      <w:r w:rsidR="00A163C9" w:rsidRPr="00C03C7A">
        <w:t>enetiškai modifikuoti kukurūzai T25</w:t>
      </w:r>
      <w:bookmarkEnd w:id="1"/>
    </w:p>
    <w:p w14:paraId="08372448" w14:textId="77777777" w:rsidR="00A163C9" w:rsidRPr="00C03C7A" w:rsidRDefault="00A163C9" w:rsidP="00A163C9">
      <w:pPr>
        <w:rPr>
          <w:i/>
          <w:vanish/>
        </w:rPr>
      </w:pPr>
      <w:r w:rsidRPr="00C03C7A">
        <w:rPr>
          <w:i/>
        </w:rPr>
        <w:fldChar w:fldCharType="begin"/>
      </w:r>
      <w:r w:rsidRPr="00C03C7A">
        <w:rPr>
          <w:i/>
        </w:rPr>
        <w:instrText xml:space="preserve"> TC"(</w:instrText>
      </w:r>
      <w:bookmarkStart w:id="2" w:name="DocNumber"/>
      <w:r w:rsidRPr="00C03C7A">
        <w:rPr>
          <w:i/>
        </w:rPr>
        <w:instrText>B10-0106/2026</w:instrText>
      </w:r>
      <w:bookmarkEnd w:id="2"/>
      <w:r w:rsidRPr="00C03C7A">
        <w:rPr>
          <w:i/>
        </w:rPr>
        <w:instrText xml:space="preserve">)"\l3 \n&gt; \* MERGEFORMAT </w:instrText>
      </w:r>
      <w:r w:rsidRPr="00C03C7A">
        <w:rPr>
          <w:i/>
        </w:rPr>
        <w:fldChar w:fldCharType="end"/>
      </w:r>
    </w:p>
    <w:p w14:paraId="63E30170" w14:textId="77777777" w:rsidR="00A163C9" w:rsidRPr="00C03C7A" w:rsidRDefault="00A163C9" w:rsidP="00A163C9">
      <w:pPr>
        <w:rPr>
          <w:vanish/>
        </w:rPr>
      </w:pPr>
      <w:bookmarkStart w:id="3" w:name="PE"/>
      <w:r w:rsidRPr="00C03C7A">
        <w:rPr>
          <w:vanish/>
        </w:rPr>
        <w:t>PE782.204</w:t>
      </w:r>
      <w:bookmarkEnd w:id="3"/>
    </w:p>
    <w:p w14:paraId="2110B095" w14:textId="1E55ACB9" w:rsidR="00A163C9" w:rsidRPr="00C03C7A" w:rsidRDefault="00A163C9" w:rsidP="00B34446">
      <w:pPr>
        <w:pStyle w:val="ATHeading3"/>
      </w:pPr>
      <w:bookmarkStart w:id="4" w:name="Sujet"/>
      <w:r w:rsidRPr="00C03C7A">
        <w:t xml:space="preserve">2026 m. </w:t>
      </w:r>
      <w:r w:rsidR="00B34446">
        <w:t>vasario</w:t>
      </w:r>
      <w:r w:rsidR="00B34446" w:rsidRPr="00C03C7A">
        <w:t xml:space="preserve"> </w:t>
      </w:r>
      <w:r w:rsidR="00B34446">
        <w:t>11</w:t>
      </w:r>
      <w:r w:rsidR="00B34446" w:rsidRPr="00C03C7A">
        <w:t xml:space="preserve"> </w:t>
      </w:r>
      <w:r w:rsidRPr="00C03C7A">
        <w:t>d. Europos Parlamento rezoliucija dėl Komisijos įgyvendinimo sprendimo, kuriuo pagal Europos Parlamento ir Tarybos reglamentą (EB) Nr. 1829/2003 atnaujinamas leidimas pateikti rinkai produktus, kurių sudėtyje yra genetiškai modifikuotų kukurūzų T25 (ACS-ZMØØ3-2), kurie iš jų sudaryti arba kurie iš jų pagaminti, projekto</w:t>
      </w:r>
      <w:bookmarkEnd w:id="4"/>
      <w:r w:rsidRPr="00C03C7A">
        <w:t xml:space="preserve"> </w:t>
      </w:r>
      <w:bookmarkStart w:id="5" w:name="References"/>
      <w:r w:rsidRPr="00C03C7A">
        <w:t>(D111473/02 – 2026/2535(RSP))</w:t>
      </w:r>
      <w:bookmarkEnd w:id="5"/>
    </w:p>
    <w:p w14:paraId="753556E8" w14:textId="77777777" w:rsidR="001D3A77" w:rsidRPr="00C03C7A" w:rsidRDefault="001D3A77" w:rsidP="001D3A77">
      <w:pPr>
        <w:pStyle w:val="EPComma"/>
      </w:pPr>
      <w:bookmarkStart w:id="6" w:name="TextBodyBegin"/>
      <w:bookmarkEnd w:id="6"/>
      <w:r w:rsidRPr="00C03C7A">
        <w:rPr>
          <w:i/>
          <w:iCs/>
        </w:rPr>
        <w:t>Europos Parlamentas</w:t>
      </w:r>
      <w:r w:rsidRPr="00C03C7A">
        <w:t>,</w:t>
      </w:r>
    </w:p>
    <w:p w14:paraId="1A5404BC" w14:textId="77777777" w:rsidR="001D3A77" w:rsidRPr="00C03C7A" w:rsidRDefault="001D3A77" w:rsidP="001D3A77">
      <w:pPr>
        <w:pStyle w:val="NormalHanging12a"/>
      </w:pPr>
      <w:r w:rsidRPr="00C03C7A">
        <w:t>–</w:t>
      </w:r>
      <w:r w:rsidRPr="00C03C7A">
        <w:tab/>
        <w:t>atsižvelgdamas į Komisijos įgyvendinimo sprendimo, kuriuo pagal Europos Parlamento ir Tarybos reglamentą (EB) Nr. 1829/2003 atnaujinamas leidimas pateikti rinkai produktus, kurių sudėtyje yra genetiškai modifikuotų kukurūzų T25 (ACS-ZMØØ3-2), kurie iš jų sudaryti arba kurie iš jų pagaminti, projektą (D111473/02),</w:t>
      </w:r>
    </w:p>
    <w:p w14:paraId="24465CEA" w14:textId="77777777" w:rsidR="001D3A77" w:rsidRPr="00C03C7A" w:rsidRDefault="001D3A77" w:rsidP="001D3A77">
      <w:pPr>
        <w:pStyle w:val="NormalHanging12a"/>
      </w:pPr>
      <w:r w:rsidRPr="00C03C7A">
        <w:t>–</w:t>
      </w:r>
      <w:r w:rsidRPr="00C03C7A">
        <w:tab/>
        <w:t>atsižvelgdamas į 2003 m. rugsėjo 22 d. Europos Parlamento ir Tarybos reglamentą (EB) Nr. 1829/2003 dėl genetiškai modifikuoto maisto ir pašarų</w:t>
      </w:r>
      <w:r w:rsidRPr="00C03C7A">
        <w:rPr>
          <w:vertAlign w:val="superscript"/>
        </w:rPr>
        <w:footnoteReference w:id="1"/>
      </w:r>
      <w:r w:rsidRPr="00C03C7A">
        <w:t>, ypač į jo 11 straipsnio 3 dalį ir 23 straipsnio 3 dalį,</w:t>
      </w:r>
    </w:p>
    <w:p w14:paraId="2232CB3F" w14:textId="4562C7F5" w:rsidR="00115559" w:rsidRPr="00C03C7A" w:rsidRDefault="001D3A77" w:rsidP="001D3A77">
      <w:pPr>
        <w:pStyle w:val="NormalHanging12a"/>
      </w:pPr>
      <w:r w:rsidRPr="00C03C7A">
        <w:t>–</w:t>
      </w:r>
      <w:r w:rsidRPr="00C03C7A">
        <w:tab/>
        <w:t xml:space="preserve">atsižvelgdamas į tai, kad Reglamento (EB) Nr. 1829/2003 35 straipsnyje nurodytas </w:t>
      </w:r>
      <w:bookmarkStart w:id="7" w:name="_Hlk210664905"/>
      <w:r w:rsidRPr="00C03C7A">
        <w:t>Augalų, gyvūnų, maisto ir pašarų nuolatinis komitetas</w:t>
      </w:r>
      <w:bookmarkEnd w:id="7"/>
      <w:r w:rsidRPr="00C03C7A">
        <w:t xml:space="preserve"> per 2025 m. gruodžio 12 d. vykusį balsavimą </w:t>
      </w:r>
      <w:bookmarkStart w:id="8" w:name="_Hlk219206382"/>
      <w:r w:rsidRPr="00C03C7A">
        <w:t xml:space="preserve">nusprendė nuomonės neteikti, </w:t>
      </w:r>
      <w:r w:rsidR="00115559" w:rsidRPr="00115559">
        <w:t>ir į tai, kad apeliacinis komitetas per 2026 m. sausio 27 d. vykusį balsavimą taip pat nusprendė nuomonės neteikti,</w:t>
      </w:r>
    </w:p>
    <w:bookmarkEnd w:id="8"/>
    <w:p w14:paraId="292DF7FF" w14:textId="77777777" w:rsidR="001D3A77" w:rsidRPr="00C03C7A" w:rsidRDefault="001D3A77" w:rsidP="001D3A77">
      <w:pPr>
        <w:pStyle w:val="NormalHanging12a"/>
      </w:pPr>
      <w:r w:rsidRPr="00C03C7A">
        <w:t>–</w:t>
      </w:r>
      <w:r w:rsidRPr="00C03C7A">
        <w:tab/>
        <w:t>atsižvelgdamas į 2011 m. vasario 16 d. Europos Parlamento ir Tarybos reglamento (ES) Nr. 182/2011, kuriuo nustatomos valstybių narių vykdomos Komisijos naudojimosi įgyvendinimo įgaliojimais kontrolės mechanizmų taisyklės ir bendrieji principai</w:t>
      </w:r>
      <w:r w:rsidRPr="00C03C7A">
        <w:rPr>
          <w:vertAlign w:val="superscript"/>
        </w:rPr>
        <w:footnoteReference w:id="2"/>
      </w:r>
      <w:r w:rsidRPr="00C03C7A">
        <w:t>, 11 straipsnį,</w:t>
      </w:r>
    </w:p>
    <w:p w14:paraId="638FC734" w14:textId="77777777" w:rsidR="001D3A77" w:rsidRPr="00C03C7A" w:rsidRDefault="001D3A77" w:rsidP="001D3A77">
      <w:pPr>
        <w:pStyle w:val="NormalHanging12a"/>
      </w:pPr>
      <w:r w:rsidRPr="00C03C7A">
        <w:t>–</w:t>
      </w:r>
      <w:r w:rsidRPr="00C03C7A">
        <w:tab/>
        <w:t>atsižvelgdamas į Europos maisto saugos tarnybos (EFSA) 2025 m. birželio 30 d. priimtą ir 2025 m. rugpjūčio 8 d. paskelbtą nuomonę</w:t>
      </w:r>
      <w:r w:rsidRPr="00C03C7A">
        <w:rPr>
          <w:vertAlign w:val="superscript"/>
        </w:rPr>
        <w:footnoteReference w:id="3"/>
      </w:r>
      <w:r w:rsidRPr="00C03C7A">
        <w:t>,</w:t>
      </w:r>
    </w:p>
    <w:p w14:paraId="1DDA005E" w14:textId="77777777" w:rsidR="001D3A77" w:rsidRPr="00C03C7A" w:rsidRDefault="001D3A77" w:rsidP="001D3A77">
      <w:pPr>
        <w:pStyle w:val="NormalHanging12a"/>
      </w:pPr>
      <w:r w:rsidRPr="00C03C7A">
        <w:lastRenderedPageBreak/>
        <w:t>–</w:t>
      </w:r>
      <w:r w:rsidRPr="00C03C7A">
        <w:tab/>
        <w:t>atsižvelgdamas į ankstesnes savo rezoliucijas, kuriomis prieštaraujama leidimui naudoti genetiškai modifikuotus organizmus (GMO)</w:t>
      </w:r>
      <w:bookmarkStart w:id="10" w:name="_Hlk210666451"/>
      <w:r w:rsidRPr="00C03C7A">
        <w:rPr>
          <w:vertAlign w:val="superscript"/>
        </w:rPr>
        <w:footnoteReference w:id="4"/>
      </w:r>
      <w:bookmarkEnd w:id="10"/>
      <w:r w:rsidRPr="00C03C7A">
        <w:t xml:space="preserve">, </w:t>
      </w:r>
    </w:p>
    <w:p w14:paraId="4F4CCDE5" w14:textId="77777777" w:rsidR="001D3A77" w:rsidRPr="00C03C7A" w:rsidRDefault="001D3A77" w:rsidP="001D3A77">
      <w:pPr>
        <w:pStyle w:val="NormalHanging12a"/>
      </w:pPr>
      <w:r w:rsidRPr="00C03C7A">
        <w:lastRenderedPageBreak/>
        <w:t>–</w:t>
      </w:r>
      <w:r w:rsidRPr="00C03C7A">
        <w:tab/>
        <w:t>atsižvelgdamas į Darbo tvarkos taisyklių 115 straipsnio 2 ir 3 dalis,</w:t>
      </w:r>
    </w:p>
    <w:p w14:paraId="5083A96D" w14:textId="77777777" w:rsidR="001D3A77" w:rsidRPr="00C03C7A" w:rsidRDefault="001D3A77" w:rsidP="001D3A77">
      <w:pPr>
        <w:pStyle w:val="NormalHanging12a"/>
      </w:pPr>
      <w:r w:rsidRPr="00C03C7A">
        <w:t>–</w:t>
      </w:r>
      <w:r w:rsidRPr="00C03C7A">
        <w:tab/>
        <w:t>atsižvelgdamas į Aplinkos, visuomenės sveikatos ir maisto saugos komiteto pasiūlymą dėl rezoliucijos,</w:t>
      </w:r>
    </w:p>
    <w:p w14:paraId="66078F44" w14:textId="77777777" w:rsidR="001D3A77" w:rsidRPr="00C03C7A" w:rsidRDefault="001D3A77" w:rsidP="001D3A77">
      <w:pPr>
        <w:pStyle w:val="NormalHanging12a"/>
      </w:pPr>
      <w:r w:rsidRPr="00C03C7A">
        <w:t>A.</w:t>
      </w:r>
      <w:r w:rsidRPr="00C03C7A">
        <w:tab/>
        <w:t>kadangi Komisijos įgyvendinimo sprendimu (EU) 2015/697</w:t>
      </w:r>
      <w:r w:rsidRPr="00C03C7A">
        <w:rPr>
          <w:rStyle w:val="FootnoteReference"/>
        </w:rPr>
        <w:footnoteReference w:id="5"/>
      </w:r>
      <w:r w:rsidRPr="00C03C7A">
        <w:t xml:space="preserve"> atnaujintas leidimas pateikti rinkai maisto produktus ir maisto sudedamąsias dalis, pagamintus iš genetiškai modifikuotų kukurūzų T25 (toliau – GM kukurūzai) ir pašarus, kurių sudėtyje yra GM kukurūzų, kurie iš jų sudaryti arba kurie iš jų pagaminti, ir tuo Komisijos įgyvendinimo sprendimu taip pat leista pateikti rinkai naudoti maisto produktus ir maisto sudedamąsias dalis, kurių sudėtyje yra GM kukurūzų arba kurie iš jų sudaryti, ir kitus nei maisto produktai ir pašarai produktus, kurių sudėtyje yra GM kukurūzų arba kurie iš jų sudaryti, pagal tą pačią paskirtį, kaip ir bet kuriuos kitus kukurūzus, išskyrus auginimą; </w:t>
      </w:r>
    </w:p>
    <w:p w14:paraId="4B100748" w14:textId="77777777" w:rsidR="001D3A77" w:rsidRPr="00C03C7A" w:rsidRDefault="001D3A77" w:rsidP="001D3A77">
      <w:pPr>
        <w:pStyle w:val="NormalHanging12a"/>
        <w:ind w:hanging="570"/>
      </w:pPr>
      <w:r w:rsidRPr="00C03C7A">
        <w:t>B.</w:t>
      </w:r>
      <w:r w:rsidRPr="00C03C7A">
        <w:tab/>
        <w:t xml:space="preserve">kadangi 2024 m. kovo 22 d. Vokietijoje įsikūrusi įmonė „BASF SE“ </w:t>
      </w:r>
      <w:r w:rsidRPr="00C03C7A">
        <w:rPr>
          <w:color w:val="000000"/>
        </w:rPr>
        <w:t>Jungtinėse Amerikos Valstijose įsikūrusios</w:t>
      </w:r>
      <w:r w:rsidRPr="00C03C7A">
        <w:t xml:space="preserve"> įmonės „BASF </w:t>
      </w:r>
      <w:proofErr w:type="spellStart"/>
      <w:r w:rsidRPr="00C03C7A">
        <w:t>Agricultural</w:t>
      </w:r>
      <w:proofErr w:type="spellEnd"/>
      <w:r w:rsidRPr="00C03C7A">
        <w:t xml:space="preserve"> </w:t>
      </w:r>
      <w:proofErr w:type="spellStart"/>
      <w:r w:rsidRPr="00C03C7A">
        <w:t>Solutions</w:t>
      </w:r>
      <w:proofErr w:type="spellEnd"/>
      <w:r w:rsidRPr="00C03C7A">
        <w:t xml:space="preserve"> </w:t>
      </w:r>
      <w:proofErr w:type="spellStart"/>
      <w:r w:rsidRPr="00C03C7A">
        <w:t>Seed</w:t>
      </w:r>
      <w:proofErr w:type="spellEnd"/>
      <w:r w:rsidRPr="00C03C7A">
        <w:t xml:space="preserve"> US LLC“ vardu pagal Reglamento (EB) Nr. 1829/2003 11 ir 23 straipsnius pateikė Komisijai paraišką dėl to leidimo atnaujinimo;</w:t>
      </w:r>
    </w:p>
    <w:p w14:paraId="40F43E5B" w14:textId="77777777" w:rsidR="001D3A77" w:rsidRPr="00C03C7A" w:rsidRDefault="001D3A77" w:rsidP="001D3A77">
      <w:pPr>
        <w:pStyle w:val="NormalHanging12a"/>
      </w:pPr>
      <w:r w:rsidRPr="00C03C7A">
        <w:t>C.</w:t>
      </w:r>
      <w:r w:rsidRPr="00C03C7A">
        <w:tab/>
        <w:t xml:space="preserve">kadangi 2025 m. </w:t>
      </w:r>
      <w:r w:rsidRPr="00C03C7A">
        <w:rPr>
          <w:color w:val="000000"/>
        </w:rPr>
        <w:t xml:space="preserve">rugpjūčio 8 d. </w:t>
      </w:r>
      <w:r w:rsidRPr="00C03C7A">
        <w:t>EFSA priėmė palankią nuomonę dėl GM kukurūzų, kurioje ji padarė išvadą, kad paraiškoje dėl leidimo atnaujinimo nepateikta duomenų, patvirtinančių kokius nors naujus pavojus, pakitusį poveikį arba mokslinį netikrumą, dėl kurių pasikeistų GM kukurūzų pirminio rizikos vertinimo išvados, kurias EFSA pateikė 2013 m.</w:t>
      </w:r>
      <w:r w:rsidRPr="00C03C7A">
        <w:rPr>
          <w:rStyle w:val="FootnoteReference"/>
        </w:rPr>
        <w:footnoteReference w:id="6"/>
      </w:r>
      <w:r w:rsidRPr="00C03C7A">
        <w:t xml:space="preserve">; kadangi tose nuomonėse nebuvo aptarti keli platesnio pobūdžio aplinkos, </w:t>
      </w:r>
      <w:r w:rsidRPr="00C03C7A">
        <w:lastRenderedPageBreak/>
        <w:t>socialinio ir ekonominio bei kumuliacinio poveikio klausimai, kurie, EFSA nuomone, nepriklauso jos kompetencijos sričiai;</w:t>
      </w:r>
    </w:p>
    <w:p w14:paraId="750903CB" w14:textId="77777777" w:rsidR="001D3A77" w:rsidRPr="00C03C7A" w:rsidRDefault="001D3A77" w:rsidP="001D3A77">
      <w:pPr>
        <w:pStyle w:val="NormalHanging12a"/>
      </w:pPr>
      <w:r w:rsidRPr="00C03C7A">
        <w:t>D.</w:t>
      </w:r>
      <w:r w:rsidRPr="00C03C7A">
        <w:tab/>
        <w:t xml:space="preserve">kadangi genetiškai modifikuoti kukurūzai buvo sukurti siekiant suteikti jiems atsparumą </w:t>
      </w:r>
      <w:proofErr w:type="spellStart"/>
      <w:r w:rsidRPr="00C03C7A">
        <w:t>glifozinatui</w:t>
      </w:r>
      <w:proofErr w:type="spellEnd"/>
      <w:r w:rsidRPr="00C03C7A">
        <w:t xml:space="preserve">; </w:t>
      </w:r>
    </w:p>
    <w:p w14:paraId="75E381AC" w14:textId="77777777" w:rsidR="001D3A77" w:rsidRPr="00C03C7A" w:rsidRDefault="001D3A77" w:rsidP="001D3A77">
      <w:pPr>
        <w:pStyle w:val="NormalHanging12a"/>
      </w:pPr>
      <w:r w:rsidRPr="00C03C7A">
        <w:t>E.</w:t>
      </w:r>
      <w:r w:rsidRPr="00C03C7A">
        <w:tab/>
        <w:t xml:space="preserve">kadangi į EFSA atliktus rizikos vertinimus nebuvo įtraukti ilgalaikiai </w:t>
      </w:r>
      <w:proofErr w:type="spellStart"/>
      <w:r w:rsidRPr="00C03C7A">
        <w:t>toksikologiniai</w:t>
      </w:r>
      <w:proofErr w:type="spellEnd"/>
      <w:r w:rsidRPr="00C03C7A">
        <w:t xml:space="preserve"> tyrimai ar išsami kumuliacinio ir </w:t>
      </w:r>
      <w:proofErr w:type="spellStart"/>
      <w:r w:rsidRPr="00C03C7A">
        <w:t>kombinatorinio</w:t>
      </w:r>
      <w:proofErr w:type="spellEnd"/>
      <w:r w:rsidRPr="00C03C7A">
        <w:t xml:space="preserve"> poveikio analizė, įskaitant galimas sąveikas su pesticidų, dažnai naudojamų auginant kukurūzus, liekanomis;</w:t>
      </w:r>
    </w:p>
    <w:p w14:paraId="33F2984C" w14:textId="77777777" w:rsidR="001D3A77" w:rsidRPr="00C03C7A" w:rsidRDefault="001D3A77" w:rsidP="001D3A77">
      <w:pPr>
        <w:pStyle w:val="NormalHanging12a"/>
        <w:rPr>
          <w:color w:val="000000" w:themeColor="text1"/>
          <w:szCs w:val="24"/>
        </w:rPr>
      </w:pPr>
      <w:r w:rsidRPr="00C03C7A">
        <w:rPr>
          <w:color w:val="000000" w:themeColor="text1"/>
        </w:rPr>
        <w:t>F.</w:t>
      </w:r>
      <w:r w:rsidRPr="00C03C7A">
        <w:rPr>
          <w:color w:val="000000" w:themeColor="text1"/>
        </w:rPr>
        <w:tab/>
      </w:r>
      <w:r w:rsidRPr="00C03C7A">
        <w:t xml:space="preserve">kadangi didžioji dauguma genetiškai modifikuotų kultūrų, įskaitant genetiškai modifikuotus kukurūzus, buvo genetiškai modifikuotos taip, kad būtų atsparios vienam ar keliems papildomiems herbicidams, kuriuos galima naudoti auginant genetiškai modifikuotas kultūras, jų nesunaikinant, kaip būtų herbicidams neatsparių pasėlių atveju; </w:t>
      </w:r>
      <w:r w:rsidRPr="00C03C7A">
        <w:rPr>
          <w:color w:val="000000" w:themeColor="text1"/>
        </w:rPr>
        <w:t>kadangi ne vienu tyrimu įrodyta, jog auginant herbicidams atsparias genetiškai modifikuotas kultūras dažniau naudojami papildomi herbicidai, labiausiai dėl to, kad atsirado herbicidams atsparių piktžolių</w:t>
      </w:r>
      <w:r w:rsidRPr="00C03C7A">
        <w:rPr>
          <w:rStyle w:val="FootnoteReference"/>
          <w:color w:val="000000" w:themeColor="text1"/>
          <w:szCs w:val="24"/>
        </w:rPr>
        <w:footnoteReference w:id="7"/>
      </w:r>
      <w:r w:rsidRPr="00C03C7A">
        <w:rPr>
          <w:color w:val="000000" w:themeColor="text1"/>
        </w:rPr>
        <w:t>;</w:t>
      </w:r>
    </w:p>
    <w:p w14:paraId="7CC97C57" w14:textId="77777777" w:rsidR="001D3A77" w:rsidRPr="00C03C7A" w:rsidRDefault="001D3A77" w:rsidP="001D3A77">
      <w:pPr>
        <w:spacing w:after="240"/>
        <w:ind w:left="567" w:hanging="567"/>
        <w:rPr>
          <w:color w:val="000000" w:themeColor="text1"/>
          <w:szCs w:val="24"/>
        </w:rPr>
      </w:pPr>
      <w:r w:rsidRPr="00C03C7A">
        <w:t>G.</w:t>
      </w:r>
      <w:r w:rsidRPr="00C03C7A">
        <w:tab/>
        <w:t>kadangi herbicidams atsparias genetiškai modifikuotas kultūras auginantys ūkininkai patenka į piktžolių valdymo sistemą, kuri yra labai arba visiškai priklausoma nuo herbicidų, ir tai daroma taikant priemoką už genetiškai modifikuotas sėklas, kuri gali būti pateisinama tik tuo atveju, jei tokias sėklas perkantys ūkininkai purškia ir papildomus herbicidus;</w:t>
      </w:r>
      <w:r w:rsidRPr="00C03C7A">
        <w:rPr>
          <w:color w:val="000000" w:themeColor="text1"/>
        </w:rPr>
        <w:t xml:space="preserve"> kadangi dėl padidėjusios priklausomybės nuo papildomų herbicidų ūkiuose, kuriuose sėjami genetiškai modifikuoti kukurūzai, sparčiau atsiras ir plis tiems herbicidams atsparios piktžolės, todėl reikia naudoti dar daugiau herbicidų, ir taip susidaro užburtas ratas, kitaip vadinamas „įsuktu herbicidų ratu“; kadangi dėl to neigiamas poveikis, kurį lemia pernelyg didelė priklausomybė nuo herbicidų, pablogins dirvožemio būklę, vandens kokybę ir virš žemės bei po žeme esančią biologinę įvairovę, taip pat turės įtakos žmonėms ir gyvūnams, be kita ko, dėl didesnių herbicidų liekanų maiste ir pašaruose</w:t>
      </w:r>
      <w:r w:rsidRPr="00C03C7A">
        <w:rPr>
          <w:rStyle w:val="FootnoteReference"/>
          <w:color w:val="000000" w:themeColor="text1"/>
          <w:szCs w:val="24"/>
        </w:rPr>
        <w:footnoteReference w:id="8"/>
      </w:r>
      <w:r w:rsidRPr="00C03C7A">
        <w:rPr>
          <w:color w:val="000000" w:themeColor="text1"/>
        </w:rPr>
        <w:t>;</w:t>
      </w:r>
    </w:p>
    <w:p w14:paraId="58B4028D" w14:textId="77777777" w:rsidR="001D3A77" w:rsidRPr="00C03C7A" w:rsidRDefault="001D3A77" w:rsidP="001D3A77">
      <w:pPr>
        <w:pStyle w:val="NormalWeb"/>
        <w:widowControl w:val="0"/>
        <w:spacing w:before="0" w:beforeAutospacing="0" w:after="240" w:afterAutospacing="0"/>
        <w:ind w:left="567" w:hanging="567"/>
      </w:pPr>
      <w:r w:rsidRPr="00C03C7A">
        <w:t>H.</w:t>
      </w:r>
      <w:r w:rsidRPr="00C03C7A">
        <w:tab/>
        <w:t xml:space="preserve">kadangi </w:t>
      </w:r>
      <w:proofErr w:type="spellStart"/>
      <w:r w:rsidRPr="00C03C7A">
        <w:t>gliufozinatas</w:t>
      </w:r>
      <w:proofErr w:type="spellEnd"/>
      <w:r w:rsidRPr="00C03C7A">
        <w:t xml:space="preserve"> priskiriamas prie toksiškų reprodukcijai medžiagų (1B kategorija), todėl atitinka Europos Parlamento ir Tarybos reglamente (EB) Nr. 1107/2009 nustatytus paraiškos atmetimo kriterijus</w:t>
      </w:r>
      <w:r w:rsidRPr="00C03C7A">
        <w:rPr>
          <w:rStyle w:val="FootnoteReference"/>
        </w:rPr>
        <w:footnoteReference w:id="9"/>
      </w:r>
      <w:r w:rsidRPr="00C03C7A">
        <w:t xml:space="preserve">; kadangi leidimas Sąjungoje naudoti </w:t>
      </w:r>
      <w:proofErr w:type="spellStart"/>
      <w:r w:rsidRPr="00C03C7A">
        <w:t>gliufozinatą</w:t>
      </w:r>
      <w:proofErr w:type="spellEnd"/>
      <w:r w:rsidRPr="00C03C7A">
        <w:t xml:space="preserve"> baigė galioti 2018 m. liepos 31 d.;</w:t>
      </w:r>
    </w:p>
    <w:p w14:paraId="0CD2B943" w14:textId="77777777" w:rsidR="001D3A77" w:rsidRPr="00C03C7A" w:rsidRDefault="001D3A77" w:rsidP="001D3A77">
      <w:pPr>
        <w:pStyle w:val="NormalHanging12a"/>
      </w:pPr>
      <w:r w:rsidRPr="00C03C7A">
        <w:t>I.</w:t>
      </w:r>
      <w:r w:rsidRPr="00C03C7A">
        <w:tab/>
        <w:t>kadangi nepriklausoma galimo neigiamo poveikio biologinei įvairovei, dirvožemio būklei, apdulkintojams ir netiksliniams organizmams stebėsena ir priežiūra tebėra nepakankamai užtikrinta;</w:t>
      </w:r>
    </w:p>
    <w:p w14:paraId="0B19F13F" w14:textId="77777777" w:rsidR="001D3A77" w:rsidRPr="00C03C7A" w:rsidRDefault="001D3A77" w:rsidP="001D3A77">
      <w:pPr>
        <w:spacing w:after="240"/>
        <w:ind w:left="567" w:hanging="567"/>
      </w:pPr>
      <w:r w:rsidRPr="00C03C7A">
        <w:lastRenderedPageBreak/>
        <w:t>J.</w:t>
      </w:r>
      <w:r w:rsidRPr="00C03C7A">
        <w:tab/>
        <w:t>kadangi esant moksliniam netikrumui turėtų būti taikomas Sutarties dėl Europos Sąjungos veikimo 191 straipsnyje įtvirtintas atsargumo principas;</w:t>
      </w:r>
    </w:p>
    <w:p w14:paraId="7D48B04F" w14:textId="77777777" w:rsidR="001D3A77" w:rsidRPr="00C03C7A" w:rsidRDefault="001D3A77" w:rsidP="001D3A77">
      <w:pPr>
        <w:spacing w:after="240"/>
        <w:ind w:left="567" w:hanging="567"/>
      </w:pPr>
      <w:r w:rsidRPr="00C03C7A">
        <w:t>K.</w:t>
      </w:r>
      <w:r w:rsidRPr="00C03C7A">
        <w:tab/>
        <w:t>kadangi Reglamente (EB) Nr. 1829/2003 reikalaujama užtikrinti, kad genetiškai modifikuoti maisto produktai ir pašarai neturėtų neigiamo poveikio žmonių sveikatai, gyvūnų sveikatai ar aplinkai;</w:t>
      </w:r>
    </w:p>
    <w:p w14:paraId="68A0D044" w14:textId="77777777" w:rsidR="001D3A77" w:rsidRPr="00C03C7A" w:rsidRDefault="001D3A77" w:rsidP="001D3A77">
      <w:pPr>
        <w:pStyle w:val="NormalWeb"/>
        <w:widowControl w:val="0"/>
        <w:spacing w:before="0" w:beforeAutospacing="0" w:after="240" w:afterAutospacing="0"/>
        <w:ind w:left="567" w:hanging="567"/>
      </w:pPr>
      <w:r w:rsidRPr="00C03C7A">
        <w:t>L.</w:t>
      </w:r>
      <w:r w:rsidRPr="00C03C7A">
        <w:tab/>
        <w:t>kadangi Sąjungos sprendimas atnaujinti leidimą naudoti genetiškai modifikuotus kukurūzus neatitiktų tarptautinių įsipareigojimų mažinti pesticidų naudojimą</w:t>
      </w:r>
      <w:r w:rsidRPr="00C03C7A">
        <w:rPr>
          <w:vertAlign w:val="superscript"/>
        </w:rPr>
        <w:footnoteReference w:id="10"/>
      </w:r>
      <w:r w:rsidRPr="00C03C7A">
        <w:t xml:space="preserve">, atsižvelgiant į padidėjusį </w:t>
      </w:r>
      <w:proofErr w:type="spellStart"/>
      <w:r w:rsidRPr="00C03C7A">
        <w:t>glifosato</w:t>
      </w:r>
      <w:proofErr w:type="spellEnd"/>
      <w:r w:rsidRPr="00C03C7A">
        <w:t xml:space="preserve">, </w:t>
      </w:r>
      <w:proofErr w:type="spellStart"/>
      <w:r w:rsidRPr="00C03C7A">
        <w:t>dikambos</w:t>
      </w:r>
      <w:proofErr w:type="spellEnd"/>
      <w:r w:rsidRPr="00C03C7A">
        <w:t xml:space="preserve"> ir </w:t>
      </w:r>
      <w:proofErr w:type="spellStart"/>
      <w:r w:rsidRPr="00C03C7A">
        <w:t>glufozinato</w:t>
      </w:r>
      <w:proofErr w:type="spellEnd"/>
      <w:r w:rsidRPr="00C03C7A">
        <w:t xml:space="preserve"> poveikį žmonėms, gyvūnams ir aplinkai šalyse, kuriose auginami šie herbicidams atsparūs genetiškai modifikuoti pasėliai, taip pat į galimas rimtas su tuo susijusias pasekmes sveikatai;</w:t>
      </w:r>
    </w:p>
    <w:p w14:paraId="7C62AD6C" w14:textId="77777777" w:rsidR="001D3A77" w:rsidRPr="00C03C7A" w:rsidRDefault="001D3A77" w:rsidP="001D3A77">
      <w:pPr>
        <w:spacing w:after="240"/>
        <w:ind w:left="567" w:hanging="567"/>
      </w:pPr>
      <w:r w:rsidRPr="00C03C7A">
        <w:t>M.</w:t>
      </w:r>
      <w:r w:rsidRPr="00C03C7A">
        <w:tab/>
        <w:t>kadangi Komisijos įgyvendinimo sprendimo projektu būtų toliau leidžiama į Sąjungą importuoti produktus, kurie neatitinka standartų, kurių laikosi Sąjungos ūkininkai, dėl to jie atsidurtų nepalankioje konkurencinėje padėtyje;</w:t>
      </w:r>
    </w:p>
    <w:p w14:paraId="70A3F793" w14:textId="77777777" w:rsidR="001D3A77" w:rsidRPr="00C03C7A" w:rsidRDefault="001D3A77" w:rsidP="001D3A77">
      <w:pPr>
        <w:spacing w:after="240"/>
        <w:ind w:left="567" w:hanging="567"/>
      </w:pPr>
      <w:r w:rsidRPr="00C03C7A">
        <w:t>N.</w:t>
      </w:r>
      <w:r w:rsidRPr="00C03C7A">
        <w:tab/>
        <w:t>kadangi strateginio dialogo dėl žemės ūkio ateities ES išvadose</w:t>
      </w:r>
      <w:r w:rsidRPr="00C03C7A">
        <w:rPr>
          <w:rStyle w:val="FootnoteReference"/>
        </w:rPr>
        <w:footnoteReference w:id="11"/>
      </w:r>
      <w:r w:rsidRPr="00C03C7A">
        <w:t xml:space="preserve"> Komisija raginama iš naujo įvertinti savo požiūrį dėl žemės ūkio maisto produktų patekimo į importo ir eksporto rinką, atsižvelgiant į iššūkius, susijusius su skirtingais Sąjungos ir jos prekybos partnerių standartais; kadangi sąžiningesni prekybos santykiai pasauliniu lygmeniu, derantys su sveikos aplinkos tikslais, buvo vienas iš pagrindinių ūkininkų reikalavimų per 2023, 2024 ir 2025 m. demonstracijas;</w:t>
      </w:r>
    </w:p>
    <w:p w14:paraId="5D5DBF9B" w14:textId="77777777" w:rsidR="001D3A77" w:rsidRPr="00C03C7A" w:rsidRDefault="001D3A77" w:rsidP="001D3A77">
      <w:pPr>
        <w:spacing w:after="240"/>
        <w:ind w:left="567" w:hanging="567"/>
      </w:pPr>
      <w:r w:rsidRPr="00C03C7A">
        <w:t>O.</w:t>
      </w:r>
      <w:r w:rsidRPr="00C03C7A">
        <w:tab/>
        <w:t>kadangi Parlamentas ne kartą pabrėžė, kad Komisija neturėtų leisti naudoti GMO tais atvejais, kai valstybės narės Augalų, gyvūnų, maisto ir pašarų nuolatinio komiteto arba Apeliacinio komiteto posėdžiuose nesusitaria kvalifikuota balsų dauguma, kad būtų išspręstas nuolatinės demokratijos stokos klausimas;</w:t>
      </w:r>
    </w:p>
    <w:p w14:paraId="708C8B3A" w14:textId="77777777" w:rsidR="001D3A77" w:rsidRPr="00C03C7A" w:rsidRDefault="001D3A77" w:rsidP="001D3A77">
      <w:pPr>
        <w:pStyle w:val="NormalWeb"/>
        <w:widowControl w:val="0"/>
        <w:shd w:val="clear" w:color="auto" w:fill="FFFFFF"/>
        <w:spacing w:before="0" w:beforeAutospacing="0" w:after="240" w:afterAutospacing="0"/>
        <w:ind w:left="567" w:hanging="567"/>
        <w:rPr>
          <w:color w:val="000000" w:themeColor="text1"/>
        </w:rPr>
      </w:pPr>
      <w:r w:rsidRPr="00C03C7A">
        <w:rPr>
          <w:color w:val="000000" w:themeColor="text1"/>
        </w:rPr>
        <w:t>P.</w:t>
      </w:r>
      <w:r w:rsidRPr="00C03C7A">
        <w:rPr>
          <w:color w:val="000000" w:themeColor="text1"/>
        </w:rPr>
        <w:tab/>
        <w:t>kadangi, nepaisydama pačios pripažintų demokratijos trūkumų, to, kad valstybės narės nepalaiko GMO, ir Parlamento prieštaravimų, Komisija ir toliau suteikia leidimus GMO;</w:t>
      </w:r>
    </w:p>
    <w:p w14:paraId="5AC61BD1" w14:textId="77777777" w:rsidR="001D3A77" w:rsidRPr="00C03C7A" w:rsidRDefault="001D3A77" w:rsidP="001D3A77">
      <w:pPr>
        <w:spacing w:after="240"/>
        <w:ind w:left="567" w:hanging="567"/>
      </w:pPr>
      <w:r w:rsidRPr="00C03C7A">
        <w:t>Q.</w:t>
      </w:r>
      <w:r w:rsidRPr="00C03C7A">
        <w:tab/>
        <w:t>kadangi, vadovaujantis bendros sveikatos koncepcija, vertinant GMO ilgalaikį tvarumą ir saugą būtina atsižvelgti į žmonių, gyvūnų, augalų ir aplinkos sveikatos tarpusavio priklausomybę;</w:t>
      </w:r>
    </w:p>
    <w:p w14:paraId="7D26028E" w14:textId="77777777" w:rsidR="001D3A77" w:rsidRPr="00C03C7A" w:rsidRDefault="001D3A77" w:rsidP="001D3A77">
      <w:pPr>
        <w:pStyle w:val="NormalHanging12a"/>
      </w:pPr>
      <w:r w:rsidRPr="00C03C7A">
        <w:t>1.</w:t>
      </w:r>
      <w:r w:rsidRPr="00C03C7A">
        <w:tab/>
        <w:t xml:space="preserve">mano, kad Komisijos įgyvendinimo sprendimo projektas viršija Reglamente </w:t>
      </w:r>
      <w:bookmarkStart w:id="18" w:name="_Hlk219209229"/>
      <w:r w:rsidRPr="00C03C7A">
        <w:t>(EB) Nr. </w:t>
      </w:r>
      <w:bookmarkEnd w:id="18"/>
      <w:r w:rsidRPr="00C03C7A">
        <w:t>1829/2003 numatytus įgyvendinimo įgaliojimus;</w:t>
      </w:r>
    </w:p>
    <w:p w14:paraId="363CF56D" w14:textId="77777777" w:rsidR="001D3A77" w:rsidRPr="00C03C7A" w:rsidRDefault="001D3A77" w:rsidP="001D3A77">
      <w:pPr>
        <w:pStyle w:val="NormalHanging12a"/>
      </w:pPr>
      <w:r w:rsidRPr="00C03C7A">
        <w:t>2.</w:t>
      </w:r>
      <w:r w:rsidRPr="00C03C7A">
        <w:tab/>
        <w:t xml:space="preserve">mano, kad Komisijos įgyvendinimo sprendimo projektas neatitinka Sąjungos teisės, nes jis nesuderinamas su Reglamento (EB) Nr. 1829/2003 tikslu, pagal kurį, remiantis </w:t>
      </w:r>
      <w:r w:rsidRPr="00C03C7A">
        <w:lastRenderedPageBreak/>
        <w:t>Europos Parlamento ir Tarybos reglamentu (EB) Nr. 178/2002</w:t>
      </w:r>
      <w:r w:rsidRPr="00C03C7A">
        <w:rPr>
          <w:vertAlign w:val="superscript"/>
        </w:rPr>
        <w:footnoteReference w:id="12"/>
      </w:r>
      <w:r w:rsidRPr="00C03C7A">
        <w:t xml:space="preserve"> nustatytais bendraisiais principais, siekiama nustatyti pagrindą, leidžiantį užtikrinti aukštą žmonių gyvybės ir sveikatos, gyvūnų sveikatos ir gerovės, taip pat aplinkos ir vartotojų interesų apsaugos lygį, kalbant apie genetiškai modifikuotą maistą ir pašarus, kartu užtikrinant veiksmingą vidaus rinkos veikimą; </w:t>
      </w:r>
    </w:p>
    <w:p w14:paraId="5BA0298B" w14:textId="77777777" w:rsidR="001D3A77" w:rsidRPr="00C03C7A" w:rsidRDefault="001D3A77" w:rsidP="001D3A77">
      <w:pPr>
        <w:pStyle w:val="NormalHanging12a"/>
      </w:pPr>
      <w:r w:rsidRPr="00C03C7A">
        <w:t>3.</w:t>
      </w:r>
      <w:r w:rsidRPr="00C03C7A">
        <w:tab/>
        <w:t>prašo Komisijos atsiimti savo įgyvendinimo sprendimo projektą;</w:t>
      </w:r>
    </w:p>
    <w:p w14:paraId="2A669642" w14:textId="77777777" w:rsidR="001D3A77" w:rsidRPr="00C03C7A" w:rsidRDefault="001D3A77" w:rsidP="001D3A77">
      <w:pPr>
        <w:spacing w:after="240"/>
        <w:ind w:left="567" w:hanging="567"/>
      </w:pPr>
      <w:bookmarkStart w:id="19" w:name="_Hlk218675841"/>
      <w:r w:rsidRPr="00C03C7A">
        <w:t>4.</w:t>
      </w:r>
      <w:r w:rsidRPr="00C03C7A">
        <w:tab/>
        <w:t>ragina Komisiją, laikantis bendros sveikatos koncepcijos, neatnaujinti leidimo naudoti genetiškai modifikuotus kukurūzus, nes nėra pakankamai įrodymų apie ilgalaikį poveikį biologinei įvairovei, maisto saugai, ūkininkų pragyvenimui ir gyvūnų sveikatai;</w:t>
      </w:r>
    </w:p>
    <w:p w14:paraId="3C9F36DF" w14:textId="77777777" w:rsidR="001D3A77" w:rsidRPr="00C03C7A" w:rsidRDefault="001D3A77" w:rsidP="001D3A77">
      <w:pPr>
        <w:spacing w:after="240"/>
        <w:ind w:left="567" w:hanging="567"/>
      </w:pPr>
      <w:bookmarkStart w:id="20" w:name="_Hlk210900300"/>
      <w:r w:rsidRPr="00C03C7A">
        <w:t>5.</w:t>
      </w:r>
      <w:r w:rsidRPr="00C03C7A">
        <w:tab/>
        <w:t>ragina Komisiją nedelsiant pateikti pasiūlymą dėl teisėkūros procedūra priimamo akto dėl sprendimų priėmimo procedūros GMO srityje reformos, siekiant atsižvelgti į nuolatinius Parlamento prieštaravimus ir trūkstamą kvalifikuotos daugumos paramą tarp valstybių narių</w:t>
      </w:r>
      <w:bookmarkEnd w:id="20"/>
      <w:r w:rsidRPr="00C03C7A">
        <w:t>;</w:t>
      </w:r>
    </w:p>
    <w:p w14:paraId="4308DB22" w14:textId="77777777" w:rsidR="001D3A77" w:rsidRPr="00C03C7A" w:rsidRDefault="001D3A77" w:rsidP="001D3A77">
      <w:pPr>
        <w:spacing w:after="240"/>
        <w:ind w:left="567" w:hanging="567"/>
      </w:pPr>
      <w:bookmarkStart w:id="21" w:name="_Hlk210900241"/>
      <w:r w:rsidRPr="00C03C7A">
        <w:t>6.</w:t>
      </w:r>
      <w:r w:rsidRPr="00C03C7A">
        <w:tab/>
        <w:t xml:space="preserve">šiuo atžvilgiu pabrėžia, kad leidimas importuoti bet kokius maistui, pašarams ar produktams skirtus genetiškai modifikuotus augalus, kurie tapo atsparūs Sąjungoje uždraustiems herbicidams, pvz., </w:t>
      </w:r>
      <w:proofErr w:type="spellStart"/>
      <w:r w:rsidRPr="00C03C7A">
        <w:t>glufozinatui</w:t>
      </w:r>
      <w:proofErr w:type="spellEnd"/>
      <w:r w:rsidRPr="00C03C7A">
        <w:t xml:space="preserve">, neatitinka Sąjungos tarptautinių įsipareigojimų, prisiimtų, </w:t>
      </w:r>
      <w:proofErr w:type="spellStart"/>
      <w:r w:rsidRPr="00C03C7A">
        <w:rPr>
          <w:i/>
          <w:iCs/>
        </w:rPr>
        <w:t>inter</w:t>
      </w:r>
      <w:proofErr w:type="spellEnd"/>
      <w:r w:rsidRPr="00C03C7A">
        <w:rPr>
          <w:i/>
          <w:iCs/>
        </w:rPr>
        <w:t xml:space="preserve"> alia</w:t>
      </w:r>
      <w:r w:rsidRPr="00C03C7A">
        <w:t xml:space="preserve">, pagal Jungtinių Tautų (JT) Biologinės įvairovės konvenciją ir JT darnaus vystymosi tikslus, įskaitant </w:t>
      </w:r>
      <w:proofErr w:type="spellStart"/>
      <w:r w:rsidRPr="00C03C7A">
        <w:t>Kunmingo</w:t>
      </w:r>
      <w:proofErr w:type="spellEnd"/>
      <w:r w:rsidRPr="00C03C7A">
        <w:t xml:space="preserve"> ir Monrealio strategiją, ir kad taip sukuriamos nevienodos sąlygos Sąjungos ūkininkams;</w:t>
      </w:r>
    </w:p>
    <w:bookmarkEnd w:id="21"/>
    <w:p w14:paraId="42C0BDAB" w14:textId="577E2FFE" w:rsidR="00E365E1" w:rsidRPr="00C03C7A" w:rsidRDefault="001D3A77" w:rsidP="008D1F65">
      <w:pPr>
        <w:spacing w:after="240"/>
        <w:ind w:left="567" w:hanging="567"/>
      </w:pPr>
      <w:r w:rsidRPr="00C03C7A">
        <w:t>7.</w:t>
      </w:r>
      <w:r w:rsidRPr="00C03C7A">
        <w:tab/>
      </w:r>
      <w:bookmarkEnd w:id="19"/>
      <w:r w:rsidRPr="00C03C7A">
        <w:t xml:space="preserve">paveda Pirmininkei perduoti šią rezoliuciją Tarybai ir Komisijai bei valstybių narių vyriausybėms ir parlamentams. </w:t>
      </w:r>
    </w:p>
    <w:sectPr w:rsidR="00E365E1" w:rsidRPr="00C03C7A" w:rsidSect="00C03C7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49CF7" w14:textId="77777777" w:rsidR="00A163C9" w:rsidRPr="00C03C7A" w:rsidRDefault="00A163C9">
      <w:r w:rsidRPr="00C03C7A">
        <w:separator/>
      </w:r>
    </w:p>
  </w:endnote>
  <w:endnote w:type="continuationSeparator" w:id="0">
    <w:p w14:paraId="4D17113A" w14:textId="77777777" w:rsidR="00A163C9" w:rsidRPr="00C03C7A" w:rsidRDefault="00A163C9">
      <w:r w:rsidRPr="00C03C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648D7" w14:textId="77777777" w:rsidR="00A163C9" w:rsidRPr="00C03C7A" w:rsidRDefault="00A163C9">
      <w:r w:rsidRPr="00C03C7A">
        <w:separator/>
      </w:r>
    </w:p>
  </w:footnote>
  <w:footnote w:type="continuationSeparator" w:id="0">
    <w:p w14:paraId="1E399E2D" w14:textId="77777777" w:rsidR="00A163C9" w:rsidRPr="00C03C7A" w:rsidRDefault="00A163C9">
      <w:r w:rsidRPr="00C03C7A">
        <w:continuationSeparator/>
      </w:r>
    </w:p>
  </w:footnote>
  <w:footnote w:id="1">
    <w:p w14:paraId="748DB4F8" w14:textId="0D2FEABD" w:rsidR="001D3A77" w:rsidRPr="00C03C7A" w:rsidRDefault="001D3A77" w:rsidP="00C03C7A">
      <w:pPr>
        <w:pStyle w:val="FootnoteText"/>
        <w:ind w:left="567" w:hanging="567"/>
        <w:rPr>
          <w:sz w:val="24"/>
          <w:lang w:val="lt-LT"/>
        </w:rPr>
      </w:pPr>
      <w:r w:rsidRPr="00C03C7A">
        <w:rPr>
          <w:rStyle w:val="FootnoteReference"/>
          <w:sz w:val="24"/>
          <w:lang w:val="lt-LT"/>
        </w:rPr>
        <w:footnoteRef/>
      </w:r>
      <w:r w:rsidR="00C03C7A" w:rsidRPr="00C03C7A">
        <w:rPr>
          <w:sz w:val="24"/>
          <w:lang w:val="lt-LT"/>
        </w:rPr>
        <w:t xml:space="preserve"> </w:t>
      </w:r>
      <w:r w:rsidR="00C03C7A" w:rsidRPr="00C03C7A">
        <w:rPr>
          <w:sz w:val="24"/>
          <w:lang w:val="lt-LT"/>
        </w:rPr>
        <w:tab/>
      </w:r>
      <w:r w:rsidRPr="00C03C7A">
        <w:rPr>
          <w:sz w:val="24"/>
          <w:lang w:val="lt-LT"/>
        </w:rPr>
        <w:t>OL L 268, 2003 10 18, p. 1, ELI: </w:t>
      </w:r>
      <w:hyperlink r:id="rId1" w:tooltip="Prieiga prie šio dokumento suteikiama per ELI sistemoje jam suteiktą URI." w:history="1">
        <w:r w:rsidRPr="00C03C7A">
          <w:rPr>
            <w:rStyle w:val="Hyperlink"/>
            <w:sz w:val="24"/>
            <w:lang w:val="lt-LT"/>
          </w:rPr>
          <w:t>http://data.europa.eu/eli/reg/2003/1829/oj</w:t>
        </w:r>
      </w:hyperlink>
      <w:r w:rsidRPr="00C03C7A">
        <w:rPr>
          <w:rStyle w:val="Hyperlink"/>
          <w:sz w:val="24"/>
          <w:lang w:val="lt-LT"/>
        </w:rPr>
        <w:t>.</w:t>
      </w:r>
    </w:p>
  </w:footnote>
  <w:footnote w:id="2">
    <w:p w14:paraId="7B6491AA" w14:textId="36524AB7" w:rsidR="001D3A77" w:rsidRPr="00C03C7A" w:rsidRDefault="001D3A77" w:rsidP="00C03C7A">
      <w:pPr>
        <w:pStyle w:val="FootnoteText"/>
        <w:ind w:left="567" w:hanging="567"/>
        <w:rPr>
          <w:sz w:val="24"/>
          <w:lang w:val="lt-LT"/>
        </w:rPr>
      </w:pPr>
      <w:r w:rsidRPr="00C03C7A">
        <w:rPr>
          <w:rStyle w:val="FootnoteReference"/>
          <w:sz w:val="24"/>
          <w:lang w:val="lt-LT"/>
        </w:rPr>
        <w:footnoteRef/>
      </w:r>
      <w:r w:rsidR="00C03C7A" w:rsidRPr="00C03C7A">
        <w:rPr>
          <w:sz w:val="24"/>
          <w:lang w:val="lt-LT"/>
        </w:rPr>
        <w:t xml:space="preserve"> </w:t>
      </w:r>
      <w:r w:rsidR="00C03C7A" w:rsidRPr="00C03C7A">
        <w:rPr>
          <w:sz w:val="24"/>
          <w:lang w:val="lt-LT"/>
        </w:rPr>
        <w:tab/>
      </w:r>
      <w:r w:rsidRPr="00C03C7A">
        <w:rPr>
          <w:sz w:val="24"/>
          <w:lang w:val="lt-LT"/>
        </w:rPr>
        <w:t>OL L 55, 2011 2 28</w:t>
      </w:r>
      <w:r w:rsidR="00404385">
        <w:rPr>
          <w:sz w:val="24"/>
          <w:lang w:val="lt-LT"/>
        </w:rPr>
        <w:t>,</w:t>
      </w:r>
      <w:r w:rsidRPr="00C03C7A">
        <w:rPr>
          <w:sz w:val="24"/>
          <w:lang w:val="lt-LT"/>
        </w:rPr>
        <w:t xml:space="preserve"> p. 13, ELI: </w:t>
      </w:r>
      <w:hyperlink r:id="rId2" w:history="1">
        <w:r w:rsidRPr="00C03C7A">
          <w:rPr>
            <w:rStyle w:val="Hyperlink"/>
            <w:sz w:val="24"/>
            <w:lang w:val="lt-LT"/>
          </w:rPr>
          <w:t>http://data.europa.eu/eli/reg/2011/182/oj</w:t>
        </w:r>
      </w:hyperlink>
      <w:r w:rsidRPr="00C03C7A">
        <w:rPr>
          <w:sz w:val="24"/>
          <w:lang w:val="lt-LT"/>
        </w:rPr>
        <w:t>.</w:t>
      </w:r>
    </w:p>
  </w:footnote>
  <w:footnote w:id="3">
    <w:p w14:paraId="5C352576" w14:textId="75C6D610" w:rsidR="001D3A77" w:rsidRPr="00C03C7A" w:rsidRDefault="001D3A77" w:rsidP="00C03C7A">
      <w:pPr>
        <w:pStyle w:val="FootnoteText"/>
        <w:ind w:left="567" w:hanging="567"/>
        <w:rPr>
          <w:sz w:val="24"/>
          <w:lang w:val="lt-LT"/>
        </w:rPr>
      </w:pPr>
      <w:r w:rsidRPr="00C03C7A">
        <w:rPr>
          <w:sz w:val="24"/>
          <w:vertAlign w:val="superscript"/>
          <w:lang w:val="lt-LT"/>
        </w:rPr>
        <w:footnoteRef/>
      </w:r>
      <w:bookmarkStart w:id="9" w:name="_Hlk219207010"/>
      <w:r w:rsidR="00C03C7A" w:rsidRPr="00C03C7A">
        <w:rPr>
          <w:sz w:val="24"/>
          <w:lang w:val="lt-LT"/>
        </w:rPr>
        <w:t xml:space="preserve"> </w:t>
      </w:r>
      <w:r w:rsidR="00C03C7A" w:rsidRPr="00C03C7A">
        <w:rPr>
          <w:sz w:val="24"/>
          <w:lang w:val="lt-LT"/>
        </w:rPr>
        <w:tab/>
      </w:r>
      <w:r w:rsidRPr="00C03C7A">
        <w:rPr>
          <w:sz w:val="24"/>
          <w:lang w:val="lt-LT"/>
        </w:rPr>
        <w:t xml:space="preserve">EFSA genetiškai modifikuotų organizmų specialistų grupės mokslinė nuomonė dėl </w:t>
      </w:r>
      <w:bookmarkEnd w:id="9"/>
      <w:r w:rsidRPr="00C03C7A">
        <w:rPr>
          <w:sz w:val="24"/>
          <w:lang w:val="lt-LT"/>
        </w:rPr>
        <w:t xml:space="preserve">genetiškai modifikuotų kukurūzų T25 leidimo atnaujinimo vertinimo pagal Reglamentą (EB) Nr. 1829/2003 (paraiška GMFF-2024-22651), </w:t>
      </w:r>
      <w:r w:rsidRPr="00C03C7A">
        <w:rPr>
          <w:i/>
          <w:iCs/>
          <w:sz w:val="24"/>
          <w:lang w:val="lt-LT"/>
        </w:rPr>
        <w:t>EFSA leidinys</w:t>
      </w:r>
      <w:r w:rsidRPr="00C03C7A">
        <w:rPr>
          <w:sz w:val="24"/>
          <w:lang w:val="lt-LT"/>
        </w:rPr>
        <w:t xml:space="preserve">, 2025 m., 23(8):e9570, </w:t>
      </w:r>
      <w:hyperlink r:id="rId3" w:history="1">
        <w:r w:rsidRPr="00C03C7A">
          <w:rPr>
            <w:rStyle w:val="Hyperlink"/>
            <w:sz w:val="24"/>
            <w:lang w:val="lt-LT"/>
          </w:rPr>
          <w:t>https://doi.org/10.2903/j.efsa.2025.9570</w:t>
        </w:r>
      </w:hyperlink>
      <w:r w:rsidRPr="00C03C7A">
        <w:rPr>
          <w:sz w:val="24"/>
          <w:lang w:val="lt-LT"/>
        </w:rPr>
        <w:t xml:space="preserve">. </w:t>
      </w:r>
    </w:p>
  </w:footnote>
  <w:footnote w:id="4">
    <w:p w14:paraId="7DEAFFB2" w14:textId="581FF40A" w:rsidR="001D3A77" w:rsidRPr="00C03C7A" w:rsidRDefault="001D3A77" w:rsidP="00C03C7A">
      <w:pPr>
        <w:pStyle w:val="FootnoteText"/>
        <w:ind w:left="567" w:hanging="567"/>
        <w:rPr>
          <w:color w:val="000000" w:themeColor="text1"/>
          <w:sz w:val="24"/>
          <w:vertAlign w:val="superscript"/>
          <w:lang w:val="lt-LT"/>
        </w:rPr>
      </w:pPr>
      <w:r w:rsidRPr="00C03C7A">
        <w:rPr>
          <w:rStyle w:val="FootnoteReference"/>
          <w:sz w:val="24"/>
          <w:lang w:val="lt-LT"/>
        </w:rPr>
        <w:footnoteRef/>
      </w:r>
      <w:r w:rsidR="00C03C7A" w:rsidRPr="00C03C7A">
        <w:rPr>
          <w:sz w:val="24"/>
          <w:lang w:val="lt-LT"/>
        </w:rPr>
        <w:t xml:space="preserve"> </w:t>
      </w:r>
      <w:r w:rsidR="00C03C7A" w:rsidRPr="00C03C7A">
        <w:rPr>
          <w:sz w:val="24"/>
          <w:lang w:val="lt-LT"/>
        </w:rPr>
        <w:tab/>
      </w:r>
      <w:r w:rsidRPr="00C03C7A">
        <w:rPr>
          <w:sz w:val="24"/>
          <w:lang w:val="lt-LT"/>
        </w:rPr>
        <w:t>Per aštuntąją kadenciją Parlamentas priėmė 36 rezoliucijas, o per devintąją kadenciją – 38 rezoliucijas, kuriose prieštaraujama leidimui naudoti GMO.</w:t>
      </w:r>
      <w:r w:rsidRPr="00C03C7A">
        <w:rPr>
          <w:color w:val="000000" w:themeColor="text1"/>
          <w:sz w:val="24"/>
          <w:lang w:val="lt-LT"/>
        </w:rPr>
        <w:t xml:space="preserve"> Be to, per dešimtąją kadenciją Parlamentas priėmė šias rezoliucijas:</w:t>
      </w:r>
    </w:p>
    <w:p w14:paraId="3B605C15" w14:textId="1F04001D" w:rsidR="001D3A77" w:rsidRPr="00C03C7A" w:rsidRDefault="001D3A77" w:rsidP="008D1F65">
      <w:pPr>
        <w:pStyle w:val="FootnoteText"/>
        <w:ind w:left="1134" w:hanging="567"/>
        <w:rPr>
          <w:color w:val="000000" w:themeColor="text1"/>
          <w:sz w:val="24"/>
          <w:vertAlign w:val="superscript"/>
          <w:lang w:val="lt-LT"/>
        </w:rPr>
      </w:pPr>
      <w:r w:rsidRPr="00C03C7A">
        <w:rPr>
          <w:color w:val="000000" w:themeColor="text1"/>
          <w:sz w:val="24"/>
          <w:lang w:val="lt-LT"/>
        </w:rPr>
        <w:t>–</w:t>
      </w:r>
      <w:r w:rsidRPr="00C03C7A">
        <w:rPr>
          <w:color w:val="000000" w:themeColor="text1"/>
          <w:sz w:val="24"/>
          <w:lang w:val="lt-LT"/>
        </w:rPr>
        <w:tab/>
        <w:t>2024 m. lapkričio 26 d. Europos Parlamento rezoliuciją dėl Komisijos įgyvendinimo sprendimo (ES) 2024/2628, kuriuo pagal Europos Parlamento ir Tarybos reglamentą (EB) Nr. 1829/2003 atnaujinamas leidimas pateikti rinkai produktus, kurių sudėtyje yra genetiškai modifikuotų kukurūzų MON 89034 × 1507 × NK603, kurie iš jų sudaryti arba kurie iš jų pagaminti, projekto (OL C, C/2025/1797, 2025 4 4, ELI: </w:t>
      </w:r>
      <w:hyperlink r:id="rId4" w:history="1">
        <w:r w:rsidRPr="00C03C7A">
          <w:rPr>
            <w:rStyle w:val="Hyperlink"/>
            <w:sz w:val="24"/>
            <w:lang w:val="lt-LT"/>
          </w:rPr>
          <w:t>http://data.europa.eu/eli/C/2025/1797/oj</w:t>
        </w:r>
      </w:hyperlink>
      <w:r w:rsidRPr="00C03C7A">
        <w:rPr>
          <w:color w:val="000000" w:themeColor="text1"/>
          <w:sz w:val="24"/>
          <w:lang w:val="lt-LT"/>
        </w:rPr>
        <w:t>);</w:t>
      </w:r>
    </w:p>
    <w:p w14:paraId="7AB95463" w14:textId="77850E08" w:rsidR="001D3A77" w:rsidRPr="00C03C7A" w:rsidRDefault="001D3A77" w:rsidP="008D1F65">
      <w:pPr>
        <w:pStyle w:val="FootnoteText"/>
        <w:keepNext/>
        <w:ind w:left="1134" w:hanging="567"/>
        <w:rPr>
          <w:color w:val="000000" w:themeColor="text1"/>
          <w:sz w:val="24"/>
          <w:vertAlign w:val="superscript"/>
          <w:lang w:val="lt-LT"/>
        </w:rPr>
      </w:pPr>
      <w:r w:rsidRPr="00C03C7A">
        <w:rPr>
          <w:color w:val="000000" w:themeColor="text1"/>
          <w:sz w:val="24"/>
          <w:lang w:val="lt-LT"/>
        </w:rPr>
        <w:t>–</w:t>
      </w:r>
      <w:r w:rsidRPr="00C03C7A">
        <w:rPr>
          <w:color w:val="000000" w:themeColor="text1"/>
          <w:sz w:val="24"/>
          <w:lang w:val="lt-LT"/>
        </w:rPr>
        <w:tab/>
        <w:t>2024 m. lapkričio 26 d. Europos Parlamento rezoliuciją dėl Komisijos įgyvendinimo sprendimo (ES) 2024/2627, kuriuo pagal Europos Parlamento ir Tarybos reglamentą (EB) Nr. 1829/2003 leidžiama pateikti rinkai produktus, kurių sudėtyje yra genetiškai modifikuotos medvilnės COT102, kurie iš jos sudaryti arba kurie iš jos pagaminti (OL C, C/2025/1798, 2025 4 4, ELI: </w:t>
      </w:r>
      <w:hyperlink r:id="rId5" w:history="1">
        <w:r w:rsidRPr="00C03C7A">
          <w:rPr>
            <w:rStyle w:val="Hyperlink"/>
            <w:sz w:val="24"/>
            <w:lang w:val="lt-LT"/>
          </w:rPr>
          <w:t>http://data.europa.eu/eli/C/2025/1798/oj</w:t>
        </w:r>
      </w:hyperlink>
      <w:r w:rsidRPr="00C03C7A">
        <w:rPr>
          <w:color w:val="000000" w:themeColor="text1"/>
          <w:sz w:val="24"/>
          <w:lang w:val="lt-LT"/>
        </w:rPr>
        <w:t>);</w:t>
      </w:r>
    </w:p>
    <w:p w14:paraId="32E75419" w14:textId="46783D45" w:rsidR="001D3A77" w:rsidRPr="00C03C7A" w:rsidRDefault="001D3A77" w:rsidP="008D1F65">
      <w:pPr>
        <w:pStyle w:val="FootnoteText"/>
        <w:ind w:left="1134" w:hanging="567"/>
        <w:rPr>
          <w:color w:val="000000" w:themeColor="text1"/>
          <w:sz w:val="24"/>
          <w:vertAlign w:val="superscript"/>
          <w:lang w:val="lt-LT"/>
        </w:rPr>
      </w:pPr>
      <w:r w:rsidRPr="00C03C7A">
        <w:rPr>
          <w:color w:val="000000" w:themeColor="text1"/>
          <w:sz w:val="24"/>
          <w:lang w:val="lt-LT"/>
        </w:rPr>
        <w:t>–</w:t>
      </w:r>
      <w:r w:rsidRPr="00C03C7A">
        <w:rPr>
          <w:color w:val="000000" w:themeColor="text1"/>
          <w:sz w:val="24"/>
          <w:lang w:val="lt-LT"/>
        </w:rPr>
        <w:tab/>
        <w:t xml:space="preserve">2024 m. lapkričio 26 d. Europos Parlamento rezoliuciją dėl Komisijos įgyvendinimo sprendimo (ES) 2024/2629, kuriuo pagal Europos Parlamento ir Tarybos reglamentą (EB) Nr. 1829/2003 atnaujinamas leidimas pateikti rinkai produktus, kurių sudėtyje yra genetiškai modifikuotų kukurūzų MON 89034 × 1507 × MON 88017 × 59122 ir aštuonių jų </w:t>
      </w:r>
      <w:proofErr w:type="spellStart"/>
      <w:r w:rsidRPr="00C03C7A">
        <w:rPr>
          <w:color w:val="000000" w:themeColor="text1"/>
          <w:sz w:val="24"/>
          <w:lang w:val="lt-LT"/>
        </w:rPr>
        <w:t>subkombinacijų</w:t>
      </w:r>
      <w:proofErr w:type="spellEnd"/>
      <w:r w:rsidRPr="00C03C7A">
        <w:rPr>
          <w:color w:val="000000" w:themeColor="text1"/>
          <w:sz w:val="24"/>
          <w:lang w:val="lt-LT"/>
        </w:rPr>
        <w:t>, kurie iš jų sudaryti arba kurie iš jų pagaminti (OL C, C/2025/1799, 2025 4 4, ELI: </w:t>
      </w:r>
      <w:hyperlink r:id="rId6" w:history="1">
        <w:r w:rsidRPr="00C03C7A">
          <w:rPr>
            <w:rStyle w:val="Hyperlink"/>
            <w:sz w:val="24"/>
            <w:lang w:val="lt-LT"/>
          </w:rPr>
          <w:t>http://data.europa.eu/eli/C/2025/1799/oj</w:t>
        </w:r>
      </w:hyperlink>
      <w:r w:rsidRPr="00C03C7A">
        <w:rPr>
          <w:color w:val="000000" w:themeColor="text1"/>
          <w:sz w:val="24"/>
          <w:lang w:val="lt-LT"/>
        </w:rPr>
        <w:t>);</w:t>
      </w:r>
    </w:p>
    <w:p w14:paraId="6F921FEA" w14:textId="0DD35D5B" w:rsidR="001D3A77" w:rsidRPr="00C03C7A" w:rsidRDefault="001D3A77" w:rsidP="008D1F65">
      <w:pPr>
        <w:pStyle w:val="FootnoteText"/>
        <w:ind w:left="1134" w:hanging="567"/>
        <w:rPr>
          <w:color w:val="000000" w:themeColor="text1"/>
          <w:sz w:val="24"/>
          <w:vertAlign w:val="superscript"/>
          <w:lang w:val="lt-LT"/>
        </w:rPr>
      </w:pPr>
      <w:r w:rsidRPr="00C03C7A">
        <w:rPr>
          <w:color w:val="000000" w:themeColor="text1"/>
          <w:sz w:val="24"/>
          <w:lang w:val="lt-LT"/>
        </w:rPr>
        <w:t>–</w:t>
      </w:r>
      <w:r w:rsidRPr="00C03C7A">
        <w:rPr>
          <w:color w:val="000000" w:themeColor="text1"/>
          <w:sz w:val="24"/>
          <w:lang w:val="lt-LT"/>
        </w:rPr>
        <w:tab/>
        <w:t>2024 m. lapkričio 26 d. Europos Parlamento rezoliuciją dėl Komisijos įgyvendinimo sprendimo (ES) 2024/1828, kuriuo pagal Europos Parlamento ir Tarybos reglamentą (EB) Nr. 1829/2003 atnaujinamas leidimas pateikti rinkai pašarus, kurių sudėtyje yra genetiškai modifikuotų kukurūzų MON 810 arba kurie iš jų sudaryti, ir maisto produktus ir pašarus, pagamintus iš genetiškai modifikuotų kukurūzų MON 810, ir panaikinamas Komisijos įgyvendinimo sprendimas (ES) 2017/1207 (OL C, C/2025/1800, 2025 4 4, ELI: </w:t>
      </w:r>
      <w:hyperlink r:id="rId7" w:history="1">
        <w:r w:rsidRPr="00C03C7A">
          <w:rPr>
            <w:rStyle w:val="Hyperlink"/>
            <w:sz w:val="24"/>
            <w:lang w:val="lt-LT"/>
          </w:rPr>
          <w:t>http://data.europa.eu/eli/C/2025/1800/oj</w:t>
        </w:r>
      </w:hyperlink>
      <w:r w:rsidRPr="00C03C7A">
        <w:rPr>
          <w:color w:val="000000" w:themeColor="text1"/>
          <w:sz w:val="24"/>
          <w:lang w:val="lt-LT"/>
        </w:rPr>
        <w:t>);</w:t>
      </w:r>
    </w:p>
    <w:p w14:paraId="53DF563B" w14:textId="00B12502" w:rsidR="001D3A77" w:rsidRPr="00C03C7A" w:rsidRDefault="001D3A77" w:rsidP="008D1F65">
      <w:pPr>
        <w:pStyle w:val="FootnoteText"/>
        <w:ind w:left="1134" w:hanging="567"/>
        <w:rPr>
          <w:color w:val="000000" w:themeColor="text1"/>
          <w:sz w:val="24"/>
          <w:vertAlign w:val="superscript"/>
          <w:lang w:val="lt-LT"/>
        </w:rPr>
      </w:pPr>
      <w:r w:rsidRPr="00C03C7A">
        <w:rPr>
          <w:color w:val="000000" w:themeColor="text1"/>
          <w:sz w:val="24"/>
          <w:lang w:val="lt-LT"/>
        </w:rPr>
        <w:t>–</w:t>
      </w:r>
      <w:r w:rsidRPr="00C03C7A">
        <w:rPr>
          <w:color w:val="000000" w:themeColor="text1"/>
          <w:sz w:val="24"/>
          <w:lang w:val="lt-LT"/>
        </w:rPr>
        <w:tab/>
        <w:t>2024 m. lapkričio 26 d. Europos Parlamento rezoliuciją dėl Komisijos įgyvendinimo sprendimo (ES) 2024/1822, kuriuo pagal Europos Parlamento ir Tarybos reglamentą (EB) Nr. 1829/2003 leidžiama pateikti rinkai produktus, kurių sudėtyje yra genetiškai modifikuotų kukurūzų DP915635 arba kurie iš jų sudaryti ar pagaminti (OL C, C/2025/1801, 2025 4 4, ELI: </w:t>
      </w:r>
      <w:hyperlink r:id="rId8" w:history="1">
        <w:r w:rsidRPr="00C03C7A">
          <w:rPr>
            <w:rStyle w:val="Hyperlink"/>
            <w:sz w:val="24"/>
            <w:lang w:val="lt-LT"/>
          </w:rPr>
          <w:t>http://data.europa.eu/eli/C/2025/1801/oj</w:t>
        </w:r>
      </w:hyperlink>
      <w:r w:rsidRPr="00C03C7A">
        <w:rPr>
          <w:color w:val="000000" w:themeColor="text1"/>
          <w:sz w:val="24"/>
          <w:lang w:val="lt-LT"/>
        </w:rPr>
        <w:t>);</w:t>
      </w:r>
    </w:p>
    <w:p w14:paraId="39FC09F3" w14:textId="26E57301" w:rsidR="001D3A77" w:rsidRPr="00C03C7A" w:rsidRDefault="001D3A77" w:rsidP="008D1F65">
      <w:pPr>
        <w:pStyle w:val="FootnoteText"/>
        <w:ind w:left="1134" w:hanging="567"/>
        <w:rPr>
          <w:color w:val="000000" w:themeColor="text1"/>
          <w:sz w:val="24"/>
          <w:vertAlign w:val="superscript"/>
          <w:lang w:val="lt-LT"/>
        </w:rPr>
      </w:pPr>
      <w:r w:rsidRPr="00C03C7A">
        <w:rPr>
          <w:color w:val="000000" w:themeColor="text1"/>
          <w:sz w:val="24"/>
          <w:lang w:val="lt-LT"/>
        </w:rPr>
        <w:t>–</w:t>
      </w:r>
      <w:r w:rsidRPr="00C03C7A">
        <w:rPr>
          <w:color w:val="000000" w:themeColor="text1"/>
          <w:sz w:val="24"/>
          <w:lang w:val="lt-LT"/>
        </w:rPr>
        <w:tab/>
        <w:t>2024 m. lapkričio 26 d. Europos Parlamento rezoliuciją dėl Komisijos įgyvendinimo sprendimo (ES) 2024/1826, kuriuo pagal Europos Parlamento ir Tarybos reglamentą (EB) Nr. 1829/2003 leidžiama pateikti rinkai produktus, kurių sudėtyje yra genetiškai modifikuotų kukurūzų DP23211, kurie iš jų sudaryti ar pagaminti (OL C, C/2025/1802, 2025 4 4, ELI: </w:t>
      </w:r>
      <w:hyperlink r:id="rId9" w:history="1">
        <w:r w:rsidRPr="00C03C7A">
          <w:rPr>
            <w:rStyle w:val="Hyperlink"/>
            <w:sz w:val="24"/>
            <w:lang w:val="lt-LT"/>
          </w:rPr>
          <w:t>http://data.europa.eu/eli/C/2025/1802/oj</w:t>
        </w:r>
      </w:hyperlink>
      <w:r w:rsidRPr="00C03C7A">
        <w:rPr>
          <w:color w:val="000000" w:themeColor="text1"/>
          <w:sz w:val="24"/>
          <w:lang w:val="lt-LT"/>
        </w:rPr>
        <w:t>);</w:t>
      </w:r>
    </w:p>
    <w:p w14:paraId="15167411" w14:textId="4B79A676" w:rsidR="001D3A77" w:rsidRPr="00C03C7A" w:rsidRDefault="001D3A77" w:rsidP="008D1F65">
      <w:pPr>
        <w:pStyle w:val="FootnoteText"/>
        <w:ind w:left="1134" w:hanging="567"/>
        <w:rPr>
          <w:color w:val="000000" w:themeColor="text1"/>
          <w:sz w:val="24"/>
          <w:vertAlign w:val="superscript"/>
          <w:lang w:val="lt-LT"/>
        </w:rPr>
      </w:pPr>
      <w:r w:rsidRPr="00C03C7A">
        <w:rPr>
          <w:color w:val="000000" w:themeColor="text1"/>
          <w:sz w:val="24"/>
          <w:lang w:val="lt-LT"/>
        </w:rPr>
        <w:t>–</w:t>
      </w:r>
      <w:r w:rsidRPr="00C03C7A">
        <w:rPr>
          <w:color w:val="000000" w:themeColor="text1"/>
          <w:sz w:val="24"/>
          <w:lang w:val="lt-LT"/>
        </w:rPr>
        <w:tab/>
        <w:t>2024 m. lapkričio 26 d. Europos Parlamento rezoliuciją dėl Komisijos įgyvendinimo sprendimo (ES) 2024/2618, kuriuo pagal Europos Parlamento ir Tarybos reglamentą (EB) Nr. 1829/2003 leidžiama pateikti rinkai produktus, kurių sudėtyje yra genetiškai modifikuotų kukurūzų DP202216, kurie iš jų sudaryti arba kurie iš jų pagaminti (OL C, C/2025/1803, 2025 4 4, ELI: </w:t>
      </w:r>
      <w:hyperlink r:id="rId10" w:history="1">
        <w:r w:rsidRPr="00C03C7A">
          <w:rPr>
            <w:rStyle w:val="Hyperlink"/>
            <w:sz w:val="24"/>
            <w:lang w:val="lt-LT"/>
          </w:rPr>
          <w:t>http://data.europa.eu/eli/C/2025/1803/oj</w:t>
        </w:r>
      </w:hyperlink>
      <w:r w:rsidRPr="00C03C7A">
        <w:rPr>
          <w:color w:val="000000" w:themeColor="text1"/>
          <w:sz w:val="24"/>
          <w:lang w:val="lt-LT"/>
        </w:rPr>
        <w:t>);</w:t>
      </w:r>
    </w:p>
    <w:p w14:paraId="196F59EA" w14:textId="14F3CB95" w:rsidR="001D3A77" w:rsidRPr="00C03C7A" w:rsidRDefault="001D3A77" w:rsidP="008D1F65">
      <w:pPr>
        <w:pStyle w:val="FootnoteText"/>
        <w:ind w:left="1134" w:hanging="567"/>
        <w:rPr>
          <w:color w:val="000000" w:themeColor="text1"/>
          <w:sz w:val="24"/>
          <w:vertAlign w:val="superscript"/>
          <w:lang w:val="lt-LT"/>
        </w:rPr>
      </w:pPr>
      <w:r w:rsidRPr="00C03C7A">
        <w:rPr>
          <w:color w:val="000000" w:themeColor="text1"/>
          <w:sz w:val="24"/>
          <w:lang w:val="lt-LT"/>
        </w:rPr>
        <w:t>–</w:t>
      </w:r>
      <w:r w:rsidRPr="00C03C7A">
        <w:rPr>
          <w:color w:val="000000" w:themeColor="text1"/>
          <w:sz w:val="24"/>
          <w:lang w:val="lt-LT"/>
        </w:rPr>
        <w:tab/>
        <w:t>2024 m. lapkričio 26 d. Europos Parlamento rezoliuciją dėl Komisijos įgyvendinimo sprendimo, kuriuo pagal Europos Parlamento ir Tarybos reglamentą (EB) Nr. 1829/2003 leidžiama pateikti rinkai produktus, kurių sudėtyje yra genetiškai modifikuotų kukurūzų MON 94804, kurie iš jų sudaryti arba kurie iš jų pagaminti, projekto (OL C, C/2025/1804, 2025 4 4, ELI: </w:t>
      </w:r>
      <w:hyperlink r:id="rId11" w:history="1">
        <w:r w:rsidRPr="00C03C7A">
          <w:rPr>
            <w:rStyle w:val="Hyperlink"/>
            <w:sz w:val="24"/>
            <w:lang w:val="lt-LT"/>
          </w:rPr>
          <w:t>http://data.europa.eu/eli/C/2025/1804/oj</w:t>
        </w:r>
      </w:hyperlink>
      <w:r w:rsidRPr="00C03C7A">
        <w:rPr>
          <w:color w:val="000000" w:themeColor="text1"/>
          <w:sz w:val="24"/>
          <w:lang w:val="lt-LT"/>
        </w:rPr>
        <w:t>);</w:t>
      </w:r>
    </w:p>
    <w:p w14:paraId="5FD92027" w14:textId="67D5D2AA" w:rsidR="001D3A77" w:rsidRPr="00C03C7A" w:rsidRDefault="001D3A77" w:rsidP="008D1F65">
      <w:pPr>
        <w:pStyle w:val="FootnoteText"/>
        <w:ind w:left="1134" w:hanging="567"/>
        <w:rPr>
          <w:sz w:val="24"/>
          <w:vertAlign w:val="superscript"/>
          <w:lang w:val="lt-LT"/>
        </w:rPr>
      </w:pPr>
      <w:r w:rsidRPr="00C03C7A">
        <w:rPr>
          <w:color w:val="000000" w:themeColor="text1"/>
          <w:sz w:val="24"/>
          <w:lang w:val="lt-LT"/>
        </w:rPr>
        <w:t>–</w:t>
      </w:r>
      <w:r w:rsidRPr="00C03C7A">
        <w:rPr>
          <w:color w:val="000000" w:themeColor="text1"/>
          <w:sz w:val="24"/>
          <w:lang w:val="lt-LT"/>
        </w:rPr>
        <w:tab/>
      </w:r>
      <w:r w:rsidRPr="00C03C7A">
        <w:rPr>
          <w:sz w:val="24"/>
          <w:lang w:val="lt-LT"/>
        </w:rPr>
        <w:t>2025 m. vasario 12 d. Europos Parlamento rezoliuciją dėl Komisijos įgyvendinimo sprendimo, kuriuo pagal Europos Parlamento ir Tarybos reglamentą (EB) Nr. 1829/2003 leidžiama pateikti rinkai produktus, kurių sudėtyje yra genetiškai modifikuotų kukurūzų DP910521, kurie iš jų sudaryti arba kurie iš jų pagaminti, projekto</w:t>
      </w:r>
      <w:bookmarkStart w:id="11" w:name="_Hlk219207574"/>
      <w:r w:rsidRPr="00C03C7A">
        <w:rPr>
          <w:sz w:val="24"/>
          <w:lang w:val="lt-LT"/>
        </w:rPr>
        <w:t xml:space="preserve"> (OL C, C/2025/2246, 2025 4 29, ELI: </w:t>
      </w:r>
      <w:hyperlink r:id="rId12" w:tooltip="Prieiga prie šio dokumento suteikiama per ELI sistemoje jam suteiktą URI." w:history="1">
        <w:r w:rsidRPr="00C03C7A">
          <w:rPr>
            <w:rStyle w:val="Hyperlink"/>
            <w:sz w:val="24"/>
            <w:lang w:val="lt-LT"/>
          </w:rPr>
          <w:t>http://data.europa.eu/eli/C/2025/2246/oj</w:t>
        </w:r>
      </w:hyperlink>
      <w:r w:rsidRPr="00C03C7A">
        <w:rPr>
          <w:sz w:val="24"/>
          <w:lang w:val="lt-LT"/>
        </w:rPr>
        <w:t>);</w:t>
      </w:r>
      <w:bookmarkEnd w:id="11"/>
    </w:p>
    <w:p w14:paraId="27B35036" w14:textId="10FFC52A" w:rsidR="001D3A77" w:rsidRPr="00C03C7A" w:rsidRDefault="001D3A77" w:rsidP="008D1F65">
      <w:pPr>
        <w:pStyle w:val="FootnoteText"/>
        <w:ind w:left="1134" w:hanging="567"/>
        <w:rPr>
          <w:sz w:val="24"/>
          <w:vertAlign w:val="superscript"/>
          <w:lang w:val="lt-LT"/>
        </w:rPr>
      </w:pPr>
      <w:r w:rsidRPr="00C03C7A">
        <w:rPr>
          <w:sz w:val="24"/>
          <w:lang w:val="lt-LT"/>
        </w:rPr>
        <w:t>–</w:t>
      </w:r>
      <w:r w:rsidRPr="00C03C7A">
        <w:rPr>
          <w:sz w:val="24"/>
          <w:lang w:val="lt-LT"/>
        </w:rPr>
        <w:tab/>
        <w:t>2025 m. vasario 12 d. Europos Parlamento rezoliuciją dėl Komisijos įgyvendinimo sprendimo, kuriuo pagal Europos Parlamento ir Tarybos reglamentą (EB) Nr. 1829/2003 leidžiama pateikti rinkai produktus, kurių sudėtyje yra genetiškai modifikuotų kukurūzų MON 95275, kurie iš jų sudaryti arba kurie iš jų pagaminti, projekto (OL C, C/2025/2247, 2025 4 29, ELI:</w:t>
      </w:r>
      <w:bookmarkStart w:id="12" w:name="_Hlk219207593"/>
      <w:r w:rsidRPr="00C03C7A">
        <w:rPr>
          <w:sz w:val="24"/>
          <w:lang w:val="lt-LT"/>
        </w:rPr>
        <w:t> </w:t>
      </w:r>
      <w:hyperlink r:id="rId13" w:history="1">
        <w:r w:rsidRPr="00C03C7A">
          <w:rPr>
            <w:rStyle w:val="Hyperlink"/>
            <w:sz w:val="24"/>
            <w:lang w:val="lt-LT"/>
          </w:rPr>
          <w:t>http://data.europa.eu/eli/C/2025/2247/oj</w:t>
        </w:r>
      </w:hyperlink>
      <w:r w:rsidRPr="00C03C7A">
        <w:rPr>
          <w:sz w:val="24"/>
          <w:lang w:val="lt-LT"/>
        </w:rPr>
        <w:t>);</w:t>
      </w:r>
      <w:bookmarkEnd w:id="12"/>
    </w:p>
    <w:p w14:paraId="2518EB81" w14:textId="36B66205" w:rsidR="001D3A77" w:rsidRPr="00C03C7A" w:rsidRDefault="001D3A77" w:rsidP="008D1F65">
      <w:pPr>
        <w:pStyle w:val="FootnoteText"/>
        <w:ind w:left="1134" w:hanging="567"/>
        <w:rPr>
          <w:sz w:val="24"/>
          <w:vertAlign w:val="superscript"/>
          <w:lang w:val="lt-LT"/>
        </w:rPr>
      </w:pPr>
      <w:bookmarkStart w:id="13" w:name="_Hlk219207619"/>
      <w:r w:rsidRPr="00C03C7A">
        <w:rPr>
          <w:sz w:val="24"/>
          <w:lang w:val="lt-LT"/>
        </w:rPr>
        <w:t>–</w:t>
      </w:r>
      <w:r w:rsidRPr="00C03C7A">
        <w:rPr>
          <w:sz w:val="24"/>
          <w:lang w:val="lt-LT"/>
        </w:rPr>
        <w:tab/>
        <w:t>2025 m. gegužės 8 d. Europos Parlamento rezoliuciją dėl Komisijos įgyvendinimo sprendimo, kuriuo pagal Europos Parlamento ir Tarybos reglamentą (EB) Nr. 1829/2003 leidžiama pateikti rinkai produktus, kurių sudėtyje yra genetiškai modifikuotų sojų MON 87705 × MON 87708 × MON 89788, kurie iš jų sudaryti arba kurie iš jų pagaminti, projekto (</w:t>
      </w:r>
      <w:r w:rsidR="008D1F65">
        <w:rPr>
          <w:sz w:val="24"/>
          <w:lang w:val="lt-LT"/>
        </w:rPr>
        <w:t xml:space="preserve">Priimti tekstai, </w:t>
      </w:r>
      <w:r w:rsidRPr="00C03C7A">
        <w:rPr>
          <w:sz w:val="24"/>
          <w:lang w:val="lt-LT"/>
        </w:rPr>
        <w:t>P10_TA(2025)0106);</w:t>
      </w:r>
    </w:p>
    <w:p w14:paraId="480F7D11" w14:textId="6131B75F" w:rsidR="001D3A77" w:rsidRPr="00C03C7A" w:rsidRDefault="001D3A77" w:rsidP="008D1F65">
      <w:pPr>
        <w:pStyle w:val="FootnoteText"/>
        <w:ind w:left="1134" w:hanging="567"/>
        <w:rPr>
          <w:sz w:val="24"/>
          <w:vertAlign w:val="superscript"/>
          <w:lang w:val="lt-LT"/>
        </w:rPr>
      </w:pPr>
      <w:r w:rsidRPr="00C03C7A">
        <w:rPr>
          <w:sz w:val="24"/>
          <w:lang w:val="lt-LT"/>
        </w:rPr>
        <w:t>–</w:t>
      </w:r>
      <w:r w:rsidRPr="00C03C7A">
        <w:rPr>
          <w:sz w:val="24"/>
          <w:lang w:val="lt-LT"/>
        </w:rPr>
        <w:tab/>
        <w:t>2025 m. spalio 8 d. Europos Parlamento rezoliuciją dėl 2025 m rugsėjo 22 d. Komisijos įgyvendinimo sprendimo (ES) 2025/1898, kuriuo pagal Europos Parlamento ir Tarybos reglamentą (EB) Nr. 1829/2003 leidžiama pateikti rinkai produktus, kurių sudėtyje yra genetiškai modifikuotų kukurūzų DP51291, kurie iš jų sudaryti arba kurie iš jų pagaminti (</w:t>
      </w:r>
      <w:r w:rsidR="008D1F65">
        <w:rPr>
          <w:sz w:val="24"/>
          <w:lang w:val="lt-LT"/>
        </w:rPr>
        <w:t xml:space="preserve">Priimti tekstai, </w:t>
      </w:r>
      <w:r w:rsidRPr="00C03C7A">
        <w:rPr>
          <w:sz w:val="24"/>
          <w:lang w:val="lt-LT"/>
        </w:rPr>
        <w:t>P10_TA(2025)0222);</w:t>
      </w:r>
    </w:p>
    <w:p w14:paraId="153DE0C7" w14:textId="4B54B0E5" w:rsidR="001D3A77" w:rsidRPr="00C03C7A" w:rsidRDefault="001D3A77" w:rsidP="008D1F65">
      <w:pPr>
        <w:pStyle w:val="FootnoteText"/>
        <w:ind w:left="1134" w:hanging="567"/>
        <w:rPr>
          <w:sz w:val="24"/>
          <w:vertAlign w:val="superscript"/>
          <w:lang w:val="lt-LT"/>
        </w:rPr>
      </w:pPr>
      <w:r w:rsidRPr="00C03C7A">
        <w:rPr>
          <w:sz w:val="24"/>
          <w:lang w:val="lt-LT"/>
        </w:rPr>
        <w:t>–</w:t>
      </w:r>
      <w:r w:rsidRPr="00C03C7A">
        <w:rPr>
          <w:sz w:val="24"/>
          <w:lang w:val="lt-LT"/>
        </w:rPr>
        <w:tab/>
        <w:t>2025 m. lapkričio 25 d. Europos Parlamento rezoliuciją dėl Komisijos įgyvendinimo sprendimo, kuriuo pagal Europos Parlamento ir Tarybos reglamentą (EB) Nr. 1829/2003 leidžiama pateikti rinkai produktus, kurių sudėtyje yra genetiškai modifikuotų kukurūzų DAS1131, kurie iš jų sudaryti arba kurie iš jų pagaminti, projekto (</w:t>
      </w:r>
      <w:r w:rsidR="008D1F65">
        <w:rPr>
          <w:sz w:val="24"/>
          <w:lang w:val="lt-LT"/>
        </w:rPr>
        <w:t xml:space="preserve">Priimti tekstai, </w:t>
      </w:r>
      <w:r w:rsidRPr="00C03C7A">
        <w:rPr>
          <w:sz w:val="24"/>
          <w:lang w:val="lt-LT"/>
        </w:rPr>
        <w:t>P10_TA(2025)0288);</w:t>
      </w:r>
    </w:p>
    <w:p w14:paraId="01E4DF7B" w14:textId="0B1324ED" w:rsidR="001D3A77" w:rsidRPr="00C03C7A" w:rsidRDefault="001D3A77" w:rsidP="008D1F65">
      <w:pPr>
        <w:pStyle w:val="FootnoteText"/>
        <w:keepNext/>
        <w:ind w:left="1134" w:hanging="567"/>
        <w:rPr>
          <w:sz w:val="24"/>
          <w:vertAlign w:val="superscript"/>
          <w:lang w:val="lt-LT"/>
        </w:rPr>
      </w:pPr>
      <w:r w:rsidRPr="00C03C7A">
        <w:rPr>
          <w:sz w:val="24"/>
          <w:lang w:val="lt-LT"/>
        </w:rPr>
        <w:t>–</w:t>
      </w:r>
      <w:r w:rsidRPr="00C03C7A">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modifikuotos medvilnės MON 88913 (MON-88913-8), kurie iš jos sudaryti arba kurie iš jos pagaminti, projekto (</w:t>
      </w:r>
      <w:r w:rsidR="008D1F65">
        <w:rPr>
          <w:sz w:val="24"/>
          <w:lang w:val="lt-LT"/>
        </w:rPr>
        <w:t xml:space="preserve">Priimti tekstai, </w:t>
      </w:r>
      <w:r w:rsidRPr="00C03C7A">
        <w:rPr>
          <w:sz w:val="24"/>
          <w:lang w:val="lt-LT"/>
        </w:rPr>
        <w:t>P10_TA(2025)0289);</w:t>
      </w:r>
    </w:p>
    <w:p w14:paraId="445E131A" w14:textId="787C4281" w:rsidR="001D3A77" w:rsidRPr="00C03C7A" w:rsidRDefault="001D3A77" w:rsidP="008D1F65">
      <w:pPr>
        <w:pStyle w:val="FootnoteText"/>
        <w:ind w:left="1134" w:hanging="567"/>
        <w:rPr>
          <w:sz w:val="24"/>
          <w:vertAlign w:val="superscript"/>
          <w:lang w:val="lt-LT"/>
        </w:rPr>
      </w:pPr>
      <w:r w:rsidRPr="00C03C7A">
        <w:rPr>
          <w:sz w:val="24"/>
          <w:lang w:val="lt-LT"/>
        </w:rPr>
        <w:t>–</w:t>
      </w:r>
      <w:r w:rsidRPr="00C03C7A">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aliejinių rapsų MON 88302, kurie iš jų sudaryti arba kurie iš jų pagaminti, projekto (</w:t>
      </w:r>
      <w:r w:rsidR="008D1F65">
        <w:rPr>
          <w:sz w:val="24"/>
          <w:lang w:val="lt-LT"/>
        </w:rPr>
        <w:t xml:space="preserve">Priimti tekstai, </w:t>
      </w:r>
      <w:r w:rsidRPr="00C03C7A">
        <w:rPr>
          <w:sz w:val="24"/>
          <w:lang w:val="lt-LT"/>
        </w:rPr>
        <w:t>P10_TA(2025)0290);</w:t>
      </w:r>
    </w:p>
    <w:p w14:paraId="680FA6BC" w14:textId="521047B9" w:rsidR="001D3A77" w:rsidRPr="00C03C7A" w:rsidRDefault="001D3A77" w:rsidP="008D1F65">
      <w:pPr>
        <w:pStyle w:val="FootnoteText"/>
        <w:ind w:left="1134" w:hanging="567"/>
        <w:rPr>
          <w:sz w:val="24"/>
          <w:vertAlign w:val="superscript"/>
          <w:lang w:val="lt-LT"/>
        </w:rPr>
      </w:pPr>
      <w:r w:rsidRPr="00C03C7A">
        <w:rPr>
          <w:sz w:val="24"/>
          <w:lang w:val="lt-LT"/>
        </w:rPr>
        <w:t>–</w:t>
      </w:r>
      <w:r w:rsidRPr="00C03C7A">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sojų MON 87708, kurie iš jų sudaryti arba kurie iš jų pagaminti (</w:t>
      </w:r>
      <w:r w:rsidR="008D1F65">
        <w:rPr>
          <w:sz w:val="24"/>
          <w:lang w:val="lt-LT"/>
        </w:rPr>
        <w:t xml:space="preserve">Priimti tekstai, </w:t>
      </w:r>
      <w:r w:rsidRPr="00C03C7A">
        <w:rPr>
          <w:sz w:val="24"/>
          <w:lang w:val="lt-LT"/>
        </w:rPr>
        <w:t>P10_TA(2025)0291);</w:t>
      </w:r>
    </w:p>
    <w:p w14:paraId="3B7C666B" w14:textId="559C5D98" w:rsidR="001D3A77" w:rsidRPr="00C03C7A" w:rsidRDefault="001D3A77" w:rsidP="008D1F65">
      <w:pPr>
        <w:pStyle w:val="FootnoteText"/>
        <w:ind w:left="1134" w:hanging="567"/>
        <w:rPr>
          <w:sz w:val="24"/>
          <w:vertAlign w:val="superscript"/>
          <w:lang w:val="lt-LT"/>
        </w:rPr>
      </w:pPr>
      <w:r w:rsidRPr="00C03C7A">
        <w:rPr>
          <w:sz w:val="24"/>
          <w:lang w:val="lt-LT"/>
        </w:rPr>
        <w:t>–</w:t>
      </w:r>
      <w:r w:rsidRPr="00C03C7A">
        <w:rPr>
          <w:sz w:val="24"/>
          <w:lang w:val="lt-LT"/>
        </w:rPr>
        <w:tab/>
        <w:t>2025 m. lapkričio 25 d. Europos Parlamento rezoliuciją dėl Komisijos įgyvendinimo sprendimo, kuriuo pagal Europos Parlamento ir Tarybos reglamentą (EB) Nr. 1829/2003 atnaujinamas leidimas pateikti rinkai produktus, kurių sudėtyje yra genetiškai modifikuotų kukurūzų MON 87427, kurie iš jų sudaryti arba kurie iš jų pagaminti, projekto (</w:t>
      </w:r>
      <w:r w:rsidR="008D1F65">
        <w:rPr>
          <w:sz w:val="24"/>
          <w:lang w:val="lt-LT"/>
        </w:rPr>
        <w:t xml:space="preserve">Priimti tekstai, </w:t>
      </w:r>
      <w:r w:rsidRPr="00C03C7A">
        <w:rPr>
          <w:sz w:val="24"/>
          <w:lang w:val="lt-LT"/>
        </w:rPr>
        <w:t>P10_TA(2025)0292);</w:t>
      </w:r>
    </w:p>
    <w:p w14:paraId="2E71F4D5" w14:textId="6ABF84CE" w:rsidR="001D3A77" w:rsidRPr="00C03C7A" w:rsidRDefault="001D3A77" w:rsidP="008D1F65">
      <w:pPr>
        <w:pStyle w:val="FootnoteText"/>
        <w:ind w:left="1134" w:hanging="567"/>
        <w:rPr>
          <w:sz w:val="24"/>
          <w:vertAlign w:val="superscript"/>
          <w:lang w:val="lt-LT"/>
        </w:rPr>
      </w:pPr>
      <w:r w:rsidRPr="00C03C7A">
        <w:rPr>
          <w:sz w:val="24"/>
          <w:lang w:val="lt-LT"/>
        </w:rPr>
        <w:t>–</w:t>
      </w:r>
      <w:r w:rsidRPr="00C03C7A">
        <w:rPr>
          <w:sz w:val="24"/>
          <w:lang w:val="lt-LT"/>
        </w:rPr>
        <w:tab/>
        <w:t>2025 m. gruodžio 16 d. Europos Parlamento rezoliuciją dėl Komisijos įgyvendinimo sprendimo, kuriuo pagal Europos Parlamento ir Tarybos reglamentą (EB) Nr. 1829/2003 atnaujinamas leidimas pateikti rinkai produktus, kurių sudėtyje yra genetiškai modifikuotų kukurūzų NK603, kurie iš jų sudaryti arba kurie iš jų pagaminti, projekto (</w:t>
      </w:r>
      <w:r w:rsidR="008D1F65">
        <w:rPr>
          <w:sz w:val="24"/>
          <w:lang w:val="lt-LT"/>
        </w:rPr>
        <w:t xml:space="preserve">Priimti tekstai, </w:t>
      </w:r>
      <w:r w:rsidRPr="00C03C7A">
        <w:rPr>
          <w:sz w:val="24"/>
          <w:lang w:val="lt-LT"/>
        </w:rPr>
        <w:t>P10_TA(2025)0327);</w:t>
      </w:r>
    </w:p>
    <w:p w14:paraId="64CA60AD" w14:textId="5056C4F3" w:rsidR="001D3A77" w:rsidRPr="00C03C7A" w:rsidRDefault="001D3A77" w:rsidP="008D1F65">
      <w:pPr>
        <w:pStyle w:val="FootnoteText"/>
        <w:ind w:left="1134" w:hanging="567"/>
        <w:rPr>
          <w:sz w:val="24"/>
          <w:lang w:val="lt-LT"/>
        </w:rPr>
      </w:pPr>
      <w:r w:rsidRPr="00C03C7A">
        <w:rPr>
          <w:sz w:val="24"/>
          <w:lang w:val="lt-LT"/>
        </w:rPr>
        <w:t>–</w:t>
      </w:r>
      <w:r w:rsidRPr="00C03C7A">
        <w:rPr>
          <w:sz w:val="24"/>
          <w:lang w:val="lt-LT"/>
        </w:rPr>
        <w:tab/>
        <w:t>2025 m. gruodžio 16 d. Europos Parlamento rezoliuciją dėl Komisijos įgyvendinimo sprendimo, kuriuo pagal Europos Parlamento ir Tarybos reglamentą (EB) Nr. 1829/2003 leidžiama pateikti rinkai maisto produktus, maisto sudedamąsias dalis ir pašarus, pagamintus iš genetiškai modifikuotų cukrinių runkelių KWS20-1, projekto (</w:t>
      </w:r>
      <w:r w:rsidR="008D1F65">
        <w:rPr>
          <w:sz w:val="24"/>
          <w:lang w:val="lt-LT"/>
        </w:rPr>
        <w:t xml:space="preserve">Priimti tekstai, </w:t>
      </w:r>
      <w:r w:rsidRPr="00C03C7A">
        <w:rPr>
          <w:sz w:val="24"/>
          <w:lang w:val="lt-LT"/>
        </w:rPr>
        <w:t>P10_TA(2025)0328).</w:t>
      </w:r>
      <w:bookmarkEnd w:id="13"/>
    </w:p>
  </w:footnote>
  <w:footnote w:id="5">
    <w:p w14:paraId="42EBA9C2" w14:textId="1D5F13C5" w:rsidR="001D3A77" w:rsidRPr="00C03C7A" w:rsidRDefault="001D3A77" w:rsidP="00C03C7A">
      <w:pPr>
        <w:pStyle w:val="FootnoteText"/>
        <w:ind w:left="567" w:hanging="567"/>
        <w:rPr>
          <w:iCs/>
          <w:sz w:val="24"/>
          <w:lang w:val="lt-LT"/>
        </w:rPr>
      </w:pPr>
      <w:r w:rsidRPr="00C03C7A">
        <w:rPr>
          <w:rStyle w:val="FootnoteReference"/>
          <w:sz w:val="24"/>
          <w:lang w:val="lt-LT"/>
        </w:rPr>
        <w:footnoteRef/>
      </w:r>
      <w:r w:rsidR="00C03C7A" w:rsidRPr="00C03C7A">
        <w:rPr>
          <w:sz w:val="24"/>
          <w:lang w:val="lt-LT"/>
        </w:rPr>
        <w:t xml:space="preserve"> </w:t>
      </w:r>
      <w:r w:rsidR="00C03C7A" w:rsidRPr="00C03C7A">
        <w:rPr>
          <w:sz w:val="24"/>
          <w:lang w:val="lt-LT"/>
        </w:rPr>
        <w:tab/>
      </w:r>
      <w:r w:rsidRPr="00C03C7A">
        <w:rPr>
          <w:sz w:val="24"/>
          <w:lang w:val="lt-LT"/>
        </w:rPr>
        <w:t>2015 m. balandžio 24 d. Komisijos įgyvendinimo sprendimas (ES) 2015/697, kuriuo pagal Europos Parlamento ir Tarybos reglamentą (EB) Nr. 1829/2003 leidžiama pateikti rinkai genetiškai modifikuotus kukurūzus T25 (ACS-ZMØØ3–2) ir atnaujinti leidimą tiekti rinkai esamus kukurūzų T25 (ACS-ZMØØ3–2) produktus (OL L 112, 2015 4 30, p. 66, ELI: </w:t>
      </w:r>
      <w:hyperlink r:id="rId14" w:history="1">
        <w:r w:rsidRPr="00C03C7A">
          <w:rPr>
            <w:rStyle w:val="Hyperlink"/>
            <w:sz w:val="24"/>
            <w:lang w:val="lt-LT"/>
          </w:rPr>
          <w:t>http://data.europa.eu/eli/dec_impl/2015/697/oj</w:t>
        </w:r>
      </w:hyperlink>
      <w:r w:rsidRPr="00C03C7A">
        <w:rPr>
          <w:sz w:val="24"/>
          <w:lang w:val="lt-LT"/>
        </w:rPr>
        <w:t>).</w:t>
      </w:r>
    </w:p>
  </w:footnote>
  <w:footnote w:id="6">
    <w:p w14:paraId="65DC5A4E" w14:textId="2EC1128E" w:rsidR="001D3A77" w:rsidRPr="00C03C7A" w:rsidRDefault="001D3A77" w:rsidP="00C03C7A">
      <w:pPr>
        <w:pStyle w:val="FootnoteText"/>
        <w:ind w:left="567" w:hanging="567"/>
        <w:rPr>
          <w:sz w:val="24"/>
          <w:lang w:val="lt-LT"/>
        </w:rPr>
      </w:pPr>
      <w:r w:rsidRPr="00C03C7A">
        <w:rPr>
          <w:rStyle w:val="FootnoteReference"/>
          <w:sz w:val="24"/>
          <w:lang w:val="lt-LT"/>
        </w:rPr>
        <w:footnoteRef/>
      </w:r>
      <w:r w:rsidR="00C03C7A" w:rsidRPr="00C03C7A">
        <w:rPr>
          <w:sz w:val="24"/>
          <w:lang w:val="lt-LT"/>
        </w:rPr>
        <w:t xml:space="preserve"> </w:t>
      </w:r>
      <w:r w:rsidR="00C03C7A" w:rsidRPr="00C03C7A">
        <w:rPr>
          <w:sz w:val="24"/>
          <w:lang w:val="lt-LT"/>
        </w:rPr>
        <w:tab/>
      </w:r>
      <w:r w:rsidRPr="00C03C7A">
        <w:rPr>
          <w:sz w:val="24"/>
          <w:lang w:val="lt-LT"/>
        </w:rPr>
        <w:t xml:space="preserve">EFSA genetiškai modifikuotų organizmų specialistų grupės mokslinė nuomonė dėl paraiškų EFSA-GMO-RX-T25 ir EFSA-GMO-NL-2007-46 dėl leidimo naudoti kukurūzus T25 atnaujinimo ir dėl herbicidams atsparių genetiškai modifikuotų kukurūzų T25 pateikimo rinkai, naudojimo tiek maistui, tiek pašarams, jų importo ir perdirbimo, remiantis Reglamentu (EB) Nr. 1829/2003, kurią pateikė „Bayer </w:t>
      </w:r>
      <w:proofErr w:type="spellStart"/>
      <w:r w:rsidRPr="00C03C7A">
        <w:rPr>
          <w:sz w:val="24"/>
          <w:lang w:val="lt-LT"/>
        </w:rPr>
        <w:t>CropScience</w:t>
      </w:r>
      <w:proofErr w:type="spellEnd"/>
      <w:r w:rsidRPr="00C03C7A">
        <w:rPr>
          <w:sz w:val="24"/>
          <w:lang w:val="lt-LT"/>
        </w:rPr>
        <w:t xml:space="preserve"> AG“, </w:t>
      </w:r>
      <w:r w:rsidRPr="00C03C7A">
        <w:rPr>
          <w:i/>
          <w:iCs/>
          <w:sz w:val="24"/>
          <w:lang w:val="lt-LT"/>
        </w:rPr>
        <w:t>EFSA leidinys</w:t>
      </w:r>
      <w:r w:rsidRPr="00C03C7A">
        <w:rPr>
          <w:sz w:val="24"/>
          <w:lang w:val="lt-LT"/>
        </w:rPr>
        <w:t xml:space="preserve">, 2013 m., 11(10):3356, </w:t>
      </w:r>
      <w:hyperlink r:id="rId15" w:history="1">
        <w:r w:rsidRPr="00C03C7A">
          <w:rPr>
            <w:rStyle w:val="Hyperlink"/>
            <w:sz w:val="24"/>
            <w:lang w:val="lt-LT"/>
          </w:rPr>
          <w:t>https://doi.org/10.2903/j.efsa.2013.3356</w:t>
        </w:r>
      </w:hyperlink>
      <w:r w:rsidRPr="00C03C7A">
        <w:rPr>
          <w:sz w:val="24"/>
          <w:lang w:val="lt-LT"/>
        </w:rPr>
        <w:t>.</w:t>
      </w:r>
    </w:p>
  </w:footnote>
  <w:footnote w:id="7">
    <w:p w14:paraId="51815294" w14:textId="54EA5794" w:rsidR="001D3A77" w:rsidRPr="00C03C7A" w:rsidRDefault="001D3A77" w:rsidP="00C03C7A">
      <w:pPr>
        <w:pStyle w:val="FootnoteText"/>
        <w:ind w:left="567" w:hanging="567"/>
        <w:rPr>
          <w:sz w:val="24"/>
          <w:lang w:val="lt-LT"/>
        </w:rPr>
      </w:pPr>
      <w:r w:rsidRPr="00C03C7A">
        <w:rPr>
          <w:rStyle w:val="FootnoteReference"/>
          <w:sz w:val="24"/>
          <w:lang w:val="lt-LT"/>
        </w:rPr>
        <w:footnoteRef/>
      </w:r>
      <w:r w:rsidR="00C03C7A" w:rsidRPr="00C03C7A">
        <w:rPr>
          <w:sz w:val="24"/>
          <w:shd w:val="clear" w:color="auto" w:fill="FFFFFF"/>
          <w:lang w:val="lt-LT"/>
        </w:rPr>
        <w:t xml:space="preserve"> </w:t>
      </w:r>
      <w:r w:rsidR="00C03C7A" w:rsidRPr="00C03C7A">
        <w:rPr>
          <w:sz w:val="24"/>
          <w:shd w:val="clear" w:color="auto" w:fill="FFFFFF"/>
          <w:lang w:val="lt-LT"/>
        </w:rPr>
        <w:tab/>
      </w:r>
      <w:r w:rsidRPr="00C03C7A">
        <w:rPr>
          <w:sz w:val="24"/>
          <w:shd w:val="clear" w:color="auto" w:fill="FFFFFF"/>
          <w:lang w:val="lt-LT"/>
        </w:rPr>
        <w:t xml:space="preserve">Žr., pvz., </w:t>
      </w:r>
      <w:proofErr w:type="spellStart"/>
      <w:r w:rsidRPr="00C03C7A">
        <w:rPr>
          <w:sz w:val="24"/>
          <w:shd w:val="clear" w:color="auto" w:fill="FFFFFF"/>
          <w:lang w:val="lt-LT"/>
        </w:rPr>
        <w:t>Bonny</w:t>
      </w:r>
      <w:proofErr w:type="spellEnd"/>
      <w:r w:rsidRPr="00C03C7A">
        <w:rPr>
          <w:sz w:val="24"/>
          <w:shd w:val="clear" w:color="auto" w:fill="FFFFFF"/>
          <w:lang w:val="lt-LT"/>
        </w:rPr>
        <w:t>, S., „</w:t>
      </w:r>
      <w:proofErr w:type="spellStart"/>
      <w:r w:rsidRPr="00C03C7A">
        <w:rPr>
          <w:sz w:val="24"/>
          <w:shd w:val="clear" w:color="auto" w:fill="FFFFFF"/>
          <w:lang w:val="lt-LT"/>
        </w:rPr>
        <w:t>Genetically</w:t>
      </w:r>
      <w:proofErr w:type="spellEnd"/>
      <w:r w:rsidRPr="00C03C7A">
        <w:rPr>
          <w:sz w:val="24"/>
          <w:shd w:val="clear" w:color="auto" w:fill="FFFFFF"/>
          <w:lang w:val="lt-LT"/>
        </w:rPr>
        <w:t xml:space="preserve"> </w:t>
      </w:r>
      <w:proofErr w:type="spellStart"/>
      <w:r w:rsidRPr="00C03C7A">
        <w:rPr>
          <w:sz w:val="24"/>
          <w:shd w:val="clear" w:color="auto" w:fill="FFFFFF"/>
          <w:lang w:val="lt-LT"/>
        </w:rPr>
        <w:t>Modified</w:t>
      </w:r>
      <w:proofErr w:type="spellEnd"/>
      <w:r w:rsidRPr="00C03C7A">
        <w:rPr>
          <w:sz w:val="24"/>
          <w:shd w:val="clear" w:color="auto" w:fill="FFFFFF"/>
          <w:lang w:val="lt-LT"/>
        </w:rPr>
        <w:t xml:space="preserve"> Herbicide-</w:t>
      </w:r>
      <w:proofErr w:type="spellStart"/>
      <w:r w:rsidRPr="00C03C7A">
        <w:rPr>
          <w:sz w:val="24"/>
          <w:shd w:val="clear" w:color="auto" w:fill="FFFFFF"/>
          <w:lang w:val="lt-LT"/>
        </w:rPr>
        <w:t>Tolerant</w:t>
      </w:r>
      <w:proofErr w:type="spellEnd"/>
      <w:r w:rsidRPr="00C03C7A">
        <w:rPr>
          <w:sz w:val="24"/>
          <w:shd w:val="clear" w:color="auto" w:fill="FFFFFF"/>
          <w:lang w:val="lt-LT"/>
        </w:rPr>
        <w:t xml:space="preserve"> </w:t>
      </w:r>
      <w:proofErr w:type="spellStart"/>
      <w:r w:rsidRPr="00C03C7A">
        <w:rPr>
          <w:sz w:val="24"/>
          <w:shd w:val="clear" w:color="auto" w:fill="FFFFFF"/>
          <w:lang w:val="lt-LT"/>
        </w:rPr>
        <w:t>Crops</w:t>
      </w:r>
      <w:proofErr w:type="spellEnd"/>
      <w:r w:rsidRPr="00C03C7A">
        <w:rPr>
          <w:sz w:val="24"/>
          <w:shd w:val="clear" w:color="auto" w:fill="FFFFFF"/>
          <w:lang w:val="lt-LT"/>
        </w:rPr>
        <w:t xml:space="preserve">, </w:t>
      </w:r>
      <w:proofErr w:type="spellStart"/>
      <w:r w:rsidRPr="00C03C7A">
        <w:rPr>
          <w:sz w:val="24"/>
          <w:shd w:val="clear" w:color="auto" w:fill="FFFFFF"/>
          <w:lang w:val="lt-LT"/>
        </w:rPr>
        <w:t>Weeds</w:t>
      </w:r>
      <w:proofErr w:type="spellEnd"/>
      <w:r w:rsidRPr="00C03C7A">
        <w:rPr>
          <w:sz w:val="24"/>
          <w:shd w:val="clear" w:color="auto" w:fill="FFFFFF"/>
          <w:lang w:val="lt-LT"/>
        </w:rPr>
        <w:t xml:space="preserve">, </w:t>
      </w:r>
      <w:proofErr w:type="spellStart"/>
      <w:r w:rsidRPr="00C03C7A">
        <w:rPr>
          <w:sz w:val="24"/>
          <w:shd w:val="clear" w:color="auto" w:fill="FFFFFF"/>
          <w:lang w:val="lt-LT"/>
        </w:rPr>
        <w:t>and</w:t>
      </w:r>
      <w:proofErr w:type="spellEnd"/>
      <w:r w:rsidRPr="00C03C7A">
        <w:rPr>
          <w:sz w:val="24"/>
          <w:shd w:val="clear" w:color="auto" w:fill="FFFFFF"/>
          <w:lang w:val="lt-LT"/>
        </w:rPr>
        <w:t xml:space="preserve"> </w:t>
      </w:r>
      <w:proofErr w:type="spellStart"/>
      <w:r w:rsidRPr="00C03C7A">
        <w:rPr>
          <w:sz w:val="24"/>
          <w:shd w:val="clear" w:color="auto" w:fill="FFFFFF"/>
          <w:lang w:val="lt-LT"/>
        </w:rPr>
        <w:t>Herbicides</w:t>
      </w:r>
      <w:proofErr w:type="spellEnd"/>
      <w:r w:rsidRPr="00C03C7A">
        <w:rPr>
          <w:sz w:val="24"/>
          <w:shd w:val="clear" w:color="auto" w:fill="FFFFFF"/>
          <w:lang w:val="lt-LT"/>
        </w:rPr>
        <w:t xml:space="preserve">: </w:t>
      </w:r>
      <w:proofErr w:type="spellStart"/>
      <w:r w:rsidRPr="00C03C7A">
        <w:rPr>
          <w:sz w:val="24"/>
          <w:shd w:val="clear" w:color="auto" w:fill="FFFFFF"/>
          <w:lang w:val="lt-LT"/>
        </w:rPr>
        <w:t>Overview</w:t>
      </w:r>
      <w:proofErr w:type="spellEnd"/>
      <w:r w:rsidRPr="00C03C7A">
        <w:rPr>
          <w:sz w:val="24"/>
          <w:shd w:val="clear" w:color="auto" w:fill="FFFFFF"/>
          <w:lang w:val="lt-LT"/>
        </w:rPr>
        <w:t xml:space="preserve"> </w:t>
      </w:r>
      <w:proofErr w:type="spellStart"/>
      <w:r w:rsidRPr="00C03C7A">
        <w:rPr>
          <w:sz w:val="24"/>
          <w:shd w:val="clear" w:color="auto" w:fill="FFFFFF"/>
          <w:lang w:val="lt-LT"/>
        </w:rPr>
        <w:t>and</w:t>
      </w:r>
      <w:proofErr w:type="spellEnd"/>
      <w:r w:rsidRPr="00C03C7A">
        <w:rPr>
          <w:sz w:val="24"/>
          <w:shd w:val="clear" w:color="auto" w:fill="FFFFFF"/>
          <w:lang w:val="lt-LT"/>
        </w:rPr>
        <w:t xml:space="preserve"> </w:t>
      </w:r>
      <w:proofErr w:type="spellStart"/>
      <w:r w:rsidRPr="00C03C7A">
        <w:rPr>
          <w:sz w:val="24"/>
          <w:shd w:val="clear" w:color="auto" w:fill="FFFFFF"/>
          <w:lang w:val="lt-LT"/>
        </w:rPr>
        <w:t>Impact</w:t>
      </w:r>
      <w:proofErr w:type="spellEnd"/>
      <w:r w:rsidRPr="00C03C7A">
        <w:rPr>
          <w:sz w:val="24"/>
          <w:shd w:val="clear" w:color="auto" w:fill="FFFFFF"/>
          <w:lang w:val="lt-LT"/>
        </w:rPr>
        <w:t xml:space="preserve">“, </w:t>
      </w:r>
      <w:proofErr w:type="spellStart"/>
      <w:r w:rsidRPr="00C03C7A">
        <w:rPr>
          <w:i/>
          <w:iCs/>
          <w:sz w:val="24"/>
          <w:shd w:val="clear" w:color="auto" w:fill="FFFFFF"/>
          <w:lang w:val="lt-LT"/>
        </w:rPr>
        <w:t>Environmental</w:t>
      </w:r>
      <w:proofErr w:type="spellEnd"/>
      <w:r w:rsidRPr="00C03C7A">
        <w:rPr>
          <w:i/>
          <w:iCs/>
          <w:sz w:val="24"/>
          <w:shd w:val="clear" w:color="auto" w:fill="FFFFFF"/>
          <w:lang w:val="lt-LT"/>
        </w:rPr>
        <w:t xml:space="preserve"> </w:t>
      </w:r>
      <w:proofErr w:type="spellStart"/>
      <w:r w:rsidRPr="00C03C7A">
        <w:rPr>
          <w:i/>
          <w:iCs/>
          <w:sz w:val="24"/>
          <w:shd w:val="clear" w:color="auto" w:fill="FFFFFF"/>
          <w:lang w:val="lt-LT"/>
        </w:rPr>
        <w:t>Management</w:t>
      </w:r>
      <w:proofErr w:type="spellEnd"/>
      <w:r w:rsidRPr="00C03C7A">
        <w:rPr>
          <w:sz w:val="24"/>
          <w:shd w:val="clear" w:color="auto" w:fill="FFFFFF"/>
          <w:lang w:val="lt-LT"/>
        </w:rPr>
        <w:t xml:space="preserve">, 2016 m. sausio mėn., 57(1), p. 31–48, </w:t>
      </w:r>
      <w:bookmarkStart w:id="14" w:name="_Hlk219208464"/>
      <w:r w:rsidRPr="00C03C7A">
        <w:rPr>
          <w:sz w:val="24"/>
          <w:shd w:val="clear" w:color="auto" w:fill="FFFFFF"/>
          <w:lang w:val="lt-LT"/>
        </w:rPr>
        <w:t>https://doi.org/10.1007/s00267-015-0589-7</w:t>
      </w:r>
      <w:bookmarkEnd w:id="14"/>
      <w:r w:rsidRPr="00C03C7A">
        <w:rPr>
          <w:sz w:val="24"/>
          <w:lang w:val="lt-LT"/>
        </w:rPr>
        <w:t xml:space="preserve"> </w:t>
      </w:r>
      <w:r w:rsidRPr="00C03C7A">
        <w:rPr>
          <w:sz w:val="24"/>
          <w:shd w:val="clear" w:color="auto" w:fill="FFFFFF"/>
          <w:lang w:val="lt-LT"/>
        </w:rPr>
        <w:t xml:space="preserve">ir </w:t>
      </w:r>
      <w:proofErr w:type="spellStart"/>
      <w:r w:rsidRPr="00C03C7A">
        <w:rPr>
          <w:sz w:val="24"/>
          <w:shd w:val="clear" w:color="auto" w:fill="FFFFFF"/>
          <w:lang w:val="lt-LT"/>
        </w:rPr>
        <w:t>Benbrook</w:t>
      </w:r>
      <w:proofErr w:type="spellEnd"/>
      <w:r w:rsidRPr="00C03C7A">
        <w:rPr>
          <w:sz w:val="24"/>
          <w:shd w:val="clear" w:color="auto" w:fill="FFFFFF"/>
          <w:lang w:val="lt-LT"/>
        </w:rPr>
        <w:t>, C.M., „</w:t>
      </w:r>
      <w:proofErr w:type="spellStart"/>
      <w:r w:rsidRPr="00C03C7A">
        <w:rPr>
          <w:sz w:val="24"/>
          <w:shd w:val="clear" w:color="auto" w:fill="FFFFFF"/>
          <w:lang w:val="lt-LT"/>
        </w:rPr>
        <w:t>Impacts</w:t>
      </w:r>
      <w:proofErr w:type="spellEnd"/>
      <w:r w:rsidRPr="00C03C7A">
        <w:rPr>
          <w:sz w:val="24"/>
          <w:shd w:val="clear" w:color="auto" w:fill="FFFFFF"/>
          <w:lang w:val="lt-LT"/>
        </w:rPr>
        <w:t xml:space="preserve"> </w:t>
      </w:r>
      <w:proofErr w:type="spellStart"/>
      <w:r w:rsidRPr="00C03C7A">
        <w:rPr>
          <w:sz w:val="24"/>
          <w:shd w:val="clear" w:color="auto" w:fill="FFFFFF"/>
          <w:lang w:val="lt-LT"/>
        </w:rPr>
        <w:t>of</w:t>
      </w:r>
      <w:proofErr w:type="spellEnd"/>
      <w:r w:rsidRPr="00C03C7A">
        <w:rPr>
          <w:sz w:val="24"/>
          <w:shd w:val="clear" w:color="auto" w:fill="FFFFFF"/>
          <w:lang w:val="lt-LT"/>
        </w:rPr>
        <w:t xml:space="preserve"> </w:t>
      </w:r>
      <w:proofErr w:type="spellStart"/>
      <w:r w:rsidRPr="00C03C7A">
        <w:rPr>
          <w:sz w:val="24"/>
          <w:shd w:val="clear" w:color="auto" w:fill="FFFFFF"/>
          <w:lang w:val="lt-LT"/>
        </w:rPr>
        <w:t>genetically</w:t>
      </w:r>
      <w:proofErr w:type="spellEnd"/>
      <w:r w:rsidRPr="00C03C7A">
        <w:rPr>
          <w:sz w:val="24"/>
          <w:shd w:val="clear" w:color="auto" w:fill="FFFFFF"/>
          <w:lang w:val="lt-LT"/>
        </w:rPr>
        <w:t xml:space="preserve"> </w:t>
      </w:r>
      <w:proofErr w:type="spellStart"/>
      <w:r w:rsidRPr="00C03C7A">
        <w:rPr>
          <w:sz w:val="24"/>
          <w:shd w:val="clear" w:color="auto" w:fill="FFFFFF"/>
          <w:lang w:val="lt-LT"/>
        </w:rPr>
        <w:t>engineered</w:t>
      </w:r>
      <w:proofErr w:type="spellEnd"/>
      <w:r w:rsidRPr="00C03C7A">
        <w:rPr>
          <w:sz w:val="24"/>
          <w:shd w:val="clear" w:color="auto" w:fill="FFFFFF"/>
          <w:lang w:val="lt-LT"/>
        </w:rPr>
        <w:t xml:space="preserve"> </w:t>
      </w:r>
      <w:proofErr w:type="spellStart"/>
      <w:r w:rsidRPr="00C03C7A">
        <w:rPr>
          <w:sz w:val="24"/>
          <w:shd w:val="clear" w:color="auto" w:fill="FFFFFF"/>
          <w:lang w:val="lt-LT"/>
        </w:rPr>
        <w:t>crops</w:t>
      </w:r>
      <w:proofErr w:type="spellEnd"/>
      <w:r w:rsidRPr="00C03C7A">
        <w:rPr>
          <w:sz w:val="24"/>
          <w:shd w:val="clear" w:color="auto" w:fill="FFFFFF"/>
          <w:lang w:val="lt-LT"/>
        </w:rPr>
        <w:t xml:space="preserve"> </w:t>
      </w:r>
      <w:proofErr w:type="spellStart"/>
      <w:r w:rsidRPr="00C03C7A">
        <w:rPr>
          <w:sz w:val="24"/>
          <w:shd w:val="clear" w:color="auto" w:fill="FFFFFF"/>
          <w:lang w:val="lt-LT"/>
        </w:rPr>
        <w:t>on</w:t>
      </w:r>
      <w:proofErr w:type="spellEnd"/>
      <w:r w:rsidRPr="00C03C7A">
        <w:rPr>
          <w:sz w:val="24"/>
          <w:shd w:val="clear" w:color="auto" w:fill="FFFFFF"/>
          <w:lang w:val="lt-LT"/>
        </w:rPr>
        <w:t xml:space="preserve"> pesticide </w:t>
      </w:r>
      <w:proofErr w:type="spellStart"/>
      <w:r w:rsidRPr="00C03C7A">
        <w:rPr>
          <w:sz w:val="24"/>
          <w:shd w:val="clear" w:color="auto" w:fill="FFFFFF"/>
          <w:lang w:val="lt-LT"/>
        </w:rPr>
        <w:t>use</w:t>
      </w:r>
      <w:proofErr w:type="spellEnd"/>
      <w:r w:rsidRPr="00C03C7A">
        <w:rPr>
          <w:sz w:val="24"/>
          <w:shd w:val="clear" w:color="auto" w:fill="FFFFFF"/>
          <w:lang w:val="lt-LT"/>
        </w:rPr>
        <w:t xml:space="preserve"> </w:t>
      </w:r>
      <w:proofErr w:type="spellStart"/>
      <w:r w:rsidRPr="00C03C7A">
        <w:rPr>
          <w:sz w:val="24"/>
          <w:shd w:val="clear" w:color="auto" w:fill="FFFFFF"/>
          <w:lang w:val="lt-LT"/>
        </w:rPr>
        <w:t>in</w:t>
      </w:r>
      <w:proofErr w:type="spellEnd"/>
      <w:r w:rsidRPr="00C03C7A">
        <w:rPr>
          <w:sz w:val="24"/>
          <w:shd w:val="clear" w:color="auto" w:fill="FFFFFF"/>
          <w:lang w:val="lt-LT"/>
        </w:rPr>
        <w:t xml:space="preserve"> </w:t>
      </w:r>
      <w:proofErr w:type="spellStart"/>
      <w:r w:rsidRPr="00C03C7A">
        <w:rPr>
          <w:sz w:val="24"/>
          <w:shd w:val="clear" w:color="auto" w:fill="FFFFFF"/>
          <w:lang w:val="lt-LT"/>
        </w:rPr>
        <w:t>the</w:t>
      </w:r>
      <w:proofErr w:type="spellEnd"/>
      <w:r w:rsidRPr="00C03C7A">
        <w:rPr>
          <w:sz w:val="24"/>
          <w:shd w:val="clear" w:color="auto" w:fill="FFFFFF"/>
          <w:lang w:val="lt-LT"/>
        </w:rPr>
        <w:t xml:space="preserve"> U.S. - </w:t>
      </w:r>
      <w:proofErr w:type="spellStart"/>
      <w:r w:rsidRPr="00C03C7A">
        <w:rPr>
          <w:sz w:val="24"/>
          <w:shd w:val="clear" w:color="auto" w:fill="FFFFFF"/>
          <w:lang w:val="lt-LT"/>
        </w:rPr>
        <w:t>the</w:t>
      </w:r>
      <w:proofErr w:type="spellEnd"/>
      <w:r w:rsidRPr="00C03C7A">
        <w:rPr>
          <w:sz w:val="24"/>
          <w:shd w:val="clear" w:color="auto" w:fill="FFFFFF"/>
          <w:lang w:val="lt-LT"/>
        </w:rPr>
        <w:t xml:space="preserve"> </w:t>
      </w:r>
      <w:proofErr w:type="spellStart"/>
      <w:r w:rsidRPr="00C03C7A">
        <w:rPr>
          <w:sz w:val="24"/>
          <w:shd w:val="clear" w:color="auto" w:fill="FFFFFF"/>
          <w:lang w:val="lt-LT"/>
        </w:rPr>
        <w:t>first</w:t>
      </w:r>
      <w:proofErr w:type="spellEnd"/>
      <w:r w:rsidRPr="00C03C7A">
        <w:rPr>
          <w:sz w:val="24"/>
          <w:shd w:val="clear" w:color="auto" w:fill="FFFFFF"/>
          <w:lang w:val="lt-LT"/>
        </w:rPr>
        <w:t xml:space="preserve"> </w:t>
      </w:r>
      <w:proofErr w:type="spellStart"/>
      <w:r w:rsidRPr="00C03C7A">
        <w:rPr>
          <w:sz w:val="24"/>
          <w:shd w:val="clear" w:color="auto" w:fill="FFFFFF"/>
          <w:lang w:val="lt-LT"/>
        </w:rPr>
        <w:t>sixteen</w:t>
      </w:r>
      <w:proofErr w:type="spellEnd"/>
      <w:r w:rsidRPr="00C03C7A">
        <w:rPr>
          <w:sz w:val="24"/>
          <w:shd w:val="clear" w:color="auto" w:fill="FFFFFF"/>
          <w:lang w:val="lt-LT"/>
        </w:rPr>
        <w:t xml:space="preserve"> </w:t>
      </w:r>
      <w:proofErr w:type="spellStart"/>
      <w:r w:rsidRPr="00C03C7A">
        <w:rPr>
          <w:sz w:val="24"/>
          <w:shd w:val="clear" w:color="auto" w:fill="FFFFFF"/>
          <w:lang w:val="lt-LT"/>
        </w:rPr>
        <w:t>years</w:t>
      </w:r>
      <w:proofErr w:type="spellEnd"/>
      <w:r w:rsidRPr="00C03C7A">
        <w:rPr>
          <w:sz w:val="24"/>
          <w:shd w:val="clear" w:color="auto" w:fill="FFFFFF"/>
          <w:lang w:val="lt-LT"/>
        </w:rPr>
        <w:t xml:space="preserve">“, </w:t>
      </w:r>
      <w:proofErr w:type="spellStart"/>
      <w:r w:rsidRPr="00C03C7A">
        <w:rPr>
          <w:i/>
          <w:iCs/>
          <w:sz w:val="24"/>
          <w:shd w:val="clear" w:color="auto" w:fill="FFFFFF"/>
          <w:lang w:val="lt-LT"/>
        </w:rPr>
        <w:t>Environmental</w:t>
      </w:r>
      <w:proofErr w:type="spellEnd"/>
      <w:r w:rsidRPr="00C03C7A">
        <w:rPr>
          <w:i/>
          <w:iCs/>
          <w:sz w:val="24"/>
          <w:shd w:val="clear" w:color="auto" w:fill="FFFFFF"/>
          <w:lang w:val="lt-LT"/>
        </w:rPr>
        <w:t xml:space="preserve"> </w:t>
      </w:r>
      <w:proofErr w:type="spellStart"/>
      <w:r w:rsidRPr="00C03C7A">
        <w:rPr>
          <w:i/>
          <w:iCs/>
          <w:sz w:val="24"/>
          <w:shd w:val="clear" w:color="auto" w:fill="FFFFFF"/>
          <w:lang w:val="lt-LT"/>
        </w:rPr>
        <w:t>Sciences</w:t>
      </w:r>
      <w:proofErr w:type="spellEnd"/>
      <w:r w:rsidRPr="00C03C7A">
        <w:rPr>
          <w:i/>
          <w:iCs/>
          <w:sz w:val="24"/>
          <w:shd w:val="clear" w:color="auto" w:fill="FFFFFF"/>
          <w:lang w:val="lt-LT"/>
        </w:rPr>
        <w:t xml:space="preserve"> </w:t>
      </w:r>
      <w:proofErr w:type="spellStart"/>
      <w:r w:rsidRPr="00C03C7A">
        <w:rPr>
          <w:i/>
          <w:iCs/>
          <w:sz w:val="24"/>
          <w:shd w:val="clear" w:color="auto" w:fill="FFFFFF"/>
          <w:lang w:val="lt-LT"/>
        </w:rPr>
        <w:t>Europe</w:t>
      </w:r>
      <w:proofErr w:type="spellEnd"/>
      <w:r w:rsidRPr="00C03C7A">
        <w:rPr>
          <w:sz w:val="24"/>
          <w:shd w:val="clear" w:color="auto" w:fill="FFFFFF"/>
          <w:lang w:val="lt-LT"/>
        </w:rPr>
        <w:t xml:space="preserve">, 2012 m. rugsėjo 28 d., </w:t>
      </w:r>
      <w:proofErr w:type="spellStart"/>
      <w:r w:rsidRPr="00C03C7A">
        <w:rPr>
          <w:sz w:val="24"/>
          <w:shd w:val="clear" w:color="auto" w:fill="FFFFFF"/>
          <w:lang w:val="lt-LT"/>
        </w:rPr>
        <w:t>Vol</w:t>
      </w:r>
      <w:proofErr w:type="spellEnd"/>
      <w:r w:rsidRPr="00C03C7A">
        <w:rPr>
          <w:sz w:val="24"/>
          <w:shd w:val="clear" w:color="auto" w:fill="FFFFFF"/>
          <w:lang w:val="lt-LT"/>
        </w:rPr>
        <w:t xml:space="preserve">. </w:t>
      </w:r>
      <w:r w:rsidRPr="00C03C7A">
        <w:rPr>
          <w:sz w:val="24"/>
          <w:shd w:val="clear" w:color="auto" w:fill="FFFFFF"/>
          <w:lang w:val="lt-LT"/>
        </w:rPr>
        <w:t xml:space="preserve">24(1), </w:t>
      </w:r>
      <w:bookmarkStart w:id="15" w:name="_Hlk219208485"/>
      <w:r w:rsidRPr="00C03C7A">
        <w:rPr>
          <w:sz w:val="24"/>
          <w:lang w:val="lt-LT"/>
        </w:rPr>
        <w:fldChar w:fldCharType="begin"/>
      </w:r>
      <w:r w:rsidRPr="00C03C7A">
        <w:rPr>
          <w:sz w:val="24"/>
          <w:lang w:val="lt-LT"/>
        </w:rPr>
        <w:instrText>HYPERLINK "https://doi.org/10.1186/2190-4715-24-24"</w:instrText>
      </w:r>
      <w:r w:rsidRPr="00C03C7A">
        <w:rPr>
          <w:sz w:val="24"/>
          <w:lang w:val="lt-LT"/>
        </w:rPr>
      </w:r>
      <w:r w:rsidRPr="00C03C7A">
        <w:rPr>
          <w:sz w:val="24"/>
          <w:lang w:val="lt-LT"/>
        </w:rPr>
        <w:fldChar w:fldCharType="separate"/>
      </w:r>
      <w:r w:rsidRPr="00C03C7A">
        <w:rPr>
          <w:rStyle w:val="Hyperlink"/>
          <w:sz w:val="24"/>
          <w:lang w:val="lt-LT"/>
        </w:rPr>
        <w:t>https://doi.org/10.1186/2190-4715-24-24</w:t>
      </w:r>
      <w:r w:rsidRPr="00C03C7A">
        <w:rPr>
          <w:sz w:val="24"/>
          <w:lang w:val="lt-LT"/>
        </w:rPr>
        <w:fldChar w:fldCharType="end"/>
      </w:r>
      <w:r w:rsidRPr="00C03C7A">
        <w:rPr>
          <w:sz w:val="24"/>
          <w:lang w:val="lt-LT"/>
        </w:rPr>
        <w:t>.</w:t>
      </w:r>
      <w:bookmarkEnd w:id="15"/>
      <w:r w:rsidRPr="00C03C7A">
        <w:rPr>
          <w:sz w:val="24"/>
          <w:shd w:val="clear" w:color="auto" w:fill="FFFFFF"/>
          <w:lang w:val="lt-LT"/>
        </w:rPr>
        <w:t xml:space="preserve"> </w:t>
      </w:r>
    </w:p>
  </w:footnote>
  <w:footnote w:id="8">
    <w:p w14:paraId="6949D559" w14:textId="56E7103D" w:rsidR="001D3A77" w:rsidRPr="00C03C7A" w:rsidRDefault="001D3A77" w:rsidP="00C03C7A">
      <w:pPr>
        <w:pStyle w:val="FootnoteText"/>
        <w:ind w:left="567" w:hanging="567"/>
        <w:rPr>
          <w:sz w:val="24"/>
          <w:lang w:val="lt-LT"/>
        </w:rPr>
      </w:pPr>
      <w:r w:rsidRPr="00C03C7A">
        <w:rPr>
          <w:rStyle w:val="FootnoteReference"/>
          <w:sz w:val="24"/>
          <w:lang w:val="lt-LT"/>
        </w:rPr>
        <w:footnoteRef/>
      </w:r>
      <w:r w:rsidR="00C03C7A" w:rsidRPr="00C03C7A">
        <w:rPr>
          <w:sz w:val="24"/>
          <w:lang w:val="lt-LT"/>
        </w:rPr>
        <w:t xml:space="preserve"> </w:t>
      </w:r>
      <w:r w:rsidR="00C03C7A" w:rsidRPr="00C03C7A">
        <w:rPr>
          <w:sz w:val="24"/>
          <w:lang w:val="lt-LT"/>
        </w:rPr>
        <w:tab/>
      </w:r>
      <w:r w:rsidRPr="00C03C7A">
        <w:rPr>
          <w:sz w:val="24"/>
          <w:lang w:val="lt-LT"/>
        </w:rPr>
        <w:t>Žr., pavyzdžiui:</w:t>
      </w:r>
      <w:bookmarkStart w:id="16" w:name="_Hlk219286352"/>
      <w:bookmarkStart w:id="17" w:name="_Hlk219208511"/>
      <w:r w:rsidRPr="00C03C7A">
        <w:rPr>
          <w:rStyle w:val="Hyperlink"/>
          <w:sz w:val="24"/>
          <w:lang w:val="lt-LT"/>
        </w:rPr>
        <w:t xml:space="preserve"> </w:t>
      </w:r>
      <w:hyperlink r:id="rId16" w:history="1">
        <w:r w:rsidRPr="00C03C7A">
          <w:rPr>
            <w:rStyle w:val="Hyperlink"/>
            <w:sz w:val="24"/>
            <w:lang w:val="lt-LT"/>
          </w:rPr>
          <w:t>https://doi.org/10.1002/ps.8105</w:t>
        </w:r>
      </w:hyperlink>
      <w:r w:rsidRPr="00C03C7A">
        <w:rPr>
          <w:sz w:val="24"/>
          <w:shd w:val="clear" w:color="auto" w:fill="FFFFFF"/>
          <w:lang w:val="lt-LT"/>
        </w:rPr>
        <w:t xml:space="preserve"> ir</w:t>
      </w:r>
      <w:bookmarkEnd w:id="16"/>
      <w:r w:rsidRPr="00C03C7A">
        <w:rPr>
          <w:sz w:val="24"/>
          <w:shd w:val="clear" w:color="auto" w:fill="FFFFFF"/>
          <w:lang w:val="lt-LT"/>
        </w:rPr>
        <w:t xml:space="preserve"> </w:t>
      </w:r>
      <w:hyperlink r:id="rId17" w:history="1">
        <w:r w:rsidRPr="00C03C7A">
          <w:rPr>
            <w:rStyle w:val="Hyperlink"/>
            <w:sz w:val="24"/>
            <w:lang w:val="lt-LT"/>
          </w:rPr>
          <w:t>https://doi.org/10.1016/j.geoforum.2009.03.009</w:t>
        </w:r>
      </w:hyperlink>
      <w:r w:rsidRPr="00C03C7A">
        <w:rPr>
          <w:sz w:val="24"/>
          <w:lang w:val="lt-LT"/>
        </w:rPr>
        <w:t>.</w:t>
      </w:r>
      <w:bookmarkEnd w:id="17"/>
    </w:p>
  </w:footnote>
  <w:footnote w:id="9">
    <w:p w14:paraId="508AB283" w14:textId="5529A92F" w:rsidR="001D3A77" w:rsidRPr="00C03C7A" w:rsidRDefault="001D3A77" w:rsidP="00C03C7A">
      <w:pPr>
        <w:pStyle w:val="FootnoteText"/>
        <w:ind w:left="567" w:hanging="567"/>
        <w:rPr>
          <w:sz w:val="24"/>
          <w:lang w:val="lt-LT"/>
        </w:rPr>
      </w:pPr>
      <w:r w:rsidRPr="00C03C7A">
        <w:rPr>
          <w:rStyle w:val="FootnoteReference"/>
          <w:sz w:val="24"/>
          <w:lang w:val="lt-LT"/>
        </w:rPr>
        <w:footnoteRef/>
      </w:r>
      <w:r w:rsidR="00C03C7A" w:rsidRPr="00C03C7A">
        <w:rPr>
          <w:sz w:val="24"/>
          <w:lang w:val="lt-LT"/>
        </w:rPr>
        <w:t xml:space="preserve"> </w:t>
      </w:r>
      <w:r w:rsidR="00C03C7A" w:rsidRPr="00C03C7A">
        <w:rPr>
          <w:sz w:val="24"/>
          <w:lang w:val="lt-LT"/>
        </w:rPr>
        <w:tab/>
      </w:r>
      <w:r w:rsidRPr="00C03C7A">
        <w:rPr>
          <w:sz w:val="24"/>
          <w:lang w:val="lt-LT"/>
        </w:rPr>
        <w:t>2009 m. spalio 21 d. Europos Parlamento ir Tarybos reglamentas (EB) Nr. 1107/2009 dėl augalų apsaugos produktų pateikimo į rinką ir panaikinantis Tarybos direktyvas 79/117/EEB ir 91/414/EEB (OL L 309, 2009 11 24, p. 1, ELI: </w:t>
      </w:r>
      <w:hyperlink r:id="rId18" w:tooltip="Prieiga prie šio dokumento suteikiama per ELI sistemoje jam suteiktą URI." w:history="1">
        <w:r w:rsidRPr="00C03C7A">
          <w:rPr>
            <w:rStyle w:val="Hyperlink"/>
            <w:sz w:val="24"/>
            <w:lang w:val="lt-LT"/>
          </w:rPr>
          <w:t>http://data.europa.eu/eli/reg/2009/1107/oj</w:t>
        </w:r>
      </w:hyperlink>
      <w:r w:rsidRPr="00C03C7A">
        <w:rPr>
          <w:sz w:val="24"/>
          <w:lang w:val="lt-LT"/>
        </w:rPr>
        <w:t>).</w:t>
      </w:r>
    </w:p>
  </w:footnote>
  <w:footnote w:id="10">
    <w:p w14:paraId="73EF3D1A" w14:textId="4ABFF374" w:rsidR="001D3A77" w:rsidRPr="00C03C7A" w:rsidRDefault="001D3A77" w:rsidP="00C03C7A">
      <w:pPr>
        <w:pStyle w:val="FootnoteText"/>
        <w:ind w:left="567" w:hanging="567"/>
        <w:rPr>
          <w:sz w:val="24"/>
          <w:lang w:val="lt-LT"/>
        </w:rPr>
      </w:pPr>
      <w:r w:rsidRPr="00C03C7A">
        <w:rPr>
          <w:rStyle w:val="FootnoteReference"/>
          <w:sz w:val="24"/>
          <w:lang w:val="lt-LT"/>
        </w:rPr>
        <w:footnoteRef/>
      </w:r>
      <w:r w:rsidR="00C03C7A" w:rsidRPr="00C03C7A">
        <w:rPr>
          <w:sz w:val="24"/>
          <w:lang w:val="lt-LT"/>
        </w:rPr>
        <w:t xml:space="preserve"> </w:t>
      </w:r>
      <w:r w:rsidR="00C03C7A" w:rsidRPr="00C03C7A">
        <w:rPr>
          <w:sz w:val="24"/>
          <w:lang w:val="lt-LT"/>
        </w:rPr>
        <w:tab/>
      </w:r>
      <w:r w:rsidRPr="00C03C7A">
        <w:rPr>
          <w:sz w:val="24"/>
          <w:lang w:val="lt-LT"/>
        </w:rPr>
        <w:t xml:space="preserve">2022 m. gruodžio mėn. Jungtinių Tautų biologinės įvairovės konvencijos COP15 metu susitarta dėl pasaulinės biologinės įvairovės strategijos, į kurią įtrauktas pasaulinis tikslas iki 2030 m. bent 50 proc. sumažinti pesticidų keliamą riziką (žr. </w:t>
      </w:r>
      <w:hyperlink r:id="rId19" w:history="1">
        <w:r w:rsidRPr="00C03C7A">
          <w:rPr>
            <w:rStyle w:val="Hyperlink"/>
            <w:sz w:val="24"/>
            <w:lang w:val="lt-LT"/>
          </w:rPr>
          <w:t>https://ec.europa.eu/commission/presscorner/detail/lt/ip_22_7834</w:t>
        </w:r>
      </w:hyperlink>
      <w:r w:rsidRPr="00C03C7A">
        <w:rPr>
          <w:sz w:val="24"/>
          <w:lang w:val="lt-LT"/>
        </w:rPr>
        <w:t xml:space="preserve">). </w:t>
      </w:r>
    </w:p>
  </w:footnote>
  <w:footnote w:id="11">
    <w:p w14:paraId="3C0815C4" w14:textId="28C11122" w:rsidR="001D3A77" w:rsidRPr="00C03C7A" w:rsidRDefault="001D3A77" w:rsidP="00C03C7A">
      <w:pPr>
        <w:pStyle w:val="FootnoteText"/>
        <w:ind w:left="567" w:hanging="567"/>
        <w:rPr>
          <w:sz w:val="24"/>
          <w:lang w:val="lt-LT"/>
        </w:rPr>
      </w:pPr>
      <w:r w:rsidRPr="00C03C7A">
        <w:rPr>
          <w:rStyle w:val="FootnoteReference"/>
          <w:sz w:val="24"/>
          <w:lang w:val="lt-LT"/>
        </w:rPr>
        <w:footnoteRef/>
      </w:r>
      <w:r w:rsidR="00C03C7A" w:rsidRPr="00C03C7A">
        <w:rPr>
          <w:sz w:val="24"/>
          <w:lang w:val="lt-LT"/>
        </w:rPr>
        <w:t xml:space="preserve"> </w:t>
      </w:r>
      <w:r w:rsidR="00C03C7A" w:rsidRPr="00C03C7A">
        <w:rPr>
          <w:sz w:val="24"/>
          <w:lang w:val="lt-LT"/>
        </w:rPr>
        <w:tab/>
      </w:r>
      <w:hyperlink r:id="rId20" w:history="1">
        <w:r w:rsidRPr="00C03C7A">
          <w:rPr>
            <w:rStyle w:val="Hyperlink"/>
            <w:sz w:val="24"/>
            <w:lang w:val="lt-LT"/>
          </w:rPr>
          <w:t>https://commission.europa.eu/topics/agriculture-and-rural-development/strategic-dialogue-future-eu-agriculture_lt</w:t>
        </w:r>
      </w:hyperlink>
      <w:r w:rsidRPr="00C03C7A">
        <w:rPr>
          <w:rStyle w:val="Hyperlink"/>
          <w:sz w:val="24"/>
          <w:lang w:val="lt-LT"/>
        </w:rPr>
        <w:t>.</w:t>
      </w:r>
      <w:r w:rsidRPr="00C03C7A">
        <w:rPr>
          <w:sz w:val="24"/>
          <w:lang w:val="lt-LT"/>
        </w:rPr>
        <w:t xml:space="preserve"> </w:t>
      </w:r>
    </w:p>
  </w:footnote>
  <w:footnote w:id="12">
    <w:p w14:paraId="1D37DBD8" w14:textId="796C9926" w:rsidR="001D3A77" w:rsidRPr="00C03C7A" w:rsidRDefault="001D3A77" w:rsidP="00C03C7A">
      <w:pPr>
        <w:pStyle w:val="FootnoteText"/>
        <w:ind w:left="567" w:hanging="567"/>
        <w:rPr>
          <w:sz w:val="24"/>
          <w:lang w:val="lt-LT"/>
        </w:rPr>
      </w:pPr>
      <w:r w:rsidRPr="00C03C7A">
        <w:rPr>
          <w:rStyle w:val="FootnoteReference"/>
          <w:sz w:val="24"/>
          <w:lang w:val="lt-LT"/>
        </w:rPr>
        <w:footnoteRef/>
      </w:r>
      <w:r w:rsidR="00C03C7A" w:rsidRPr="00C03C7A">
        <w:rPr>
          <w:sz w:val="24"/>
          <w:lang w:val="lt-LT"/>
        </w:rPr>
        <w:t xml:space="preserve"> </w:t>
      </w:r>
      <w:r w:rsidR="00C03C7A" w:rsidRPr="00C03C7A">
        <w:rPr>
          <w:sz w:val="24"/>
          <w:lang w:val="lt-LT"/>
        </w:rPr>
        <w:tab/>
      </w:r>
      <w:r w:rsidRPr="00C03C7A">
        <w:rPr>
          <w:sz w:val="24"/>
          <w:lang w:val="lt-LT"/>
        </w:rPr>
        <w:t>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 ELI:</w:t>
      </w:r>
      <w:r w:rsidRPr="00C03C7A">
        <w:rPr>
          <w:color w:val="000000" w:themeColor="text1"/>
          <w:sz w:val="24"/>
          <w:lang w:val="lt-LT"/>
        </w:rPr>
        <w:t> </w:t>
      </w:r>
      <w:hyperlink r:id="rId21" w:tgtFrame="Gives access to this document through its ELI URI." w:history="1">
        <w:r w:rsidRPr="00C03C7A">
          <w:rPr>
            <w:rStyle w:val="Hyperlink"/>
            <w:color w:val="0070C0"/>
            <w:sz w:val="24"/>
            <w:lang w:val="lt-LT"/>
          </w:rPr>
          <w:t>http://data.europa.eu/eli/reg/2002/178/oj</w:t>
        </w:r>
      </w:hyperlink>
      <w:r w:rsidRPr="00C03C7A">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8761838">
    <w:abstractNumId w:val="9"/>
  </w:num>
  <w:num w:numId="2" w16cid:durableId="1187332777">
    <w:abstractNumId w:val="9"/>
  </w:num>
  <w:num w:numId="3" w16cid:durableId="1299146212">
    <w:abstractNumId w:val="7"/>
  </w:num>
  <w:num w:numId="4" w16cid:durableId="1366566641">
    <w:abstractNumId w:val="7"/>
  </w:num>
  <w:num w:numId="5" w16cid:durableId="1558664166">
    <w:abstractNumId w:val="6"/>
  </w:num>
  <w:num w:numId="6" w16cid:durableId="1687362107">
    <w:abstractNumId w:val="6"/>
  </w:num>
  <w:num w:numId="7" w16cid:durableId="1534462931">
    <w:abstractNumId w:val="5"/>
  </w:num>
  <w:num w:numId="8" w16cid:durableId="1872717282">
    <w:abstractNumId w:val="5"/>
  </w:num>
  <w:num w:numId="9" w16cid:durableId="243102730">
    <w:abstractNumId w:val="4"/>
  </w:num>
  <w:num w:numId="10" w16cid:durableId="2081172068">
    <w:abstractNumId w:val="4"/>
  </w:num>
  <w:num w:numId="11" w16cid:durableId="1811248016">
    <w:abstractNumId w:val="8"/>
  </w:num>
  <w:num w:numId="12" w16cid:durableId="1413700293">
    <w:abstractNumId w:val="8"/>
  </w:num>
  <w:num w:numId="13" w16cid:durableId="589503946">
    <w:abstractNumId w:val="3"/>
  </w:num>
  <w:num w:numId="14" w16cid:durableId="2117603723">
    <w:abstractNumId w:val="3"/>
  </w:num>
  <w:num w:numId="15" w16cid:durableId="1253004140">
    <w:abstractNumId w:val="2"/>
  </w:num>
  <w:num w:numId="16" w16cid:durableId="1829124930">
    <w:abstractNumId w:val="2"/>
  </w:num>
  <w:num w:numId="17" w16cid:durableId="176192510">
    <w:abstractNumId w:val="1"/>
  </w:num>
  <w:num w:numId="18" w16cid:durableId="1976787613">
    <w:abstractNumId w:val="1"/>
  </w:num>
  <w:num w:numId="19" w16cid:durableId="2069302391">
    <w:abstractNumId w:val="0"/>
  </w:num>
  <w:num w:numId="20" w16cid:durableId="1978031336">
    <w:abstractNumId w:val="0"/>
  </w:num>
  <w:num w:numId="21" w16cid:durableId="932779776">
    <w:abstractNumId w:val="9"/>
  </w:num>
  <w:num w:numId="22" w16cid:durableId="1915236766">
    <w:abstractNumId w:val="7"/>
  </w:num>
  <w:num w:numId="23" w16cid:durableId="1943413847">
    <w:abstractNumId w:val="6"/>
  </w:num>
  <w:num w:numId="24" w16cid:durableId="566958284">
    <w:abstractNumId w:val="5"/>
  </w:num>
  <w:num w:numId="25" w16cid:durableId="1401977274">
    <w:abstractNumId w:val="4"/>
  </w:num>
  <w:num w:numId="26" w16cid:durableId="530924359">
    <w:abstractNumId w:val="8"/>
  </w:num>
  <w:num w:numId="27" w16cid:durableId="1541631985">
    <w:abstractNumId w:val="3"/>
  </w:num>
  <w:num w:numId="28" w16cid:durableId="1059934267">
    <w:abstractNumId w:val="2"/>
  </w:num>
  <w:num w:numId="29" w16cid:durableId="236480191">
    <w:abstractNumId w:val="1"/>
  </w:num>
  <w:num w:numId="30" w16cid:durableId="2113353066">
    <w:abstractNumId w:val="0"/>
  </w:num>
  <w:num w:numId="31" w16cid:durableId="675961965">
    <w:abstractNumId w:val="9"/>
  </w:num>
  <w:num w:numId="32" w16cid:durableId="342828030">
    <w:abstractNumId w:val="7"/>
  </w:num>
  <w:num w:numId="33" w16cid:durableId="1189181613">
    <w:abstractNumId w:val="6"/>
  </w:num>
  <w:num w:numId="34" w16cid:durableId="14890841">
    <w:abstractNumId w:val="5"/>
  </w:num>
  <w:num w:numId="35" w16cid:durableId="1065763353">
    <w:abstractNumId w:val="4"/>
  </w:num>
  <w:num w:numId="36" w16cid:durableId="205684524">
    <w:abstractNumId w:val="8"/>
  </w:num>
  <w:num w:numId="37" w16cid:durableId="1484663991">
    <w:abstractNumId w:val="3"/>
  </w:num>
  <w:num w:numId="38" w16cid:durableId="1834371991">
    <w:abstractNumId w:val="2"/>
  </w:num>
  <w:num w:numId="39" w16cid:durableId="303854807">
    <w:abstractNumId w:val="1"/>
  </w:num>
  <w:num w:numId="40" w16cid:durableId="2112846905">
    <w:abstractNumId w:val="0"/>
  </w:num>
  <w:num w:numId="41" w16cid:durableId="58943131">
    <w:abstractNumId w:val="10"/>
  </w:num>
  <w:num w:numId="42" w16cid:durableId="337932018">
    <w:abstractNumId w:val="10"/>
  </w:num>
  <w:num w:numId="43" w16cid:durableId="461382176">
    <w:abstractNumId w:val="10"/>
  </w:num>
  <w:num w:numId="44" w16cid:durableId="4606175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6/2026"/>
    <w:docVar w:name="dvlangue" w:val="LT"/>
    <w:docVar w:name="dvnumam" w:val="0"/>
    <w:docVar w:name="dvpe" w:val="782.204"/>
    <w:docVar w:name="dvtitre" w:val="2026 m. ... ... d. Europos Parlamento rezoliucija dėl Komisijos įgyvendinimo sprendimo, kuriuo pagal Europos Parlamento ir Tarybos reglamentą (EB) Nr. 1829/2003 atnaujinamas leidimas pateikti rinkai produktus, kurių sudėtyje yra genetiškai modifikuotų kukurūzų T25 (ACS-ZMØØ3-2), kurie iš jų sudaryti arba kurie iš jų pagaminti, projekto(D111473/02 – 2026/2535(RSP))"/>
  </w:docVars>
  <w:rsids>
    <w:rsidRoot w:val="00A163C9"/>
    <w:rsid w:val="00002272"/>
    <w:rsid w:val="00064002"/>
    <w:rsid w:val="000677B9"/>
    <w:rsid w:val="000831BA"/>
    <w:rsid w:val="000A42CC"/>
    <w:rsid w:val="000E7DD9"/>
    <w:rsid w:val="0010095E"/>
    <w:rsid w:val="00115559"/>
    <w:rsid w:val="00125B37"/>
    <w:rsid w:val="00186B47"/>
    <w:rsid w:val="00187494"/>
    <w:rsid w:val="001D3A77"/>
    <w:rsid w:val="001F32AE"/>
    <w:rsid w:val="002767FF"/>
    <w:rsid w:val="002B18FE"/>
    <w:rsid w:val="002B5493"/>
    <w:rsid w:val="002F1C94"/>
    <w:rsid w:val="00343214"/>
    <w:rsid w:val="00361C00"/>
    <w:rsid w:val="00395FA1"/>
    <w:rsid w:val="003E15D4"/>
    <w:rsid w:val="0040438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0458"/>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F65"/>
    <w:rsid w:val="00930C23"/>
    <w:rsid w:val="0093193B"/>
    <w:rsid w:val="009509D8"/>
    <w:rsid w:val="00950B64"/>
    <w:rsid w:val="00981893"/>
    <w:rsid w:val="00A163C9"/>
    <w:rsid w:val="00A1687D"/>
    <w:rsid w:val="00A43E52"/>
    <w:rsid w:val="00A4678D"/>
    <w:rsid w:val="00A678BC"/>
    <w:rsid w:val="00A778C7"/>
    <w:rsid w:val="00AB441E"/>
    <w:rsid w:val="00AB6293"/>
    <w:rsid w:val="00AE0928"/>
    <w:rsid w:val="00AF3B82"/>
    <w:rsid w:val="00B12E95"/>
    <w:rsid w:val="00B22876"/>
    <w:rsid w:val="00B34446"/>
    <w:rsid w:val="00B558F0"/>
    <w:rsid w:val="00BD48FE"/>
    <w:rsid w:val="00BD7BD8"/>
    <w:rsid w:val="00BE6ADC"/>
    <w:rsid w:val="00C03C7A"/>
    <w:rsid w:val="00C05BFE"/>
    <w:rsid w:val="00C23CD4"/>
    <w:rsid w:val="00C61C0C"/>
    <w:rsid w:val="00C846AE"/>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5C0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3FD1B9"/>
  <w15:chartTrackingRefBased/>
  <w15:docId w15:val="{E51326E3-B19D-4C4D-91C7-0DCFFCB54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1D3A77"/>
    <w:pPr>
      <w:spacing w:before="480" w:after="240"/>
    </w:pPr>
  </w:style>
  <w:style w:type="paragraph" w:customStyle="1" w:styleId="NormalHanging12a">
    <w:name w:val="NormalHanging12a"/>
    <w:basedOn w:val="Normal"/>
    <w:uiPriority w:val="99"/>
    <w:qFormat/>
    <w:rsid w:val="001D3A77"/>
    <w:pPr>
      <w:spacing w:after="240"/>
      <w:ind w:left="567" w:hanging="567"/>
    </w:pPr>
  </w:style>
  <w:style w:type="character" w:styleId="Hyperlink">
    <w:name w:val="Hyperlink"/>
    <w:basedOn w:val="DefaultParagraphFont"/>
    <w:uiPriority w:val="99"/>
    <w:rsid w:val="001D3A77"/>
    <w:rPr>
      <w:color w:val="0563C1" w:themeColor="hyperlink"/>
      <w:u w:val="single"/>
    </w:rPr>
  </w:style>
  <w:style w:type="paragraph" w:styleId="NormalWeb">
    <w:name w:val="Normal (Web)"/>
    <w:basedOn w:val="Normal"/>
    <w:uiPriority w:val="99"/>
    <w:unhideWhenUsed/>
    <w:rsid w:val="001D3A77"/>
    <w:pPr>
      <w:widowControl/>
      <w:spacing w:before="100" w:beforeAutospacing="1" w:after="100" w:afterAutospacing="1"/>
    </w:pPr>
    <w:rPr>
      <w:szCs w:val="24"/>
    </w:rPr>
  </w:style>
  <w:style w:type="paragraph" w:styleId="Revision">
    <w:name w:val="Revision"/>
    <w:hidden/>
    <w:uiPriority w:val="99"/>
    <w:semiHidden/>
    <w:rsid w:val="00B3444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3" Type="http://schemas.openxmlformats.org/officeDocument/2006/relationships/hyperlink" Target="https://doi.org/10.2903/j.efsa.2025.9570" TargetMode="External"/><Relationship Id="rId21" Type="http://schemas.openxmlformats.org/officeDocument/2006/relationships/hyperlink" Target="http://data.europa.eu/eli/reg/2002/178/oj"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commission.europa.eu/topics/agriculture-and-rural-development/strategic-dialogue-future-eu-agriculture_lt"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3.3356" TargetMode="External"/><Relationship Id="rId10" Type="http://schemas.openxmlformats.org/officeDocument/2006/relationships/hyperlink" Target="http://data.europa.eu/eli/C/2025/1803/oj" TargetMode="External"/><Relationship Id="rId19" Type="http://schemas.openxmlformats.org/officeDocument/2006/relationships/hyperlink" Target="https://ec.europa.eu/commission/presscorner/detail/lt/ip_22_783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1262</Words>
  <Characters>8692</Characters>
  <Application>Microsoft Office Word</Application>
  <DocSecurity>0</DocSecurity>
  <Lines>184</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KRANKALIENĖ Neringa</cp:lastModifiedBy>
  <cp:revision>2</cp:revision>
  <cp:lastPrinted>2004-11-19T15:42:00Z</cp:lastPrinted>
  <dcterms:created xsi:type="dcterms:W3CDTF">2026-03-19T13:35:00Z</dcterms:created>
  <dcterms:modified xsi:type="dcterms:W3CDTF">2026-03-19T13:35:00Z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B10-0106/2026</vt:lpwstr>
  </property>
  <property fmtid="{D5CDD505-2E9C-101B-9397-08002B2CF9AE}" pid="4" name="&lt;Type&gt;">
    <vt:lpwstr>RR</vt:lpwstr>
  </property>
</Properties>
</file>