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6706" w14:paraId="1CC4F19E" w14:textId="77777777" w:rsidTr="0010095E">
        <w:trPr>
          <w:trHeight w:hRule="exact" w:val="1418"/>
        </w:trPr>
        <w:tc>
          <w:tcPr>
            <w:tcW w:w="6804" w:type="dxa"/>
            <w:shd w:val="clear" w:color="auto" w:fill="auto"/>
            <w:vAlign w:val="center"/>
          </w:tcPr>
          <w:p w14:paraId="448B1DD6" w14:textId="77777777" w:rsidR="00751A4A" w:rsidRPr="007E6706" w:rsidRDefault="003F6FD7" w:rsidP="0010095E">
            <w:pPr>
              <w:pStyle w:val="EPName"/>
            </w:pPr>
            <w:r w:rsidRPr="007E6706">
              <w:t>Eiropas Parlaments</w:t>
            </w:r>
          </w:p>
          <w:p w14:paraId="2804782E" w14:textId="77777777" w:rsidR="00751A4A" w:rsidRPr="007E6706" w:rsidRDefault="005F1B17" w:rsidP="005F1B17">
            <w:pPr>
              <w:pStyle w:val="EPTerm"/>
              <w:rPr>
                <w:rStyle w:val="HideTWBExt"/>
                <w:noProof w:val="0"/>
                <w:vanish w:val="0"/>
                <w:color w:val="auto"/>
              </w:rPr>
            </w:pPr>
            <w:r w:rsidRPr="007E6706">
              <w:t>2024</w:t>
            </w:r>
            <w:r w:rsidR="00817416" w:rsidRPr="007E6706">
              <w:t>-202</w:t>
            </w:r>
            <w:r w:rsidRPr="007E6706">
              <w:t>9</w:t>
            </w:r>
          </w:p>
        </w:tc>
        <w:tc>
          <w:tcPr>
            <w:tcW w:w="2268" w:type="dxa"/>
            <w:shd w:val="clear" w:color="auto" w:fill="auto"/>
          </w:tcPr>
          <w:p w14:paraId="4E834398" w14:textId="77777777" w:rsidR="00751A4A" w:rsidRPr="007E6706" w:rsidRDefault="00187494" w:rsidP="0010095E">
            <w:pPr>
              <w:pStyle w:val="EPLogo"/>
            </w:pPr>
            <w:r w:rsidRPr="007E6706">
              <w:rPr>
                <w:noProof/>
                <w:lang w:eastAsia="ja-JP"/>
              </w:rPr>
              <w:drawing>
                <wp:inline distT="0" distB="0" distL="0" distR="0" wp14:anchorId="1600CCE3" wp14:editId="37C0DE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75F43E" w14:textId="77777777" w:rsidR="00D058B8" w:rsidRPr="007E6706" w:rsidRDefault="00D058B8" w:rsidP="004C5D52">
      <w:pPr>
        <w:pStyle w:val="LineTop"/>
      </w:pPr>
    </w:p>
    <w:p w14:paraId="2A27D10E" w14:textId="77777777" w:rsidR="00680577" w:rsidRPr="007E6706" w:rsidRDefault="003F6FD7" w:rsidP="00680577">
      <w:pPr>
        <w:pStyle w:val="EPBodyTA1"/>
      </w:pPr>
      <w:r w:rsidRPr="007E6706">
        <w:t>PIEŅEMTIE TEKSTI</w:t>
      </w:r>
    </w:p>
    <w:p w14:paraId="548BDA74" w14:textId="77777777" w:rsidR="00D058B8" w:rsidRPr="007E6706" w:rsidRDefault="00D058B8" w:rsidP="00D058B8">
      <w:pPr>
        <w:pStyle w:val="LineBottom"/>
      </w:pPr>
    </w:p>
    <w:p w14:paraId="14488237" w14:textId="590BF8E2" w:rsidR="003F6FD7" w:rsidRPr="007E6706" w:rsidRDefault="003F6FD7" w:rsidP="003F6FD7">
      <w:pPr>
        <w:pStyle w:val="ATHeading1"/>
      </w:pPr>
      <w:bookmarkStart w:id="0" w:name="TANumber"/>
      <w:r w:rsidRPr="007E6706">
        <w:t>P10_TA(2026)00</w:t>
      </w:r>
      <w:r w:rsidR="007E6706" w:rsidRPr="007E6706">
        <w:t>42</w:t>
      </w:r>
      <w:bookmarkEnd w:id="0"/>
    </w:p>
    <w:p w14:paraId="3CB824F0" w14:textId="69DDB920" w:rsidR="003F6FD7" w:rsidRPr="007E6706" w:rsidRDefault="00FD368B" w:rsidP="00FD368B">
      <w:pPr>
        <w:pStyle w:val="ATHeading2"/>
      </w:pPr>
      <w:bookmarkStart w:id="1" w:name="title"/>
      <w:r w:rsidRPr="007E6706">
        <w:rPr>
          <w:bCs/>
        </w:rPr>
        <w:t xml:space="preserve">Ģenētiski modificēta kukurūza </w:t>
      </w:r>
      <w:r w:rsidRPr="00E9343A">
        <w:rPr>
          <w:bCs/>
        </w:rPr>
        <w:t>T25 (ACS-ZMØØ3-2</w:t>
      </w:r>
      <w:r w:rsidRPr="007E6706">
        <w:rPr>
          <w:bCs/>
        </w:rPr>
        <w:t>)</w:t>
      </w:r>
      <w:bookmarkEnd w:id="1"/>
    </w:p>
    <w:p w14:paraId="7F6DE46C" w14:textId="77777777" w:rsidR="003F6FD7" w:rsidRPr="007E6706" w:rsidRDefault="003F6FD7" w:rsidP="003F6FD7">
      <w:pPr>
        <w:rPr>
          <w:i/>
          <w:vanish/>
        </w:rPr>
      </w:pPr>
      <w:r w:rsidRPr="007E6706">
        <w:rPr>
          <w:i/>
        </w:rPr>
        <w:fldChar w:fldCharType="begin"/>
      </w:r>
      <w:r w:rsidRPr="007E6706">
        <w:rPr>
          <w:i/>
        </w:rPr>
        <w:instrText xml:space="preserve"> TC"(</w:instrText>
      </w:r>
      <w:bookmarkStart w:id="2" w:name="DocNumber"/>
      <w:r w:rsidRPr="007E6706">
        <w:rPr>
          <w:i/>
        </w:rPr>
        <w:instrText>B10-0106/2026</w:instrText>
      </w:r>
      <w:bookmarkEnd w:id="2"/>
      <w:r w:rsidRPr="007E6706">
        <w:rPr>
          <w:i/>
        </w:rPr>
        <w:instrText xml:space="preserve">)"\l3 \n&gt; \* MERGEFORMAT </w:instrText>
      </w:r>
      <w:r w:rsidRPr="007E6706">
        <w:rPr>
          <w:i/>
        </w:rPr>
        <w:fldChar w:fldCharType="end"/>
      </w:r>
    </w:p>
    <w:p w14:paraId="35E11040" w14:textId="77777777" w:rsidR="003F6FD7" w:rsidRPr="007E6706" w:rsidRDefault="003F6FD7" w:rsidP="003F6FD7">
      <w:pPr>
        <w:rPr>
          <w:vanish/>
        </w:rPr>
      </w:pPr>
      <w:bookmarkStart w:id="3" w:name="PE"/>
      <w:r w:rsidRPr="007E6706">
        <w:rPr>
          <w:vanish/>
        </w:rPr>
        <w:t>PE782.204</w:t>
      </w:r>
      <w:bookmarkEnd w:id="3"/>
    </w:p>
    <w:p w14:paraId="16393B66" w14:textId="61FBB7F1" w:rsidR="003F6FD7" w:rsidRPr="007E6706" w:rsidRDefault="003F6FD7" w:rsidP="003F6FD7">
      <w:pPr>
        <w:pStyle w:val="ATHeading3"/>
      </w:pPr>
      <w:bookmarkStart w:id="4" w:name="Sujet"/>
      <w:r w:rsidRPr="007E6706">
        <w:t xml:space="preserve">Eiropas Parlamenta 2026. gada </w:t>
      </w:r>
      <w:r w:rsidR="00FD368B" w:rsidRPr="007E6706">
        <w:t>11. februāra</w:t>
      </w:r>
      <w:r w:rsidRPr="007E6706">
        <w:t xml:space="preserve"> rezolūcija par projektu Komisijas īstenošanas lēmumam, ar ko atbilstoši Eiropas Parlamenta un Padomes Regulai (EK) Nr. 1829/2003 tiek atjaunota atļauja laist tirgū produktus, kas satur ģenētiski modificētu kukurūzu T25 (ACS-ZMØØ3-2), sastāv vai ir ražoti no tās</w:t>
      </w:r>
      <w:bookmarkEnd w:id="4"/>
      <w:r w:rsidRPr="007E6706">
        <w:t xml:space="preserve"> </w:t>
      </w:r>
      <w:bookmarkStart w:id="5" w:name="References"/>
      <w:r w:rsidRPr="007E6706">
        <w:t>(D111473/02 – 2026/2535(RSP))</w:t>
      </w:r>
      <w:bookmarkEnd w:id="5"/>
    </w:p>
    <w:p w14:paraId="7C2E9F17" w14:textId="77777777" w:rsidR="0012710D" w:rsidRPr="007E6706" w:rsidRDefault="0012710D" w:rsidP="0012710D">
      <w:pPr>
        <w:pStyle w:val="EPComma"/>
      </w:pPr>
      <w:bookmarkStart w:id="6" w:name="TextBodyBegin"/>
      <w:bookmarkEnd w:id="6"/>
      <w:r w:rsidRPr="007E6706">
        <w:rPr>
          <w:i/>
          <w:iCs/>
        </w:rPr>
        <w:t>Eiropas Parlaments</w:t>
      </w:r>
      <w:r w:rsidRPr="007E6706">
        <w:t>,</w:t>
      </w:r>
    </w:p>
    <w:p w14:paraId="239A2A8C" w14:textId="77777777" w:rsidR="0012710D" w:rsidRPr="007E6706" w:rsidRDefault="0012710D" w:rsidP="0012710D">
      <w:pPr>
        <w:pStyle w:val="NormalHanging12a"/>
      </w:pPr>
      <w:r w:rsidRPr="007E6706">
        <w:t>–</w:t>
      </w:r>
      <w:r w:rsidRPr="007E6706">
        <w:tab/>
        <w:t>ņemot vērā projektu Komisijas īstenošanas lēmumam, ar kuru atbilstoši Eiropas Parlamenta un Padomes Regulai (EK) Nr. 1829/2003 atjauno atļauju laist tirgū produktus, kas satur ģenētiski modificētu kukurūzu T25 (ACS-ZMØØ3-2), sastāv vai ir ražoti no tās (D111473/02),</w:t>
      </w:r>
    </w:p>
    <w:p w14:paraId="6C5EF3A1" w14:textId="77777777" w:rsidR="0012710D" w:rsidRPr="007E6706" w:rsidRDefault="0012710D" w:rsidP="0012710D">
      <w:pPr>
        <w:pStyle w:val="NormalHanging12a"/>
      </w:pPr>
      <w:r w:rsidRPr="007E6706">
        <w:t>–</w:t>
      </w:r>
      <w:r w:rsidRPr="007E6706">
        <w:tab/>
        <w:t>ņemot vērā Eiropas Parlamenta un Padomes 2003. gada 22. septembra Regulu (EK) Nr. 1829/2003 par ģenētiski modificētu pārtiku un barību</w:t>
      </w:r>
      <w:r w:rsidRPr="007E6706">
        <w:rPr>
          <w:vertAlign w:val="superscript"/>
        </w:rPr>
        <w:footnoteReference w:id="1"/>
      </w:r>
      <w:r w:rsidRPr="007E6706">
        <w:t xml:space="preserve"> un jo īpaši tās 11. panta 3. punktu un 23. panta 3. punktu,</w:t>
      </w:r>
    </w:p>
    <w:p w14:paraId="11B55F3A" w14:textId="6B511D9F" w:rsidR="0012710D" w:rsidRPr="007E6706" w:rsidRDefault="0012710D" w:rsidP="0012710D">
      <w:pPr>
        <w:pStyle w:val="NormalHanging12a"/>
      </w:pPr>
      <w:r w:rsidRPr="007E6706">
        <w:t>–</w:t>
      </w:r>
      <w:r w:rsidRPr="007E6706">
        <w:tab/>
        <w:t xml:space="preserve">ņemot vērā Regulas (EK) Nr. 1829/2003 35. pantā minētās </w:t>
      </w:r>
      <w:bookmarkStart w:id="7" w:name="_Hlk210664905"/>
      <w:r w:rsidRPr="007E6706">
        <w:t xml:space="preserve">Augu, dzīvnieku, pārtikas aprites un dzīvnieku barības pastāvīgās komitejas </w:t>
      </w:r>
      <w:bookmarkEnd w:id="7"/>
      <w:r w:rsidRPr="007E6706">
        <w:t xml:space="preserve">2025. gada 12. decembra </w:t>
      </w:r>
      <w:bookmarkStart w:id="8" w:name="_Hlk219206382"/>
      <w:r w:rsidRPr="007E6706">
        <w:t xml:space="preserve">balsojumu, kurā atzinums netika sniegts, </w:t>
      </w:r>
      <w:bookmarkStart w:id="9" w:name="_Hlk221628043"/>
      <w:r w:rsidR="00FD368B" w:rsidRPr="007E6706">
        <w:t>un pārsūdzības komitejas 2026. gada 27. janvāra balsojumu, atkal nesniedzot atzinumu,</w:t>
      </w:r>
      <w:bookmarkEnd w:id="9"/>
    </w:p>
    <w:bookmarkEnd w:id="8"/>
    <w:p w14:paraId="7612F1BC" w14:textId="77777777" w:rsidR="0012710D" w:rsidRPr="007E6706" w:rsidRDefault="0012710D" w:rsidP="0012710D">
      <w:pPr>
        <w:pStyle w:val="NormalHanging12a"/>
      </w:pPr>
      <w:r w:rsidRPr="007E6706">
        <w:t>–</w:t>
      </w:r>
      <w:r w:rsidRPr="007E6706">
        <w:tab/>
        <w:t>ņemot vērā 11. pantu Eiropas Parlamenta un Padomes 2011. gada 16. februāra Regulā (ES) Nr. 182/2011, ar ko nosaka normas un vispārīgus principus saistībā ar dalībvalstu kontroles mehānismiem, kuri attiecas uz Komisijas īstenošanas pilnvaru izmantošanu</w:t>
      </w:r>
      <w:r w:rsidRPr="007E6706">
        <w:rPr>
          <w:vertAlign w:val="superscript"/>
        </w:rPr>
        <w:footnoteReference w:id="2"/>
      </w:r>
      <w:r w:rsidRPr="007E6706">
        <w:t>,</w:t>
      </w:r>
    </w:p>
    <w:p w14:paraId="4FD0A5F1" w14:textId="77777777" w:rsidR="0012710D" w:rsidRPr="007E6706" w:rsidRDefault="0012710D" w:rsidP="0012710D">
      <w:pPr>
        <w:pStyle w:val="NormalHanging12a"/>
      </w:pPr>
      <w:r w:rsidRPr="007E6706">
        <w:t>–</w:t>
      </w:r>
      <w:r w:rsidRPr="007E6706">
        <w:tab/>
        <w:t>ņemot vērā Eiropas Pārtikas nekaitīguma iestādes (</w:t>
      </w:r>
      <w:r w:rsidRPr="007E6706">
        <w:rPr>
          <w:i/>
          <w:iCs/>
        </w:rPr>
        <w:t>EFSA</w:t>
      </w:r>
      <w:r w:rsidRPr="007E6706">
        <w:t>) 2025. gada 30. jūnijā pieņemto atzinumu, kas publicēts 2025. gada 8. augustā</w:t>
      </w:r>
      <w:r w:rsidRPr="007E6706">
        <w:rPr>
          <w:vertAlign w:val="superscript"/>
        </w:rPr>
        <w:footnoteReference w:id="3"/>
      </w:r>
      <w:r w:rsidRPr="007E6706">
        <w:t>,</w:t>
      </w:r>
    </w:p>
    <w:p w14:paraId="127AF714" w14:textId="77777777" w:rsidR="0012710D" w:rsidRPr="007E6706" w:rsidRDefault="0012710D" w:rsidP="0012710D">
      <w:pPr>
        <w:pStyle w:val="NormalHanging12a"/>
      </w:pPr>
      <w:r w:rsidRPr="007E6706">
        <w:lastRenderedPageBreak/>
        <w:t>–</w:t>
      </w:r>
      <w:r w:rsidRPr="007E6706">
        <w:tab/>
        <w:t>ņemot vērā Parlamenta iepriekšējās rezolūcijas, kurās iebilsts pret atļauju izmantot ģenētiski modificētus organismus (ĢMO)</w:t>
      </w:r>
      <w:bookmarkStart w:id="11" w:name="_Hlk210666451"/>
      <w:r w:rsidRPr="007E6706">
        <w:rPr>
          <w:vertAlign w:val="superscript"/>
        </w:rPr>
        <w:footnoteReference w:id="4"/>
      </w:r>
      <w:bookmarkEnd w:id="11"/>
      <w:r w:rsidRPr="007E6706">
        <w:t xml:space="preserve">, </w:t>
      </w:r>
    </w:p>
    <w:p w14:paraId="12657CA8" w14:textId="77777777" w:rsidR="0012710D" w:rsidRPr="007E6706" w:rsidRDefault="0012710D" w:rsidP="0012710D">
      <w:pPr>
        <w:pStyle w:val="NormalHanging12a"/>
      </w:pPr>
      <w:r w:rsidRPr="007E6706">
        <w:lastRenderedPageBreak/>
        <w:t>–</w:t>
      </w:r>
      <w:r w:rsidRPr="007E6706">
        <w:tab/>
        <w:t>ņemot vērā Reglamenta 115. panta 2. un 3. punktu,</w:t>
      </w:r>
    </w:p>
    <w:p w14:paraId="5A6BE9F5" w14:textId="77777777" w:rsidR="0012710D" w:rsidRPr="007E6706" w:rsidRDefault="0012710D" w:rsidP="0012710D">
      <w:pPr>
        <w:pStyle w:val="NormalHanging12a"/>
      </w:pPr>
      <w:r w:rsidRPr="007E6706">
        <w:lastRenderedPageBreak/>
        <w:t>–</w:t>
      </w:r>
      <w:r w:rsidRPr="007E6706">
        <w:tab/>
        <w:t>ņemot vērā Vides, klimata un pārtikas nekaitīguma komitejas rezolūcijas priekšlikumu,</w:t>
      </w:r>
    </w:p>
    <w:p w14:paraId="78FB4D4B" w14:textId="77777777" w:rsidR="0012710D" w:rsidRPr="007E6706" w:rsidRDefault="0012710D" w:rsidP="0012710D">
      <w:pPr>
        <w:pStyle w:val="NormalHanging12a"/>
      </w:pPr>
      <w:r w:rsidRPr="007E6706">
        <w:t>A.</w:t>
      </w:r>
      <w:r w:rsidRPr="007E6706">
        <w:tab/>
        <w:t>tā kā Komisijas Īstenošanas lēmums (ES) 2015/697</w:t>
      </w:r>
      <w:r w:rsidRPr="007E6706">
        <w:rPr>
          <w:rStyle w:val="FootnoteReference"/>
        </w:rPr>
        <w:footnoteReference w:id="5"/>
      </w:r>
      <w:r w:rsidRPr="007E6706">
        <w:rPr>
          <w:rFonts w:ascii="EUAlbertina" w:hAnsi="EUAlbertina"/>
        </w:rPr>
        <w:t xml:space="preserve"> </w:t>
      </w:r>
      <w:r w:rsidRPr="007E6706">
        <w:t xml:space="preserve">atjaunoja atļauju laist tirgū pārtiku un pārtikas sastāvdaļas, kas ražotas no ģenētiski modificētas T25 kukurūzas (“ĢM kukurūza”), un barību, kas satur, sastāv vai ir ražota no ĢM kukurūzas, un minētais Komisijas īstenošanas lēmums atļāva laist tirgū arī pārtiku un pārtikas sastāvdaļas, kas satur vai sastāv no ĢM kukurūzas, un produktus, kuri nav pārtika un barība un kuri satur vai sastāv no ĢM kukurūzas, tādiem pašiem lietojumiem kā jebkura cita kukurūza, izņemot audzēšanu; </w:t>
      </w:r>
    </w:p>
    <w:p w14:paraId="5BD128A9" w14:textId="77777777" w:rsidR="0012710D" w:rsidRPr="007E6706" w:rsidRDefault="0012710D" w:rsidP="0012710D">
      <w:pPr>
        <w:pStyle w:val="NormalHanging12a"/>
        <w:ind w:hanging="570"/>
      </w:pPr>
      <w:r w:rsidRPr="007E6706">
        <w:t>B.</w:t>
      </w:r>
      <w:r w:rsidRPr="007E6706">
        <w:tab/>
        <w:t xml:space="preserve">tā kā 2024. gada 22. martā uzņēmums </w:t>
      </w:r>
      <w:r w:rsidRPr="007E6706">
        <w:rPr>
          <w:i/>
          <w:iCs/>
        </w:rPr>
        <w:t>BASF SE</w:t>
      </w:r>
      <w:r w:rsidRPr="007E6706">
        <w:t xml:space="preserve">, kas ir bāzēts Vācijā, Amerikas Savienotajās Valstīs bāzētā uzņēmuma </w:t>
      </w:r>
      <w:r w:rsidRPr="007E6706">
        <w:rPr>
          <w:i/>
          <w:iCs/>
        </w:rPr>
        <w:t>BASF Agricultural Solutions Seeds US LLC</w:t>
      </w:r>
      <w:r w:rsidRPr="007E6706">
        <w:t xml:space="preserve"> vārdā saskaņā ar Regulas (EK) Nr. 1829/2003 11. un 23. pantu iesniedza Komisijai pieteikumu minētās atļaujas atjaunošanai;</w:t>
      </w:r>
    </w:p>
    <w:p w14:paraId="0211C353" w14:textId="77777777" w:rsidR="0012710D" w:rsidRPr="007E6706" w:rsidRDefault="0012710D" w:rsidP="0012710D">
      <w:pPr>
        <w:pStyle w:val="NormalHanging12a"/>
      </w:pPr>
      <w:r w:rsidRPr="007E6706">
        <w:t>C.</w:t>
      </w:r>
      <w:r w:rsidRPr="007E6706">
        <w:tab/>
        <w:t xml:space="preserve">tā kā 2025. gada </w:t>
      </w:r>
      <w:r w:rsidRPr="007E6706">
        <w:rPr>
          <w:color w:val="000000"/>
        </w:rPr>
        <w:t xml:space="preserve">8. augustā </w:t>
      </w:r>
      <w:r w:rsidRPr="007E6706">
        <w:rPr>
          <w:i/>
          <w:iCs/>
        </w:rPr>
        <w:t>EFSA</w:t>
      </w:r>
      <w:r w:rsidRPr="007E6706">
        <w:t xml:space="preserve"> sniedza labvēlīgu atzinumu par ĢM kukurūzu, kurā tā secināja, ka atjaunošanas pieteikumā nav pierādījumu par jauniem apdraudējumiem, mainītu iedarbību vai zinātnisku neskaidrību, kas mainītu </w:t>
      </w:r>
      <w:r w:rsidRPr="007E6706">
        <w:rPr>
          <w:i/>
          <w:iCs/>
        </w:rPr>
        <w:t>EFSA</w:t>
      </w:r>
      <w:r w:rsidRPr="007E6706">
        <w:t xml:space="preserve"> 2013. gadā izdotā sākotnējā riska novērtējuma par ĢM kukurūzu</w:t>
      </w:r>
      <w:r w:rsidRPr="007E6706">
        <w:rPr>
          <w:rStyle w:val="FootnoteReference"/>
        </w:rPr>
        <w:footnoteReference w:id="6"/>
      </w:r>
      <w:r w:rsidRPr="007E6706">
        <w:t xml:space="preserve"> secinājumus; tā kā minētajos atzinumos nav aplūkotas vairākas plašākas vidiskās, sociālekonomiskās un kumulatīvās ietekmes, kuras EFSA ieskatā neietilpst tās kompetencē;</w:t>
      </w:r>
    </w:p>
    <w:p w14:paraId="7E7EF827" w14:textId="77777777" w:rsidR="0012710D" w:rsidRPr="007E6706" w:rsidRDefault="0012710D" w:rsidP="0012710D">
      <w:pPr>
        <w:pStyle w:val="NormalHanging12a"/>
      </w:pPr>
      <w:r w:rsidRPr="007E6706">
        <w:t>D.</w:t>
      </w:r>
      <w:r w:rsidRPr="007E6706">
        <w:tab/>
        <w:t xml:space="preserve">tā kā ĢM kukurūza ir izstrādāta, lai tai piešķirtu toleranci pret glufozinātu; </w:t>
      </w:r>
    </w:p>
    <w:p w14:paraId="6802E86E" w14:textId="77777777" w:rsidR="0012710D" w:rsidRPr="007E6706" w:rsidRDefault="0012710D" w:rsidP="0012710D">
      <w:pPr>
        <w:pStyle w:val="NormalHanging12a"/>
      </w:pPr>
      <w:r w:rsidRPr="007E6706">
        <w:t>E.</w:t>
      </w:r>
      <w:r w:rsidRPr="007E6706">
        <w:tab/>
        <w:t xml:space="preserve">tā kā </w:t>
      </w:r>
      <w:r w:rsidRPr="007E6706">
        <w:rPr>
          <w:i/>
          <w:iCs/>
        </w:rPr>
        <w:t>EFSA</w:t>
      </w:r>
      <w:r w:rsidRPr="007E6706">
        <w:t xml:space="preserve"> veiktajos riska novērtējumos netika iekļauti ne ilgtermiņa toksikoloģiskie pētījumi, ne detalizēta kumulatīvās un kombinētās ietekmes analīze, tostarp attiecībā uz potenciālo mijiedarbību ar kukurūzas audzēšanā parasti izmantoto pesticīdu atliekām;</w:t>
      </w:r>
    </w:p>
    <w:p w14:paraId="529BA2E5" w14:textId="77777777" w:rsidR="0012710D" w:rsidRPr="007E6706" w:rsidRDefault="0012710D" w:rsidP="0012710D">
      <w:pPr>
        <w:pStyle w:val="NormalHanging12a"/>
        <w:rPr>
          <w:color w:val="000000" w:themeColor="text1"/>
          <w:szCs w:val="24"/>
        </w:rPr>
      </w:pPr>
      <w:r w:rsidRPr="007E6706">
        <w:rPr>
          <w:color w:val="000000" w:themeColor="text1"/>
        </w:rPr>
        <w:t>F.</w:t>
      </w:r>
      <w:r w:rsidRPr="007E6706">
        <w:rPr>
          <w:color w:val="000000" w:themeColor="text1"/>
        </w:rPr>
        <w:tab/>
      </w:r>
      <w:r w:rsidRPr="007E6706">
        <w:t xml:space="preserve">tā kā lielākā daļa ĢM kultūraugu, arī ĢM kukurūza, ir ģenētiski modificēti, lai tie būtu izturīgi pret vienu vai vairākiem komplementāriem herbicīdiem, kurus var izmantot visā ĢM kultūraugu audzēšanas laikā, attiecīgajam kultūraugam neiznīkstot, kā tas būtu gadījumā, ja izmantotu pret herbicīdiem neizturīgu kultūru; </w:t>
      </w:r>
      <w:r w:rsidRPr="007E6706">
        <w:rPr>
          <w:color w:val="000000" w:themeColor="text1"/>
        </w:rPr>
        <w:t xml:space="preserve">tā kā vairākos pētījumos ir konstatēts, ka herbicīdizturīgu ĢM kultūraugu audzēšanā vairāk izmanto komplementārus herbicīdus, lielā mērā tāpēc, ka ir parādījušās pret herbicīdiem </w:t>
      </w:r>
      <w:r w:rsidRPr="007E6706">
        <w:rPr>
          <w:color w:val="000000" w:themeColor="text1"/>
        </w:rPr>
        <w:lastRenderedPageBreak/>
        <w:t>tolerantas nezāles</w:t>
      </w:r>
      <w:r w:rsidRPr="007E6706">
        <w:rPr>
          <w:rStyle w:val="FootnoteReference"/>
          <w:color w:val="000000" w:themeColor="text1"/>
          <w:szCs w:val="24"/>
        </w:rPr>
        <w:footnoteReference w:id="7"/>
      </w:r>
      <w:r w:rsidRPr="007E6706">
        <w:rPr>
          <w:color w:val="000000" w:themeColor="text1"/>
        </w:rPr>
        <w:t>;</w:t>
      </w:r>
    </w:p>
    <w:p w14:paraId="37C50A5A" w14:textId="77777777" w:rsidR="0012710D" w:rsidRPr="007E6706" w:rsidRDefault="0012710D" w:rsidP="0012710D">
      <w:pPr>
        <w:spacing w:after="240"/>
        <w:ind w:left="567" w:hanging="567"/>
        <w:rPr>
          <w:color w:val="000000" w:themeColor="text1"/>
          <w:szCs w:val="24"/>
        </w:rPr>
      </w:pPr>
      <w:r w:rsidRPr="007E6706">
        <w:t>G.</w:t>
      </w:r>
      <w:r w:rsidRPr="007E6706">
        <w:tab/>
        <w:t xml:space="preserve">tā kā </w:t>
      </w:r>
      <w:r w:rsidRPr="007E6706">
        <w:rPr>
          <w:color w:val="000000" w:themeColor="text1"/>
        </w:rPr>
        <w:t>herbicīdizturīgu ĢM kultūraugu izmantošanas dēļ lauksaimnieki ir piesaistīti nezāļu pārvaldības sistēmai, kas lielā mērā vai pilnībā ir atkarīga no herbicīdiem, un tas notiek tāpēc, ka par ĢM sēklām tiek uzlikta piemaksa, kura atmaksājas tikai tad, ja lauksaimnieki, kas iegādājas šādas sēklas, arī izsmidzina komplementārus herbicīdus; tā kā lielāka atkarība no komplementāriem herbicīdiem saimniecībās, kurās audzē ĢM kukurūzu, paātrinās pret minētajiem herbicīdiem rezistentu nezāļu rašanos un izplatību un tādējādi radīs vajadzību vēl vairāk izmantot herbicīdus, proti, veidos apburto loku, ko dēvē par “herbicīdu skrejceliņu”; tā kā līdz ar to negatīvā ietekme, ko rada pārmērīga paļaušanās uz herbicīdiem, pasliktinās augsnes veselību, ūdens kvalitāti un biodaudzveidību virs un zem zemes virskārtas, kā arī palielinās iedarbību uz cilvēkiem un dzīvniekiem, iespējams arī tādēļ, ka lielāks daudzums herbicīdu atlieku nonāks pārtikā un dzīvnieku barībā</w:t>
      </w:r>
      <w:r w:rsidRPr="007E6706">
        <w:rPr>
          <w:rStyle w:val="FootnoteReference"/>
          <w:color w:val="000000" w:themeColor="text1"/>
          <w:szCs w:val="24"/>
        </w:rPr>
        <w:footnoteReference w:id="8"/>
      </w:r>
      <w:r w:rsidRPr="007E6706">
        <w:rPr>
          <w:color w:val="000000" w:themeColor="text1"/>
        </w:rPr>
        <w:t>;</w:t>
      </w:r>
    </w:p>
    <w:p w14:paraId="1D2AEC66" w14:textId="77777777" w:rsidR="0012710D" w:rsidRPr="007E6706" w:rsidRDefault="0012710D" w:rsidP="0012710D">
      <w:pPr>
        <w:pStyle w:val="NormalWeb"/>
        <w:widowControl w:val="0"/>
        <w:spacing w:before="0" w:beforeAutospacing="0" w:after="240" w:afterAutospacing="0"/>
        <w:ind w:left="567" w:hanging="567"/>
      </w:pPr>
      <w:r w:rsidRPr="007E6706">
        <w:t>H.</w:t>
      </w:r>
      <w:r w:rsidRPr="007E6706">
        <w:tab/>
        <w:t>tā kā glufozināts ir klasificēts kā reproduktīvajai sistēmai toksiska viela (1B) un tāpēc tam piemērojami Eiropas Parlamenta un Padomes Regulā (EK) Nr. 1107/2009</w:t>
      </w:r>
      <w:r w:rsidRPr="007E6706">
        <w:rPr>
          <w:rStyle w:val="FootnoteReference"/>
        </w:rPr>
        <w:footnoteReference w:id="9"/>
      </w:r>
      <w:r w:rsidRPr="007E6706">
        <w:t xml:space="preserve"> noteiktie izslēgšanas kritēriji; tā kā termiņš atļaujai lietot glufozinātu Savienībā beidzās 2018. gada 31. jūlijā;</w:t>
      </w:r>
    </w:p>
    <w:p w14:paraId="12BBC665" w14:textId="77777777" w:rsidR="0012710D" w:rsidRPr="007E6706" w:rsidRDefault="0012710D" w:rsidP="0012710D">
      <w:pPr>
        <w:pStyle w:val="NormalHanging12a"/>
      </w:pPr>
      <w:r w:rsidRPr="007E6706">
        <w:t>I.</w:t>
      </w:r>
      <w:r w:rsidRPr="007E6706">
        <w:tab/>
        <w:t>tā kā joprojām nav pietiekami nodrošināts neatkarīgs monitorings un novērošana attiecībā uz iespējamo nelabvēlīgo ietekmi uz biodaudzveidību, augsnes veselību, apputeksnētājiem un nemērķa organismiem;</w:t>
      </w:r>
    </w:p>
    <w:p w14:paraId="48B6D327" w14:textId="77777777" w:rsidR="0012710D" w:rsidRPr="007E6706" w:rsidRDefault="0012710D" w:rsidP="0012710D">
      <w:pPr>
        <w:spacing w:after="240"/>
        <w:ind w:left="567" w:hanging="567"/>
      </w:pPr>
      <w:r w:rsidRPr="007E6706">
        <w:t>J.</w:t>
      </w:r>
      <w:r w:rsidRPr="007E6706">
        <w:tab/>
        <w:t>tā kā zinātniskās nenoteiktības gadījumos būtu jāpiemēro piesardzības princips, kas ir noteikts Līguma par Eiropas Savienības darbību 191. pantā;</w:t>
      </w:r>
    </w:p>
    <w:p w14:paraId="28CF5D6E" w14:textId="77777777" w:rsidR="0012710D" w:rsidRPr="007E6706" w:rsidRDefault="0012710D" w:rsidP="0012710D">
      <w:pPr>
        <w:spacing w:after="240"/>
        <w:ind w:left="567" w:hanging="567"/>
      </w:pPr>
      <w:r w:rsidRPr="007E6706">
        <w:t>K.</w:t>
      </w:r>
      <w:r w:rsidRPr="007E6706">
        <w:tab/>
        <w:t>tā kā Regulā (EK) Nr. 1829/2003 ir noteikts, ka ĢM pārtika un barība nedrīkst nelabvēlīgi ietekmēt cilvēku veselību, dzīvnieku veselību vai vidi;</w:t>
      </w:r>
    </w:p>
    <w:p w14:paraId="36400BC5" w14:textId="77777777" w:rsidR="0012710D" w:rsidRPr="007E6706" w:rsidRDefault="0012710D" w:rsidP="0012710D">
      <w:pPr>
        <w:pStyle w:val="NormalWeb"/>
        <w:widowControl w:val="0"/>
        <w:spacing w:before="0" w:beforeAutospacing="0" w:after="240" w:afterAutospacing="0"/>
        <w:ind w:left="567" w:hanging="567"/>
      </w:pPr>
      <w:r w:rsidRPr="007E6706">
        <w:t>L.</w:t>
      </w:r>
      <w:r w:rsidRPr="007E6706">
        <w:tab/>
        <w:t>tā kā ĢM kukurūzas atļaujas atjaunošana Savienībā būtu pretrunā starptautiskajām saistībām pesticīdu lietošanas samazināšanā</w:t>
      </w:r>
      <w:r w:rsidRPr="007E6706">
        <w:rPr>
          <w:vertAlign w:val="superscript"/>
        </w:rPr>
        <w:footnoteReference w:id="10"/>
      </w:r>
      <w:r w:rsidRPr="007E6706">
        <w:t xml:space="preserve">, jo valstīs, kurās audzē šos herbicīdizturīgos ĢM kultūraugus, palielinātos cilvēku, dzīvnieku un vides eksponētība </w:t>
      </w:r>
      <w:r w:rsidRPr="007E6706">
        <w:lastRenderedPageBreak/>
        <w:t>glifozātam un glufozinātam, kā arī varētu rasties nopietnas ar to saistītas sekas veselībai;</w:t>
      </w:r>
    </w:p>
    <w:p w14:paraId="521050FE" w14:textId="77777777" w:rsidR="0012710D" w:rsidRPr="007E6706" w:rsidRDefault="0012710D" w:rsidP="0012710D">
      <w:pPr>
        <w:spacing w:after="240"/>
        <w:ind w:left="567" w:hanging="567"/>
      </w:pPr>
      <w:r w:rsidRPr="007E6706">
        <w:t>M.</w:t>
      </w:r>
      <w:r w:rsidRPr="007E6706">
        <w:tab/>
        <w:t>tā kā ar Komisijas īstenošanas lēmuma projektu tiktu atļauts arī turpmāk Savienībā importēt produktus, kas neatbilst Savienības lauksaimnieku ievērotajiem standartiem, un tādējādi viņiem tiktu radīti neizdevīgi konkurences apstākļi;</w:t>
      </w:r>
    </w:p>
    <w:p w14:paraId="5700049A" w14:textId="77777777" w:rsidR="0012710D" w:rsidRPr="007E6706" w:rsidRDefault="0012710D" w:rsidP="0012710D">
      <w:pPr>
        <w:spacing w:after="240"/>
        <w:ind w:left="567" w:hanging="567"/>
      </w:pPr>
      <w:r w:rsidRPr="007E6706">
        <w:t>N.</w:t>
      </w:r>
      <w:r w:rsidRPr="007E6706">
        <w:tab/>
        <w:t>tā kā stratēģiskā dialoga par ES lauksaimniecības nākotni secinājumos</w:t>
      </w:r>
      <w:r w:rsidRPr="007E6706">
        <w:rPr>
          <w:rStyle w:val="FootnoteReference"/>
        </w:rPr>
        <w:footnoteReference w:id="11"/>
      </w:r>
      <w:r w:rsidRPr="007E6706">
        <w:t xml:space="preserve"> Komisija tiek aicināta pārskatīt savu pieeju attiecībā uz tirgus pieejamību lauksaimniecības pārtikas importam un eksportam, ņemot vērā grūtības, ko rada Savienības un tās tirdzniecības partneru atšķirīgie standarti; tā kā taisnīgākas globālās tirdzniecības attiecības, kas saskanētu ar veselīgas vides mērķiem, bija viena no galvenajām lauksaimnieku prasībām 2023., 2024. un 2025. gada demonstrāciju laikā;</w:t>
      </w:r>
    </w:p>
    <w:p w14:paraId="36BD6A1A" w14:textId="77777777" w:rsidR="0012710D" w:rsidRPr="007E6706" w:rsidRDefault="0012710D" w:rsidP="0012710D">
      <w:pPr>
        <w:spacing w:after="240"/>
        <w:ind w:left="567" w:hanging="567"/>
      </w:pPr>
      <w:r w:rsidRPr="007E6706">
        <w:t>O.</w:t>
      </w:r>
      <w:r w:rsidRPr="007E6706">
        <w:tab/>
        <w:t>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w:t>
      </w:r>
    </w:p>
    <w:p w14:paraId="1B9C3F57" w14:textId="77777777" w:rsidR="0012710D" w:rsidRPr="007E6706" w:rsidRDefault="0012710D" w:rsidP="0012710D">
      <w:pPr>
        <w:pStyle w:val="NormalWeb"/>
        <w:widowControl w:val="0"/>
        <w:shd w:val="clear" w:color="auto" w:fill="FFFFFF"/>
        <w:spacing w:before="0" w:beforeAutospacing="0" w:after="240" w:afterAutospacing="0"/>
        <w:ind w:left="567" w:hanging="567"/>
        <w:rPr>
          <w:color w:val="000000" w:themeColor="text1"/>
        </w:rPr>
      </w:pPr>
      <w:r w:rsidRPr="007E6706">
        <w:rPr>
          <w:color w:val="000000" w:themeColor="text1"/>
        </w:rPr>
        <w:t>P.</w:t>
      </w:r>
      <w:r w:rsidRPr="007E6706">
        <w:rPr>
          <w:color w:val="000000" w:themeColor="text1"/>
        </w:rPr>
        <w:tab/>
        <w:t>tā kā Komisija turpina piešķirt atļaujas ĢMO, neraugoties uz pašas atzītajām nepilnībām demokrātiskā lēmumu pieņemšanas procesā, dalībvalstu atbalsta trūkumu un Parlamenta iebildumiem;</w:t>
      </w:r>
    </w:p>
    <w:p w14:paraId="5436A28E" w14:textId="546B1EDC" w:rsidR="0012710D" w:rsidRPr="007E6706" w:rsidRDefault="00CB343C" w:rsidP="0012710D">
      <w:pPr>
        <w:spacing w:after="240"/>
        <w:ind w:left="567" w:hanging="567"/>
      </w:pPr>
      <w:r>
        <w:t>Q</w:t>
      </w:r>
      <w:r w:rsidR="0012710D" w:rsidRPr="007E6706">
        <w:t>.</w:t>
      </w:r>
      <w:r w:rsidR="0012710D" w:rsidRPr="007E6706">
        <w:tab/>
        <w:t>tā kā pieeja “Viena veselība” paredz, ka, novērtējot ĢMO ilgtermiņa ilgtspēju un drošumu, ir jāņem vērā cilvēku, dzīvnieku, augu un vides veselības savstarpējā atkarība,</w:t>
      </w:r>
    </w:p>
    <w:p w14:paraId="4F06F308" w14:textId="77777777" w:rsidR="0012710D" w:rsidRPr="007E6706" w:rsidRDefault="0012710D" w:rsidP="0012710D">
      <w:pPr>
        <w:pStyle w:val="NormalHanging12a"/>
      </w:pPr>
      <w:r w:rsidRPr="007E6706">
        <w:t>1.</w:t>
      </w:r>
      <w:r w:rsidRPr="007E6706">
        <w:tab/>
        <w:t xml:space="preserve">uzskata, ka Komisijas īstenošanas lēmuma projekts pārsniedz Regulā </w:t>
      </w:r>
      <w:bookmarkStart w:id="19" w:name="_Hlk219209229"/>
      <w:r w:rsidRPr="007E6706">
        <w:t>(EK) Nr.</w:t>
      </w:r>
      <w:bookmarkEnd w:id="19"/>
      <w:r w:rsidRPr="007E6706">
        <w:t> 1829/2003 paredzētās īstenošanas pilnvaras;</w:t>
      </w:r>
    </w:p>
    <w:p w14:paraId="58A664C1" w14:textId="77777777" w:rsidR="0012710D" w:rsidRPr="007E6706" w:rsidRDefault="0012710D" w:rsidP="0012710D">
      <w:pPr>
        <w:pStyle w:val="NormalHanging12a"/>
      </w:pPr>
      <w:r w:rsidRPr="007E6706">
        <w:t>2.</w:t>
      </w:r>
      <w:r w:rsidRPr="007E6706">
        <w:tab/>
        <w:t>uzskata, ka Komisijas īstenošanas lēmuma projekts neatbilst Savienības tiesību aktiem, jo nav savienojams ar Regulas (EK) Nr. 1829/2003 mērķi, proti, saskaņā ar Eiropas Parlamenta un Padomes Regulā (EK) Nr. 178/2002</w:t>
      </w:r>
      <w:r w:rsidRPr="007E6706">
        <w:rPr>
          <w:vertAlign w:val="superscript"/>
        </w:rPr>
        <w:footnoteReference w:id="12"/>
      </w:r>
      <w:r w:rsidRPr="007E6706">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 </w:t>
      </w:r>
    </w:p>
    <w:p w14:paraId="02741AB5" w14:textId="77777777" w:rsidR="0012710D" w:rsidRPr="007E6706" w:rsidRDefault="0012710D" w:rsidP="0012710D">
      <w:pPr>
        <w:pStyle w:val="NormalHanging12a"/>
      </w:pPr>
      <w:r w:rsidRPr="007E6706">
        <w:t>3.</w:t>
      </w:r>
      <w:r w:rsidRPr="007E6706">
        <w:tab/>
        <w:t>prasa Komisijai atsaukt īstenošanas lēmuma projektu;</w:t>
      </w:r>
    </w:p>
    <w:p w14:paraId="3B313605" w14:textId="77777777" w:rsidR="0012710D" w:rsidRPr="007E6706" w:rsidRDefault="0012710D" w:rsidP="0012710D">
      <w:pPr>
        <w:spacing w:after="240"/>
        <w:ind w:left="567" w:hanging="567"/>
      </w:pPr>
      <w:bookmarkStart w:id="20" w:name="_Hlk218675841"/>
      <w:r w:rsidRPr="007E6706">
        <w:t>4.</w:t>
      </w:r>
      <w:r w:rsidRPr="007E6706">
        <w:tab/>
        <w:t>aicina Komisiju neatjaunot ĢM kukurūzas atļauju, jo nav pietiekamu pierādījumu par tās ilgtermiņa ietekmi uz biodaudzveidību, pārtikas nekaitīgumu, lauksaimnieku iztikas līdzekļiem un dzīvnieku veselību saskaņā ar pieeju “Viena veselība”;</w:t>
      </w:r>
    </w:p>
    <w:p w14:paraId="69F2345C" w14:textId="77777777" w:rsidR="0012710D" w:rsidRPr="007E6706" w:rsidRDefault="0012710D" w:rsidP="0012710D">
      <w:pPr>
        <w:spacing w:after="240"/>
        <w:ind w:left="567" w:hanging="567"/>
      </w:pPr>
      <w:bookmarkStart w:id="21" w:name="_Hlk210900300"/>
      <w:r w:rsidRPr="007E6706">
        <w:t>5.</w:t>
      </w:r>
      <w:r w:rsidRPr="007E6706">
        <w:tab/>
        <w:t>aicina Komisiju nekavējoties iesniegt tiesību akta priekšlikumu, lai reformētu lēmumu pieņemšanas procedūru attiecībā uz ĢMO, reaģējot uz Parlamenta konsekventajiem iebildumiem un kvalificēta vairākuma atbalsta trūkumu starp dalībvalstīm</w:t>
      </w:r>
      <w:bookmarkEnd w:id="21"/>
      <w:r w:rsidRPr="007E6706">
        <w:t>;</w:t>
      </w:r>
    </w:p>
    <w:p w14:paraId="0BCF9666" w14:textId="77777777" w:rsidR="0012710D" w:rsidRPr="007E6706" w:rsidRDefault="0012710D" w:rsidP="0012710D">
      <w:pPr>
        <w:spacing w:after="240"/>
        <w:ind w:left="567" w:hanging="567"/>
      </w:pPr>
      <w:bookmarkStart w:id="22" w:name="_Hlk210900241"/>
      <w:r w:rsidRPr="007E6706">
        <w:lastRenderedPageBreak/>
        <w:t>6.</w:t>
      </w:r>
      <w:r w:rsidRPr="007E6706">
        <w:tab/>
        <w:t>šajā saistībā uzsver, ka atļauja izmantošanai pārtikā, dzīvnieku barībā vai produktos importēt ĢM augus, kas ir herbicīdizturīgi pret Savienībā aizliegtiem herbicīdiem, piemēram, glufozinātu, ir pretrunā Savienības starptautiskajām saistībām, kuras cita starpā noteiktas ANO Biodaudzveidības konvencijā un ANO ilgtspējīgas attīstības mērķos, tostarp nesen pieņemtajā Kuņminas-Monreālas satvarā, un ka tā rada nevienlīdzīgus konkurences apstākļus Savienības lauksaimniekiem;</w:t>
      </w:r>
    </w:p>
    <w:bookmarkEnd w:id="22"/>
    <w:p w14:paraId="35C98CE4" w14:textId="68F20652" w:rsidR="00776C2D" w:rsidRPr="007E6706" w:rsidRDefault="0012710D" w:rsidP="00776C2D">
      <w:pPr>
        <w:spacing w:after="240"/>
        <w:ind w:left="567" w:hanging="567"/>
      </w:pPr>
      <w:r w:rsidRPr="007E6706">
        <w:t>7.</w:t>
      </w:r>
      <w:r w:rsidRPr="007E6706">
        <w:tab/>
      </w:r>
      <w:bookmarkEnd w:id="20"/>
      <w:r w:rsidRPr="007E6706">
        <w:t xml:space="preserve">uzdod priekšsēdētājai šo rezolūciju nosūtīt Padomei un Komisijai, kā arī dalībvalstu valdībām un parlamentiem. </w:t>
      </w:r>
    </w:p>
    <w:p w14:paraId="3F72A9A4" w14:textId="77CD03C4" w:rsidR="00E365E1" w:rsidRPr="007E6706" w:rsidRDefault="00E365E1" w:rsidP="003F6FD7"/>
    <w:sectPr w:rsidR="00E365E1" w:rsidRPr="007E6706" w:rsidSect="00776C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8F13B" w14:textId="77777777" w:rsidR="003F6FD7" w:rsidRPr="00776C2D" w:rsidRDefault="003F6FD7">
      <w:r w:rsidRPr="00776C2D">
        <w:separator/>
      </w:r>
    </w:p>
  </w:endnote>
  <w:endnote w:type="continuationSeparator" w:id="0">
    <w:p w14:paraId="0F0944F5" w14:textId="77777777" w:rsidR="003F6FD7" w:rsidRPr="00776C2D" w:rsidRDefault="003F6FD7">
      <w:r w:rsidRPr="00776C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AD02" w14:textId="77777777" w:rsidR="00064002" w:rsidRPr="00776C2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4734" w14:textId="77777777" w:rsidR="00064002" w:rsidRPr="00776C2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8180" w14:textId="77777777" w:rsidR="00064002" w:rsidRPr="00776C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E725A" w14:textId="77777777" w:rsidR="003F6FD7" w:rsidRPr="00776C2D" w:rsidRDefault="003F6FD7">
      <w:r w:rsidRPr="00776C2D">
        <w:separator/>
      </w:r>
    </w:p>
  </w:footnote>
  <w:footnote w:type="continuationSeparator" w:id="0">
    <w:p w14:paraId="03235276" w14:textId="77777777" w:rsidR="003F6FD7" w:rsidRPr="00776C2D" w:rsidRDefault="003F6FD7">
      <w:r w:rsidRPr="00776C2D">
        <w:continuationSeparator/>
      </w:r>
    </w:p>
  </w:footnote>
  <w:footnote w:id="1">
    <w:p w14:paraId="6D5780DD" w14:textId="2A65FD99" w:rsidR="0012710D" w:rsidRPr="00776C2D" w:rsidRDefault="0012710D" w:rsidP="00776C2D">
      <w:pPr>
        <w:pStyle w:val="FootnoteText"/>
        <w:ind w:left="567" w:hanging="567"/>
        <w:rPr>
          <w:sz w:val="24"/>
          <w:lang w:val="lv-LV"/>
        </w:rPr>
      </w:pPr>
      <w:r w:rsidRPr="00776C2D">
        <w:rPr>
          <w:rStyle w:val="FootnoteReference"/>
          <w:sz w:val="24"/>
          <w:lang w:val="lv-LV"/>
        </w:rPr>
        <w:footnoteRef/>
      </w:r>
      <w:r w:rsidR="00776C2D" w:rsidRPr="00776C2D">
        <w:rPr>
          <w:sz w:val="24"/>
          <w:lang w:val="lv-LV"/>
        </w:rPr>
        <w:t xml:space="preserve"> </w:t>
      </w:r>
      <w:r w:rsidR="00776C2D" w:rsidRPr="00776C2D">
        <w:rPr>
          <w:sz w:val="24"/>
          <w:lang w:val="lv-LV"/>
        </w:rPr>
        <w:tab/>
      </w:r>
      <w:r w:rsidRPr="00776C2D">
        <w:rPr>
          <w:sz w:val="24"/>
          <w:lang w:val="lv-LV"/>
        </w:rPr>
        <w:t>OV L 268, 18.10.2003., 1. lpp., ELI: </w:t>
      </w:r>
      <w:hyperlink r:id="rId1" w:tooltip="Nodrošina piekļuvi dokumentam, izmantojot ELI URI." w:history="1">
        <w:r w:rsidRPr="00776C2D">
          <w:rPr>
            <w:rStyle w:val="Hyperlink"/>
            <w:sz w:val="24"/>
            <w:lang w:val="lv-LV"/>
          </w:rPr>
          <w:t>http://data.europa.eu/eli/reg/2003/1829/oj</w:t>
        </w:r>
      </w:hyperlink>
      <w:r w:rsidRPr="00776C2D">
        <w:rPr>
          <w:rStyle w:val="Hyperlink"/>
          <w:sz w:val="24"/>
          <w:lang w:val="lv-LV"/>
        </w:rPr>
        <w:t>.</w:t>
      </w:r>
    </w:p>
  </w:footnote>
  <w:footnote w:id="2">
    <w:p w14:paraId="50F7A1EF" w14:textId="081A6510" w:rsidR="0012710D" w:rsidRPr="00776C2D" w:rsidRDefault="0012710D" w:rsidP="00776C2D">
      <w:pPr>
        <w:pStyle w:val="FootnoteText"/>
        <w:ind w:left="567" w:hanging="567"/>
        <w:rPr>
          <w:sz w:val="24"/>
          <w:lang w:val="lv-LV"/>
        </w:rPr>
      </w:pPr>
      <w:r w:rsidRPr="00776C2D">
        <w:rPr>
          <w:rStyle w:val="FootnoteReference"/>
          <w:sz w:val="24"/>
          <w:lang w:val="lv-LV"/>
        </w:rPr>
        <w:footnoteRef/>
      </w:r>
      <w:r w:rsidR="00776C2D" w:rsidRPr="00776C2D">
        <w:rPr>
          <w:sz w:val="24"/>
          <w:lang w:val="lv-LV"/>
        </w:rPr>
        <w:t xml:space="preserve"> </w:t>
      </w:r>
      <w:r w:rsidR="00776C2D" w:rsidRPr="00776C2D">
        <w:rPr>
          <w:sz w:val="24"/>
          <w:lang w:val="lv-LV"/>
        </w:rPr>
        <w:tab/>
      </w:r>
      <w:r w:rsidRPr="00776C2D">
        <w:rPr>
          <w:sz w:val="24"/>
          <w:lang w:val="lv-LV"/>
        </w:rPr>
        <w:t>OV L 55, 28.2.2011., 13. lpp., ELI: </w:t>
      </w:r>
      <w:hyperlink r:id="rId2" w:history="1">
        <w:r w:rsidRPr="00776C2D">
          <w:rPr>
            <w:rStyle w:val="Hyperlink"/>
            <w:sz w:val="24"/>
            <w:lang w:val="lv-LV"/>
          </w:rPr>
          <w:t>http://data.europa.eu/eli/reg/2011/182/oj</w:t>
        </w:r>
      </w:hyperlink>
      <w:r w:rsidRPr="00776C2D">
        <w:rPr>
          <w:sz w:val="24"/>
          <w:lang w:val="lv-LV"/>
        </w:rPr>
        <w:t>.</w:t>
      </w:r>
    </w:p>
  </w:footnote>
  <w:footnote w:id="3">
    <w:p w14:paraId="470C2D35" w14:textId="421DC309" w:rsidR="0012710D" w:rsidRPr="00776C2D" w:rsidRDefault="0012710D" w:rsidP="00776C2D">
      <w:pPr>
        <w:pStyle w:val="FootnoteText"/>
        <w:ind w:left="567" w:hanging="567"/>
        <w:rPr>
          <w:sz w:val="24"/>
          <w:lang w:val="lv-LV"/>
        </w:rPr>
      </w:pPr>
      <w:r w:rsidRPr="00776C2D">
        <w:rPr>
          <w:sz w:val="24"/>
          <w:vertAlign w:val="superscript"/>
          <w:lang w:val="lv-LV"/>
        </w:rPr>
        <w:footnoteRef/>
      </w:r>
      <w:bookmarkStart w:id="10" w:name="_Hlk219207010"/>
      <w:r w:rsidR="00776C2D" w:rsidRPr="00776C2D">
        <w:rPr>
          <w:sz w:val="24"/>
          <w:lang w:val="lv-LV"/>
        </w:rPr>
        <w:t xml:space="preserve"> </w:t>
      </w:r>
      <w:r w:rsidR="00776C2D" w:rsidRPr="00776C2D">
        <w:rPr>
          <w:sz w:val="24"/>
          <w:lang w:val="lv-LV"/>
        </w:rPr>
        <w:tab/>
      </w:r>
      <w:r w:rsidRPr="00776C2D">
        <w:rPr>
          <w:sz w:val="24"/>
          <w:lang w:val="lv-LV"/>
        </w:rPr>
        <w:t xml:space="preserve">EFSA Ģenētiski modificēto organismu ekspertu grupas zinātniskais atzinums </w:t>
      </w:r>
      <w:bookmarkEnd w:id="10"/>
      <w:r w:rsidRPr="00776C2D">
        <w:rPr>
          <w:sz w:val="24"/>
          <w:lang w:val="lv-LV"/>
        </w:rPr>
        <w:t>“</w:t>
      </w:r>
      <w:r w:rsidRPr="00776C2D">
        <w:rPr>
          <w:i/>
          <w:iCs/>
          <w:sz w:val="24"/>
          <w:lang w:val="lv-LV"/>
        </w:rPr>
        <w:t>Assessment of genetically modified T25 maize for renewal authorisation under Regulation (EC) No 1829/2003 (dossier GMFF-2024-22651)</w:t>
      </w:r>
      <w:r w:rsidRPr="00776C2D">
        <w:rPr>
          <w:sz w:val="24"/>
          <w:lang w:val="lv-LV"/>
        </w:rPr>
        <w:t xml:space="preserve">”, </w:t>
      </w:r>
      <w:r w:rsidRPr="00776C2D">
        <w:rPr>
          <w:i/>
          <w:iCs/>
          <w:sz w:val="24"/>
          <w:lang w:val="lv-LV"/>
        </w:rPr>
        <w:t>EFSA Journal</w:t>
      </w:r>
      <w:r w:rsidRPr="00776C2D">
        <w:rPr>
          <w:i/>
          <w:sz w:val="24"/>
          <w:lang w:val="lv-LV"/>
        </w:rPr>
        <w:t xml:space="preserve"> </w:t>
      </w:r>
      <w:r w:rsidRPr="00776C2D">
        <w:rPr>
          <w:sz w:val="24"/>
          <w:lang w:val="lv-LV"/>
        </w:rPr>
        <w:t xml:space="preserve">2025, 23(8):e9570, </w:t>
      </w:r>
      <w:hyperlink r:id="rId3" w:history="1">
        <w:r w:rsidRPr="00776C2D">
          <w:rPr>
            <w:rStyle w:val="Hyperlink"/>
            <w:sz w:val="24"/>
            <w:lang w:val="lv-LV"/>
          </w:rPr>
          <w:t>https://doi.org/10.2903/j.efsa.2025.9570</w:t>
        </w:r>
      </w:hyperlink>
      <w:r w:rsidRPr="00776C2D">
        <w:rPr>
          <w:sz w:val="24"/>
          <w:lang w:val="lv-LV"/>
        </w:rPr>
        <w:t xml:space="preserve">. </w:t>
      </w:r>
    </w:p>
  </w:footnote>
  <w:footnote w:id="4">
    <w:p w14:paraId="392F2CDC" w14:textId="421D4392" w:rsidR="0012710D" w:rsidRPr="00776C2D" w:rsidRDefault="0012710D" w:rsidP="00776C2D">
      <w:pPr>
        <w:pStyle w:val="FootnoteText"/>
        <w:ind w:left="567" w:hanging="567"/>
        <w:rPr>
          <w:color w:val="000000" w:themeColor="text1"/>
          <w:sz w:val="24"/>
          <w:vertAlign w:val="superscript"/>
          <w:lang w:val="lv-LV"/>
        </w:rPr>
      </w:pPr>
      <w:r w:rsidRPr="00776C2D">
        <w:rPr>
          <w:rStyle w:val="FootnoteReference"/>
          <w:sz w:val="24"/>
          <w:lang w:val="lv-LV"/>
        </w:rPr>
        <w:footnoteRef/>
      </w:r>
      <w:r w:rsidR="00776C2D" w:rsidRPr="00776C2D">
        <w:rPr>
          <w:color w:val="000000" w:themeColor="text1"/>
          <w:sz w:val="24"/>
          <w:lang w:val="lv-LV"/>
        </w:rPr>
        <w:t xml:space="preserve"> </w:t>
      </w:r>
      <w:r w:rsidR="00776C2D" w:rsidRPr="00776C2D">
        <w:rPr>
          <w:color w:val="000000" w:themeColor="text1"/>
          <w:sz w:val="24"/>
          <w:lang w:val="lv-LV"/>
        </w:rPr>
        <w:tab/>
      </w:r>
      <w:r w:rsidRPr="00776C2D">
        <w:rPr>
          <w:color w:val="000000" w:themeColor="text1"/>
          <w:sz w:val="24"/>
          <w:lang w:val="lv-LV"/>
        </w:rPr>
        <w:t>Parlaments astotajā sasaukumā pieņēma 36 rezolūcijas un devītajā sasaukumā — 38 rezolūcijas, ar ko iebilda pret atļauju izmantot ĢMO. Turklāt desmitajā sasaukumā Parlaments ir pieņēmis šādas rezolūcijas:</w:t>
      </w:r>
    </w:p>
    <w:p w14:paraId="61D8CF42" w14:textId="1D96C4E6" w:rsidR="0012710D" w:rsidRPr="00776C2D" w:rsidRDefault="00776C2D" w:rsidP="00776C2D">
      <w:pPr>
        <w:pStyle w:val="FootnoteText"/>
        <w:ind w:left="567" w:hanging="567"/>
        <w:rPr>
          <w:color w:val="000000" w:themeColor="text1"/>
          <w:sz w:val="24"/>
          <w:vertAlign w:val="superscript"/>
          <w:lang w:val="lv-LV"/>
        </w:rPr>
      </w:pPr>
      <w:r w:rsidRPr="00776C2D">
        <w:rPr>
          <w:color w:val="000000" w:themeColor="text1"/>
          <w:sz w:val="24"/>
          <w:lang w:val="lv-LV"/>
        </w:rPr>
        <w:t xml:space="preserve"> </w:t>
      </w:r>
      <w:r w:rsidRPr="00776C2D">
        <w:rPr>
          <w:color w:val="000000" w:themeColor="text1"/>
          <w:sz w:val="24"/>
          <w:lang w:val="lv-LV"/>
        </w:rPr>
        <w:tab/>
      </w:r>
      <w:r w:rsidR="0012710D" w:rsidRPr="00776C2D">
        <w:rPr>
          <w:color w:val="000000" w:themeColor="text1"/>
          <w:sz w:val="24"/>
          <w:lang w:val="lv-LV"/>
        </w:rPr>
        <w:t>–</w:t>
      </w:r>
      <w:r w:rsidR="0012710D" w:rsidRPr="00776C2D">
        <w:rPr>
          <w:color w:val="000000" w:themeColor="text1"/>
          <w:sz w:val="24"/>
          <w:lang w:val="lv-LV"/>
        </w:rPr>
        <w:tab/>
        <w:t>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4" w:history="1">
        <w:r w:rsidR="0012710D" w:rsidRPr="00776C2D">
          <w:rPr>
            <w:rStyle w:val="Hyperlink"/>
            <w:sz w:val="24"/>
            <w:lang w:val="lv-LV"/>
          </w:rPr>
          <w:t>http://data.europa.eu/eli/C/2025/1797/oj</w:t>
        </w:r>
      </w:hyperlink>
      <w:r w:rsidR="0012710D" w:rsidRPr="00776C2D">
        <w:rPr>
          <w:color w:val="000000" w:themeColor="text1"/>
          <w:sz w:val="24"/>
          <w:lang w:val="lv-LV"/>
        </w:rPr>
        <w:t>).</w:t>
      </w:r>
    </w:p>
    <w:p w14:paraId="559400ED" w14:textId="41C90607" w:rsidR="0012710D" w:rsidRPr="00776C2D" w:rsidRDefault="00776C2D" w:rsidP="00776C2D">
      <w:pPr>
        <w:pStyle w:val="FootnoteText"/>
        <w:keepNext/>
        <w:ind w:left="567" w:hanging="567"/>
        <w:rPr>
          <w:color w:val="000000" w:themeColor="text1"/>
          <w:sz w:val="24"/>
          <w:vertAlign w:val="superscript"/>
          <w:lang w:val="lv-LV"/>
        </w:rPr>
      </w:pPr>
      <w:r w:rsidRPr="00776C2D">
        <w:rPr>
          <w:color w:val="000000" w:themeColor="text1"/>
          <w:sz w:val="24"/>
          <w:lang w:val="lv-LV"/>
        </w:rPr>
        <w:t xml:space="preserve"> </w:t>
      </w:r>
      <w:r w:rsidRPr="00776C2D">
        <w:rPr>
          <w:color w:val="000000" w:themeColor="text1"/>
          <w:sz w:val="24"/>
          <w:lang w:val="lv-LV"/>
        </w:rPr>
        <w:tab/>
      </w:r>
      <w:r w:rsidR="0012710D" w:rsidRPr="00776C2D">
        <w:rPr>
          <w:color w:val="000000" w:themeColor="text1"/>
          <w:sz w:val="24"/>
          <w:lang w:val="lv-LV"/>
        </w:rPr>
        <w:t>–</w:t>
      </w:r>
      <w:r w:rsidR="0012710D" w:rsidRPr="00776C2D">
        <w:rPr>
          <w:color w:val="000000" w:themeColor="text1"/>
          <w:sz w:val="24"/>
          <w:lang w:val="lv-LV"/>
        </w:rPr>
        <w:tab/>
        <w:t>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12710D" w:rsidRPr="00776C2D">
          <w:rPr>
            <w:rStyle w:val="Hyperlink"/>
            <w:sz w:val="24"/>
            <w:lang w:val="lv-LV"/>
          </w:rPr>
          <w:t>http://data.europa.eu/eli/C/2025/1798/oj</w:t>
        </w:r>
      </w:hyperlink>
      <w:r w:rsidR="0012710D" w:rsidRPr="00776C2D">
        <w:rPr>
          <w:color w:val="000000" w:themeColor="text1"/>
          <w:sz w:val="24"/>
          <w:lang w:val="lv-LV"/>
        </w:rPr>
        <w:t>).</w:t>
      </w:r>
    </w:p>
    <w:p w14:paraId="29F457CB" w14:textId="07D51931" w:rsidR="0012710D" w:rsidRPr="00776C2D" w:rsidRDefault="00776C2D" w:rsidP="00776C2D">
      <w:pPr>
        <w:pStyle w:val="FootnoteText"/>
        <w:ind w:left="567" w:hanging="567"/>
        <w:rPr>
          <w:color w:val="000000" w:themeColor="text1"/>
          <w:sz w:val="24"/>
          <w:vertAlign w:val="superscript"/>
          <w:lang w:val="lv-LV"/>
        </w:rPr>
      </w:pPr>
      <w:r w:rsidRPr="00776C2D">
        <w:rPr>
          <w:color w:val="000000" w:themeColor="text1"/>
          <w:sz w:val="24"/>
          <w:lang w:val="lv-LV"/>
        </w:rPr>
        <w:t xml:space="preserve"> </w:t>
      </w:r>
      <w:r w:rsidRPr="00776C2D">
        <w:rPr>
          <w:color w:val="000000" w:themeColor="text1"/>
          <w:sz w:val="24"/>
          <w:lang w:val="lv-LV"/>
        </w:rPr>
        <w:tab/>
      </w:r>
      <w:r w:rsidR="0012710D" w:rsidRPr="00776C2D">
        <w:rPr>
          <w:color w:val="000000" w:themeColor="text1"/>
          <w:sz w:val="24"/>
          <w:lang w:val="lv-LV"/>
        </w:rPr>
        <w:t>–</w:t>
      </w:r>
      <w:r w:rsidR="0012710D" w:rsidRPr="00776C2D">
        <w:rPr>
          <w:color w:val="000000" w:themeColor="text1"/>
          <w:sz w:val="24"/>
          <w:lang w:val="lv-LV"/>
        </w:rPr>
        <w:tab/>
        <w:t>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6" w:history="1">
        <w:r w:rsidR="0012710D" w:rsidRPr="00776C2D">
          <w:rPr>
            <w:rStyle w:val="Hyperlink"/>
            <w:sz w:val="24"/>
            <w:lang w:val="lv-LV"/>
          </w:rPr>
          <w:t>http://data.europa.eu/eli/C/2025/1799/oj</w:t>
        </w:r>
      </w:hyperlink>
      <w:r w:rsidR="0012710D" w:rsidRPr="00776C2D">
        <w:rPr>
          <w:color w:val="000000" w:themeColor="text1"/>
          <w:sz w:val="24"/>
          <w:lang w:val="lv-LV"/>
        </w:rPr>
        <w:t>).</w:t>
      </w:r>
    </w:p>
    <w:p w14:paraId="1DD8DC77" w14:textId="0ED4F24B" w:rsidR="0012710D" w:rsidRPr="00776C2D" w:rsidRDefault="00776C2D" w:rsidP="00776C2D">
      <w:pPr>
        <w:pStyle w:val="FootnoteText"/>
        <w:ind w:left="567" w:hanging="567"/>
        <w:rPr>
          <w:color w:val="000000" w:themeColor="text1"/>
          <w:sz w:val="24"/>
          <w:vertAlign w:val="superscript"/>
          <w:lang w:val="lv-LV"/>
        </w:rPr>
      </w:pPr>
      <w:r w:rsidRPr="00776C2D">
        <w:rPr>
          <w:color w:val="000000" w:themeColor="text1"/>
          <w:sz w:val="24"/>
          <w:lang w:val="lv-LV"/>
        </w:rPr>
        <w:t xml:space="preserve"> </w:t>
      </w:r>
      <w:r w:rsidRPr="00776C2D">
        <w:rPr>
          <w:color w:val="000000" w:themeColor="text1"/>
          <w:sz w:val="24"/>
          <w:lang w:val="lv-LV"/>
        </w:rPr>
        <w:tab/>
      </w:r>
      <w:r w:rsidR="0012710D" w:rsidRPr="00776C2D">
        <w:rPr>
          <w:color w:val="000000" w:themeColor="text1"/>
          <w:sz w:val="24"/>
          <w:lang w:val="lv-LV"/>
        </w:rPr>
        <w:t>–</w:t>
      </w:r>
      <w:r w:rsidR="0012710D" w:rsidRPr="00776C2D">
        <w:rPr>
          <w:color w:val="000000" w:themeColor="text1"/>
          <w:sz w:val="24"/>
          <w:lang w:val="lv-LV"/>
        </w:rPr>
        <w:tab/>
        <w:t>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12710D" w:rsidRPr="00776C2D">
          <w:rPr>
            <w:rStyle w:val="Hyperlink"/>
            <w:sz w:val="24"/>
            <w:lang w:val="lv-LV"/>
          </w:rPr>
          <w:t>http://data.europa.eu/eli/C/2025/1800/oj</w:t>
        </w:r>
      </w:hyperlink>
      <w:r w:rsidR="0012710D" w:rsidRPr="00776C2D">
        <w:rPr>
          <w:color w:val="000000" w:themeColor="text1"/>
          <w:sz w:val="24"/>
          <w:lang w:val="lv-LV"/>
        </w:rPr>
        <w:t>).</w:t>
      </w:r>
    </w:p>
    <w:p w14:paraId="238E9347" w14:textId="69038C23" w:rsidR="0012710D" w:rsidRPr="00776C2D" w:rsidRDefault="00776C2D" w:rsidP="00776C2D">
      <w:pPr>
        <w:pStyle w:val="FootnoteText"/>
        <w:ind w:left="567" w:hanging="567"/>
        <w:rPr>
          <w:color w:val="000000" w:themeColor="text1"/>
          <w:sz w:val="24"/>
          <w:vertAlign w:val="superscript"/>
          <w:lang w:val="lv-LV"/>
        </w:rPr>
      </w:pPr>
      <w:r w:rsidRPr="00776C2D">
        <w:rPr>
          <w:color w:val="000000" w:themeColor="text1"/>
          <w:sz w:val="24"/>
          <w:lang w:val="lv-LV"/>
        </w:rPr>
        <w:t xml:space="preserve"> </w:t>
      </w:r>
      <w:r w:rsidRPr="00776C2D">
        <w:rPr>
          <w:color w:val="000000" w:themeColor="text1"/>
          <w:sz w:val="24"/>
          <w:lang w:val="lv-LV"/>
        </w:rPr>
        <w:tab/>
      </w:r>
      <w:r w:rsidR="0012710D" w:rsidRPr="00776C2D">
        <w:rPr>
          <w:color w:val="000000" w:themeColor="text1"/>
          <w:sz w:val="24"/>
          <w:lang w:val="lv-LV"/>
        </w:rPr>
        <w:t>–</w:t>
      </w:r>
      <w:r w:rsidR="0012710D" w:rsidRPr="00776C2D">
        <w:rPr>
          <w:color w:val="000000" w:themeColor="text1"/>
          <w:sz w:val="24"/>
          <w:lang w:val="lv-LV"/>
        </w:rPr>
        <w:tab/>
        <w:t>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12710D" w:rsidRPr="00776C2D">
          <w:rPr>
            <w:rStyle w:val="Hyperlink"/>
            <w:sz w:val="24"/>
            <w:lang w:val="lv-LV"/>
          </w:rPr>
          <w:t>http://data.europa.eu/eli/C/2025/1801/oj</w:t>
        </w:r>
      </w:hyperlink>
      <w:r w:rsidR="0012710D" w:rsidRPr="00776C2D">
        <w:rPr>
          <w:color w:val="000000" w:themeColor="text1"/>
          <w:sz w:val="24"/>
          <w:lang w:val="lv-LV"/>
        </w:rPr>
        <w:t>).</w:t>
      </w:r>
    </w:p>
    <w:p w14:paraId="2FB4E0AA" w14:textId="2A3B114A" w:rsidR="0012710D" w:rsidRPr="00776C2D" w:rsidRDefault="00776C2D" w:rsidP="00776C2D">
      <w:pPr>
        <w:pStyle w:val="FootnoteText"/>
        <w:ind w:left="567" w:hanging="567"/>
        <w:rPr>
          <w:color w:val="000000" w:themeColor="text1"/>
          <w:sz w:val="24"/>
          <w:vertAlign w:val="superscript"/>
          <w:lang w:val="lv-LV"/>
        </w:rPr>
      </w:pPr>
      <w:r w:rsidRPr="00776C2D">
        <w:rPr>
          <w:color w:val="000000" w:themeColor="text1"/>
          <w:sz w:val="24"/>
          <w:lang w:val="lv-LV"/>
        </w:rPr>
        <w:t xml:space="preserve"> </w:t>
      </w:r>
      <w:r w:rsidRPr="00776C2D">
        <w:rPr>
          <w:color w:val="000000" w:themeColor="text1"/>
          <w:sz w:val="24"/>
          <w:lang w:val="lv-LV"/>
        </w:rPr>
        <w:tab/>
      </w:r>
      <w:r w:rsidR="0012710D" w:rsidRPr="00776C2D">
        <w:rPr>
          <w:color w:val="000000" w:themeColor="text1"/>
          <w:sz w:val="24"/>
          <w:lang w:val="lv-LV"/>
        </w:rPr>
        <w:t>–</w:t>
      </w:r>
      <w:r w:rsidR="0012710D" w:rsidRPr="00776C2D">
        <w:rPr>
          <w:color w:val="000000" w:themeColor="text1"/>
          <w:sz w:val="24"/>
          <w:lang w:val="lv-LV"/>
        </w:rPr>
        <w:tab/>
        <w:t>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12710D" w:rsidRPr="00776C2D">
          <w:rPr>
            <w:rStyle w:val="Hyperlink"/>
            <w:sz w:val="24"/>
            <w:lang w:val="lv-LV"/>
          </w:rPr>
          <w:t>http://data.europa.eu/eli/C/2025/1802/oj</w:t>
        </w:r>
      </w:hyperlink>
      <w:r w:rsidR="0012710D" w:rsidRPr="00776C2D">
        <w:rPr>
          <w:color w:val="000000" w:themeColor="text1"/>
          <w:sz w:val="24"/>
          <w:lang w:val="lv-LV"/>
        </w:rPr>
        <w:t>).</w:t>
      </w:r>
    </w:p>
    <w:p w14:paraId="491B9361" w14:textId="70547750" w:rsidR="0012710D" w:rsidRPr="00776C2D" w:rsidRDefault="00776C2D" w:rsidP="00776C2D">
      <w:pPr>
        <w:pStyle w:val="FootnoteText"/>
        <w:ind w:left="567" w:hanging="567"/>
        <w:rPr>
          <w:color w:val="000000" w:themeColor="text1"/>
          <w:sz w:val="24"/>
          <w:vertAlign w:val="superscript"/>
          <w:lang w:val="lv-LV"/>
        </w:rPr>
      </w:pPr>
      <w:r w:rsidRPr="00776C2D">
        <w:rPr>
          <w:color w:val="000000" w:themeColor="text1"/>
          <w:sz w:val="24"/>
          <w:lang w:val="lv-LV"/>
        </w:rPr>
        <w:t xml:space="preserve"> </w:t>
      </w:r>
      <w:r w:rsidRPr="00776C2D">
        <w:rPr>
          <w:color w:val="000000" w:themeColor="text1"/>
          <w:sz w:val="24"/>
          <w:lang w:val="lv-LV"/>
        </w:rPr>
        <w:tab/>
      </w:r>
      <w:r w:rsidR="0012710D" w:rsidRPr="00776C2D">
        <w:rPr>
          <w:color w:val="000000" w:themeColor="text1"/>
          <w:sz w:val="24"/>
          <w:lang w:val="lv-LV"/>
        </w:rPr>
        <w:t>–</w:t>
      </w:r>
      <w:r w:rsidR="0012710D" w:rsidRPr="00776C2D">
        <w:rPr>
          <w:color w:val="000000" w:themeColor="text1"/>
          <w:sz w:val="24"/>
          <w:lang w:val="lv-LV"/>
        </w:rPr>
        <w:tab/>
        <w:t>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12710D" w:rsidRPr="00776C2D">
          <w:rPr>
            <w:rStyle w:val="Hyperlink"/>
            <w:sz w:val="24"/>
            <w:lang w:val="lv-LV"/>
          </w:rPr>
          <w:t>http://data.europa.eu/eli/C/2025/1803/oj</w:t>
        </w:r>
      </w:hyperlink>
      <w:r w:rsidR="0012710D" w:rsidRPr="00776C2D">
        <w:rPr>
          <w:color w:val="000000" w:themeColor="text1"/>
          <w:sz w:val="24"/>
          <w:lang w:val="lv-LV"/>
        </w:rPr>
        <w:t>).</w:t>
      </w:r>
    </w:p>
    <w:p w14:paraId="41F1BDDD" w14:textId="7C9280BA" w:rsidR="0012710D" w:rsidRPr="00776C2D" w:rsidRDefault="00776C2D" w:rsidP="00776C2D">
      <w:pPr>
        <w:pStyle w:val="FootnoteText"/>
        <w:ind w:left="567" w:hanging="567"/>
        <w:rPr>
          <w:color w:val="000000" w:themeColor="text1"/>
          <w:sz w:val="24"/>
          <w:vertAlign w:val="superscript"/>
          <w:lang w:val="lv-LV"/>
        </w:rPr>
      </w:pPr>
      <w:r w:rsidRPr="00776C2D">
        <w:rPr>
          <w:color w:val="000000" w:themeColor="text1"/>
          <w:sz w:val="24"/>
          <w:lang w:val="lv-LV"/>
        </w:rPr>
        <w:t xml:space="preserve"> </w:t>
      </w:r>
      <w:r w:rsidRPr="00776C2D">
        <w:rPr>
          <w:color w:val="000000" w:themeColor="text1"/>
          <w:sz w:val="24"/>
          <w:lang w:val="lv-LV"/>
        </w:rPr>
        <w:tab/>
      </w:r>
      <w:r w:rsidR="0012710D" w:rsidRPr="00776C2D">
        <w:rPr>
          <w:color w:val="000000" w:themeColor="text1"/>
          <w:sz w:val="24"/>
          <w:lang w:val="lv-LV"/>
        </w:rPr>
        <w:t>–</w:t>
      </w:r>
      <w:r w:rsidR="0012710D" w:rsidRPr="00776C2D">
        <w:rPr>
          <w:color w:val="000000" w:themeColor="text1"/>
          <w:sz w:val="24"/>
          <w:lang w:val="lv-LV"/>
        </w:rPr>
        <w:tab/>
        <w:t>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12710D" w:rsidRPr="00776C2D">
          <w:rPr>
            <w:rStyle w:val="Hyperlink"/>
            <w:sz w:val="24"/>
            <w:lang w:val="lv-LV"/>
          </w:rPr>
          <w:t>http://data.europa.eu/eli/C/2025/1804/oj</w:t>
        </w:r>
      </w:hyperlink>
      <w:r w:rsidR="0012710D" w:rsidRPr="00776C2D">
        <w:rPr>
          <w:color w:val="000000" w:themeColor="text1"/>
          <w:sz w:val="24"/>
          <w:lang w:val="lv-LV"/>
        </w:rPr>
        <w:t>).</w:t>
      </w:r>
    </w:p>
    <w:p w14:paraId="720DA804" w14:textId="3D53E251" w:rsidR="0012710D" w:rsidRPr="00776C2D" w:rsidRDefault="00776C2D" w:rsidP="00776C2D">
      <w:pPr>
        <w:pStyle w:val="FootnoteText"/>
        <w:ind w:left="567" w:hanging="567"/>
        <w:rPr>
          <w:sz w:val="24"/>
          <w:vertAlign w:val="superscript"/>
          <w:lang w:val="lv-LV"/>
        </w:rPr>
      </w:pPr>
      <w:r w:rsidRPr="00776C2D">
        <w:rPr>
          <w:color w:val="000000" w:themeColor="text1"/>
          <w:sz w:val="24"/>
          <w:lang w:val="lv-LV"/>
        </w:rPr>
        <w:t xml:space="preserve"> </w:t>
      </w:r>
      <w:r w:rsidRPr="00776C2D">
        <w:rPr>
          <w:color w:val="000000" w:themeColor="text1"/>
          <w:sz w:val="24"/>
          <w:lang w:val="lv-LV"/>
        </w:rPr>
        <w:tab/>
      </w:r>
      <w:r w:rsidR="0012710D" w:rsidRPr="00776C2D">
        <w:rPr>
          <w:color w:val="000000" w:themeColor="text1"/>
          <w:sz w:val="24"/>
          <w:lang w:val="lv-LV"/>
        </w:rPr>
        <w:t>–</w:t>
      </w:r>
      <w:r w:rsidR="0012710D" w:rsidRPr="00776C2D">
        <w:rPr>
          <w:color w:val="000000" w:themeColor="text1"/>
          <w:sz w:val="24"/>
          <w:lang w:val="lv-LV"/>
        </w:rPr>
        <w:tab/>
      </w:r>
      <w:r w:rsidR="0012710D" w:rsidRPr="00776C2D">
        <w:rPr>
          <w:sz w:val="24"/>
          <w:lang w:val="lv-LV"/>
        </w:rPr>
        <w:t>Eiropas Parlamenta 2025. gada 12. februāra rezolūcija par projektu Komisijas īstenošanas lēmumam, ar ko, ievērojot Eiropas Parlamenta un Padomes Regulu (EK) Nr.</w:t>
      </w:r>
      <w:r w:rsidR="00CB343C">
        <w:rPr>
          <w:sz w:val="24"/>
          <w:lang w:val="lv-LV"/>
        </w:rPr>
        <w:t> </w:t>
      </w:r>
      <w:r w:rsidR="0012710D" w:rsidRPr="00776C2D">
        <w:rPr>
          <w:sz w:val="24"/>
          <w:lang w:val="lv-LV"/>
        </w:rPr>
        <w:t xml:space="preserve">1829/2003, atļauj laist tirgū produktus, kas satur ģenētiski modificētu kukurūzu DP910521, no tās sastāv vai ir no tās ražoti </w:t>
      </w:r>
      <w:bookmarkStart w:id="12" w:name="_Hlk219207574"/>
      <w:r w:rsidR="0012710D" w:rsidRPr="00776C2D">
        <w:rPr>
          <w:sz w:val="24"/>
          <w:lang w:val="lv-LV"/>
        </w:rPr>
        <w:t>(OV C, C/2025/2246, 29.4.2025., ELI: </w:t>
      </w:r>
      <w:hyperlink r:id="rId12" w:tooltip="Nodrošina piekļuvi dokumentam, izmantojot ELI URI." w:history="1">
        <w:r w:rsidR="0012710D" w:rsidRPr="00776C2D">
          <w:rPr>
            <w:rStyle w:val="Hyperlink"/>
            <w:sz w:val="24"/>
            <w:lang w:val="lv-LV"/>
          </w:rPr>
          <w:t>http://data.europa.eu/eli/C/2025/2246/oj</w:t>
        </w:r>
      </w:hyperlink>
      <w:r w:rsidR="0012710D" w:rsidRPr="00776C2D">
        <w:rPr>
          <w:sz w:val="24"/>
          <w:lang w:val="lv-LV"/>
        </w:rPr>
        <w:t>).</w:t>
      </w:r>
      <w:bookmarkEnd w:id="12"/>
    </w:p>
    <w:p w14:paraId="10F38E67" w14:textId="639A311D" w:rsidR="0012710D" w:rsidRPr="00776C2D" w:rsidRDefault="00776C2D" w:rsidP="00776C2D">
      <w:pPr>
        <w:pStyle w:val="FootnoteText"/>
        <w:ind w:left="567" w:hanging="567"/>
        <w:rPr>
          <w:sz w:val="24"/>
          <w:vertAlign w:val="superscript"/>
          <w:lang w:val="lv-LV"/>
        </w:rPr>
      </w:pPr>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 xml:space="preserve">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w:t>
      </w:r>
      <w:bookmarkStart w:id="13" w:name="_Hlk219207593"/>
      <w:r w:rsidR="0012710D" w:rsidRPr="00776C2D">
        <w:rPr>
          <w:sz w:val="24"/>
          <w:lang w:val="lv-LV"/>
        </w:rPr>
        <w:t>(OV C, C/2025/2247, 29.4.2025., ELI: </w:t>
      </w:r>
      <w:hyperlink r:id="rId13" w:history="1">
        <w:r w:rsidR="0012710D" w:rsidRPr="00776C2D">
          <w:rPr>
            <w:rStyle w:val="Hyperlink"/>
            <w:sz w:val="24"/>
            <w:lang w:val="lv-LV"/>
          </w:rPr>
          <w:t>http://data.europa.eu/eli/C/2025/2247/oj</w:t>
        </w:r>
      </w:hyperlink>
      <w:r w:rsidR="0012710D" w:rsidRPr="00776C2D">
        <w:rPr>
          <w:sz w:val="24"/>
          <w:lang w:val="lv-LV"/>
        </w:rPr>
        <w:t>).</w:t>
      </w:r>
      <w:bookmarkEnd w:id="13"/>
    </w:p>
    <w:p w14:paraId="6AAABD16" w14:textId="561E18EA" w:rsidR="0012710D" w:rsidRPr="00776C2D" w:rsidRDefault="00776C2D" w:rsidP="00776C2D">
      <w:pPr>
        <w:pStyle w:val="FootnoteText"/>
        <w:ind w:left="567" w:hanging="567"/>
        <w:rPr>
          <w:sz w:val="24"/>
          <w:vertAlign w:val="superscript"/>
          <w:lang w:val="lv-LV"/>
        </w:rPr>
      </w:pPr>
      <w:bookmarkStart w:id="14" w:name="_Hlk219207619"/>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Eiropas Parlamenta 2025. gada 8. maija rezolūcija par projektu Komisijas īstenošanas lēmumam, ar ko atbilstoši Eiropas Parlamenta un Padomes Regulai (EK) Nr.</w:t>
      </w:r>
      <w:r w:rsidR="00CB343C">
        <w:rPr>
          <w:sz w:val="24"/>
          <w:lang w:val="lv-LV"/>
        </w:rPr>
        <w:t> </w:t>
      </w:r>
      <w:r w:rsidR="0012710D" w:rsidRPr="00776C2D">
        <w:rPr>
          <w:sz w:val="24"/>
          <w:lang w:val="lv-LV"/>
        </w:rPr>
        <w:t>1829/2003 atļauj laist tirgū produktus, kas satur ģenētiski modificētas sojas pupas MON 87705 × MON 87708 × MON 89788, sastāv vai ir ražoti no tām (</w:t>
      </w:r>
      <w:r w:rsidR="00FD368B">
        <w:rPr>
          <w:sz w:val="24"/>
          <w:lang w:val="lv-LV"/>
        </w:rPr>
        <w:t xml:space="preserve">Pieņemtie teksti, </w:t>
      </w:r>
      <w:r w:rsidR="0012710D" w:rsidRPr="00776C2D">
        <w:rPr>
          <w:sz w:val="24"/>
          <w:lang w:val="lv-LV"/>
        </w:rPr>
        <w:t>P10_TA(2025)0106),</w:t>
      </w:r>
    </w:p>
    <w:p w14:paraId="3324F39F" w14:textId="0BB3F637" w:rsidR="0012710D" w:rsidRPr="00776C2D" w:rsidRDefault="00776C2D" w:rsidP="00776C2D">
      <w:pPr>
        <w:pStyle w:val="FootnoteText"/>
        <w:ind w:left="567" w:hanging="567"/>
        <w:rPr>
          <w:sz w:val="24"/>
          <w:vertAlign w:val="superscript"/>
          <w:lang w:val="lv-LV"/>
        </w:rPr>
      </w:pPr>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Eiropas Parlamenta 2025. gada 8. oktobra rezolūcija par Komisijas 2025. gada 22. septembra īstenošanas Lēmumu (ES) 2025/1898, ar ko atbilstoši Eiropas Parlamenta un Padomes Regulai (EK) Nr. 1829/2003 atļauj laist tirgū produktus, kas satur ģenētiski modificētu kukurūzu DP51291, sastāv vai ir ražoti no tās (P10_TA(2025)0222),</w:t>
      </w:r>
    </w:p>
    <w:p w14:paraId="2BA2F38E" w14:textId="34F3945C" w:rsidR="0012710D" w:rsidRPr="00776C2D" w:rsidRDefault="00776C2D" w:rsidP="00776C2D">
      <w:pPr>
        <w:pStyle w:val="FootnoteText"/>
        <w:ind w:left="567" w:hanging="567"/>
        <w:rPr>
          <w:sz w:val="24"/>
          <w:vertAlign w:val="superscript"/>
          <w:lang w:val="lv-LV"/>
        </w:rPr>
      </w:pPr>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Eiropas Parlamenta 2025. gada 25. novembra rezolūcija par projektu Komisijas īstenošanas lēmumam, ar ko atbilstoši Eiropas Parlamenta un Padomes Regulai (EK) Nr. 1829/2003 atļauj laist tirgū produktus, kas satur ģenētiski modificētu kukurūzu DAS1131, sastāv vai ir ražoti no tās (</w:t>
      </w:r>
      <w:r w:rsidR="00FD368B">
        <w:rPr>
          <w:sz w:val="24"/>
          <w:lang w:val="lv-LV"/>
        </w:rPr>
        <w:t xml:space="preserve">Pieņemtie teksti, </w:t>
      </w:r>
      <w:r w:rsidR="0012710D" w:rsidRPr="00776C2D">
        <w:rPr>
          <w:sz w:val="24"/>
          <w:lang w:val="lv-LV"/>
        </w:rPr>
        <w:t>P10_TA(2025)0288),</w:t>
      </w:r>
    </w:p>
    <w:p w14:paraId="25664B6E" w14:textId="668C903C" w:rsidR="0012710D" w:rsidRPr="00776C2D" w:rsidRDefault="00776C2D" w:rsidP="00776C2D">
      <w:pPr>
        <w:pStyle w:val="FootnoteText"/>
        <w:keepNext/>
        <w:ind w:left="567" w:hanging="567"/>
        <w:rPr>
          <w:sz w:val="24"/>
          <w:vertAlign w:val="superscript"/>
          <w:lang w:val="lv-LV"/>
        </w:rPr>
      </w:pPr>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w:t>
      </w:r>
      <w:r w:rsidR="00FD368B">
        <w:rPr>
          <w:sz w:val="24"/>
          <w:lang w:val="lv-LV"/>
        </w:rPr>
        <w:t xml:space="preserve">Pieņemtie teksti, </w:t>
      </w:r>
      <w:r w:rsidR="0012710D" w:rsidRPr="00776C2D">
        <w:rPr>
          <w:sz w:val="24"/>
          <w:lang w:val="lv-LV"/>
        </w:rPr>
        <w:t>P10_TA(2025)0289),</w:t>
      </w:r>
    </w:p>
    <w:p w14:paraId="60688151" w14:textId="5532FD31" w:rsidR="0012710D" w:rsidRPr="00776C2D" w:rsidRDefault="00776C2D" w:rsidP="00776C2D">
      <w:pPr>
        <w:pStyle w:val="FootnoteText"/>
        <w:ind w:left="567" w:hanging="567"/>
        <w:rPr>
          <w:sz w:val="24"/>
          <w:vertAlign w:val="superscript"/>
          <w:lang w:val="lv-LV"/>
        </w:rPr>
      </w:pPr>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w:t>
      </w:r>
      <w:r w:rsidR="00FD368B">
        <w:rPr>
          <w:sz w:val="24"/>
          <w:lang w:val="lv-LV"/>
        </w:rPr>
        <w:t xml:space="preserve">Pieņemtie teksti, </w:t>
      </w:r>
      <w:r w:rsidR="0012710D" w:rsidRPr="00776C2D">
        <w:rPr>
          <w:sz w:val="24"/>
          <w:lang w:val="lv-LV"/>
        </w:rPr>
        <w:t>P10_TA(2025)0290),</w:t>
      </w:r>
    </w:p>
    <w:p w14:paraId="2435EFC5" w14:textId="4B1CEB9D" w:rsidR="0012710D" w:rsidRPr="00776C2D" w:rsidRDefault="00776C2D" w:rsidP="00776C2D">
      <w:pPr>
        <w:pStyle w:val="FootnoteText"/>
        <w:ind w:left="567" w:hanging="567"/>
        <w:rPr>
          <w:sz w:val="24"/>
          <w:vertAlign w:val="superscript"/>
          <w:lang w:val="lv-LV"/>
        </w:rPr>
      </w:pPr>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tām (</w:t>
      </w:r>
      <w:r w:rsidR="00FD368B">
        <w:rPr>
          <w:sz w:val="24"/>
          <w:lang w:val="lv-LV"/>
        </w:rPr>
        <w:t xml:space="preserve">Pieņemtie teksti, </w:t>
      </w:r>
      <w:r w:rsidR="0012710D" w:rsidRPr="00776C2D">
        <w:rPr>
          <w:sz w:val="24"/>
          <w:lang w:val="lv-LV"/>
        </w:rPr>
        <w:t>P10_TA(2025)0291),</w:t>
      </w:r>
    </w:p>
    <w:p w14:paraId="443C2F42" w14:textId="27A37233" w:rsidR="0012710D" w:rsidRPr="00776C2D" w:rsidRDefault="00776C2D" w:rsidP="00776C2D">
      <w:pPr>
        <w:pStyle w:val="FootnoteText"/>
        <w:ind w:left="567" w:hanging="567"/>
        <w:rPr>
          <w:sz w:val="24"/>
          <w:vertAlign w:val="superscript"/>
          <w:lang w:val="lv-LV"/>
        </w:rPr>
      </w:pPr>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kukurūzu MON 87427, sastāv vai ir ražoti no tās (</w:t>
      </w:r>
      <w:r w:rsidR="00FD368B">
        <w:rPr>
          <w:sz w:val="24"/>
          <w:lang w:val="lv-LV"/>
        </w:rPr>
        <w:t xml:space="preserve">Pieņemtie teksti, </w:t>
      </w:r>
      <w:r w:rsidR="0012710D" w:rsidRPr="00776C2D">
        <w:rPr>
          <w:sz w:val="24"/>
          <w:lang w:val="lv-LV"/>
        </w:rPr>
        <w:t>P10_TA(2025)0292),</w:t>
      </w:r>
    </w:p>
    <w:p w14:paraId="53EDD6E2" w14:textId="21B94672" w:rsidR="0012710D" w:rsidRPr="00776C2D" w:rsidRDefault="00776C2D" w:rsidP="00776C2D">
      <w:pPr>
        <w:pStyle w:val="FootnoteText"/>
        <w:ind w:left="567" w:hanging="567"/>
        <w:rPr>
          <w:sz w:val="24"/>
          <w:vertAlign w:val="superscript"/>
          <w:lang w:val="lv-LV"/>
        </w:rPr>
      </w:pPr>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Eiropas Parlamenta 2025. gada 16. decembra rezolūcija par projektu Komisijas īstenošanas lēmumam, ar kuru atbilstoši Eiropas Parlamenta un Padomes Regulai (EK) Nr. 1829/2003 atjauno atļauju laist tirgū produktus, kas satur ģenētiski modificētu kukurūzu NK603, sastāv vai ir ražoti no tās (</w:t>
      </w:r>
      <w:r w:rsidR="00FD368B">
        <w:rPr>
          <w:sz w:val="24"/>
          <w:lang w:val="lv-LV"/>
        </w:rPr>
        <w:t xml:space="preserve">Pieņemtie teksti, </w:t>
      </w:r>
      <w:r w:rsidR="0012710D" w:rsidRPr="00776C2D">
        <w:rPr>
          <w:sz w:val="24"/>
          <w:lang w:val="lv-LV"/>
        </w:rPr>
        <w:t>P10_TA(2025)0327),</w:t>
      </w:r>
    </w:p>
    <w:p w14:paraId="6659891F" w14:textId="5F2E2DE3" w:rsidR="0012710D" w:rsidRPr="00776C2D" w:rsidRDefault="00776C2D" w:rsidP="00776C2D">
      <w:pPr>
        <w:pStyle w:val="FootnoteText"/>
        <w:ind w:left="567" w:hanging="567"/>
        <w:rPr>
          <w:sz w:val="24"/>
          <w:lang w:val="lv-LV"/>
        </w:rPr>
      </w:pPr>
      <w:r w:rsidRPr="00776C2D">
        <w:rPr>
          <w:sz w:val="24"/>
          <w:lang w:val="lv-LV"/>
        </w:rPr>
        <w:t xml:space="preserve"> </w:t>
      </w:r>
      <w:r w:rsidRPr="00776C2D">
        <w:rPr>
          <w:sz w:val="24"/>
          <w:lang w:val="lv-LV"/>
        </w:rPr>
        <w:tab/>
      </w:r>
      <w:r w:rsidR="0012710D" w:rsidRPr="00776C2D">
        <w:rPr>
          <w:sz w:val="24"/>
          <w:lang w:val="lv-LV"/>
        </w:rPr>
        <w:t>–</w:t>
      </w:r>
      <w:r w:rsidR="0012710D" w:rsidRPr="00776C2D">
        <w:rPr>
          <w:sz w:val="24"/>
          <w:lang w:val="lv-LV"/>
        </w:rPr>
        <w:tab/>
        <w:t>Eiropas Parlamenta 2025. gada 16. decembra rezolūcija par projektu Komisijas īstenošanas lēmumam, ar kuru atbilstoši Eiropas Parlamenta un Padomes Regulai (EK) Nr. 1829/2003 atļauj laist tirgū no ģenētiski modificētām cukurbietēm KWS20-1 ražotus pārtikas produktus, pārtikas sastāvdaļas un dzīvnieku barību (</w:t>
      </w:r>
      <w:r w:rsidR="00FD368B">
        <w:rPr>
          <w:sz w:val="24"/>
          <w:lang w:val="lv-LV"/>
        </w:rPr>
        <w:t xml:space="preserve">Pieņemtie teksti, </w:t>
      </w:r>
      <w:r w:rsidR="0012710D" w:rsidRPr="00776C2D">
        <w:rPr>
          <w:sz w:val="24"/>
          <w:lang w:val="lv-LV"/>
        </w:rPr>
        <w:t>P10_TA(2025)0328).</w:t>
      </w:r>
      <w:bookmarkEnd w:id="14"/>
    </w:p>
  </w:footnote>
  <w:footnote w:id="5">
    <w:p w14:paraId="13EE4F1E" w14:textId="2B4E0D7A" w:rsidR="0012710D" w:rsidRPr="00776C2D" w:rsidRDefault="0012710D" w:rsidP="00776C2D">
      <w:pPr>
        <w:pStyle w:val="FootnoteText"/>
        <w:ind w:left="567" w:hanging="567"/>
        <w:rPr>
          <w:iCs/>
          <w:sz w:val="24"/>
          <w:lang w:val="lv-LV"/>
        </w:rPr>
      </w:pPr>
      <w:r w:rsidRPr="00776C2D">
        <w:rPr>
          <w:rStyle w:val="FootnoteReference"/>
          <w:sz w:val="24"/>
          <w:lang w:val="lv-LV"/>
        </w:rPr>
        <w:footnoteRef/>
      </w:r>
      <w:r w:rsidR="00776C2D" w:rsidRPr="00776C2D">
        <w:rPr>
          <w:sz w:val="24"/>
          <w:lang w:val="lv-LV"/>
        </w:rPr>
        <w:t xml:space="preserve"> </w:t>
      </w:r>
      <w:r w:rsidR="00776C2D" w:rsidRPr="00776C2D">
        <w:rPr>
          <w:sz w:val="24"/>
          <w:lang w:val="lv-LV"/>
        </w:rPr>
        <w:tab/>
      </w:r>
      <w:r w:rsidRPr="00776C2D">
        <w:rPr>
          <w:sz w:val="24"/>
          <w:lang w:val="lv-LV"/>
        </w:rPr>
        <w:t>Komisijas Īstenošanas lēmums (ES) 2015/697 (2015. gada 24. aprīlis), ar ko atbilstoši Eiropas Parlamenta un Padomes Regulai (EK) Nr. 1829/2003 atļauj laist tirgū ģenētiski modificētu kukurūzu T25 (ACS-ZMØØ3-2) un atjaunina jau esošos kukurūzas T25 (ACS-ZMØØ3-2) produktus (OV L 112, 30.4.2015., 66. lpp., ELI: </w:t>
      </w:r>
      <w:hyperlink r:id="rId14" w:history="1">
        <w:r w:rsidRPr="00776C2D">
          <w:rPr>
            <w:rStyle w:val="Hyperlink"/>
            <w:sz w:val="24"/>
            <w:lang w:val="lv-LV"/>
          </w:rPr>
          <w:t>http://data.europa.eu/eli/dec_impl/2015/697/oj</w:t>
        </w:r>
      </w:hyperlink>
      <w:r w:rsidRPr="00776C2D">
        <w:rPr>
          <w:sz w:val="24"/>
          <w:lang w:val="lv-LV"/>
        </w:rPr>
        <w:t>).</w:t>
      </w:r>
    </w:p>
  </w:footnote>
  <w:footnote w:id="6">
    <w:p w14:paraId="385DF81B" w14:textId="62F437BE" w:rsidR="0012710D" w:rsidRPr="00776C2D" w:rsidRDefault="0012710D" w:rsidP="00776C2D">
      <w:pPr>
        <w:pStyle w:val="FootnoteText"/>
        <w:ind w:left="567" w:hanging="567"/>
        <w:rPr>
          <w:sz w:val="24"/>
          <w:lang w:val="lv-LV"/>
        </w:rPr>
      </w:pPr>
      <w:r w:rsidRPr="00776C2D">
        <w:rPr>
          <w:rStyle w:val="FootnoteReference"/>
          <w:sz w:val="24"/>
          <w:lang w:val="lv-LV"/>
        </w:rPr>
        <w:footnoteRef/>
      </w:r>
      <w:r w:rsidR="00776C2D" w:rsidRPr="00776C2D">
        <w:rPr>
          <w:sz w:val="24"/>
          <w:lang w:val="lv-LV"/>
        </w:rPr>
        <w:t xml:space="preserve"> </w:t>
      </w:r>
      <w:r w:rsidR="00776C2D" w:rsidRPr="00776C2D">
        <w:rPr>
          <w:sz w:val="24"/>
          <w:lang w:val="lv-LV"/>
        </w:rPr>
        <w:tab/>
      </w:r>
      <w:r w:rsidRPr="00776C2D">
        <w:rPr>
          <w:sz w:val="24"/>
          <w:lang w:val="lv-LV"/>
        </w:rPr>
        <w:t>EFSA Ģenētiski modificēto organismu ekspertu grupas zinātniskais atzinums “</w:t>
      </w:r>
      <w:r w:rsidRPr="00776C2D">
        <w:rPr>
          <w:i/>
          <w:iCs/>
          <w:sz w:val="24"/>
          <w:lang w:val="lv-LV"/>
        </w:rPr>
        <w:t>On applications EFSA-GMO-RX-T25 and EFSA-GMO-NL-2007-46 for the renewal of authorisation of maize T25, and for the placing on the market of herbicide-tolerant genetically modified maize T25, both for food and feed uses, import and processing under Regulation (EC) No 1829/2003 from Bayer CropScience AG</w:t>
      </w:r>
      <w:r w:rsidRPr="00776C2D">
        <w:rPr>
          <w:sz w:val="24"/>
          <w:lang w:val="lv-LV"/>
        </w:rPr>
        <w:t xml:space="preserve">”, </w:t>
      </w:r>
      <w:r w:rsidRPr="00776C2D">
        <w:rPr>
          <w:i/>
          <w:sz w:val="24"/>
          <w:lang w:val="lv-LV"/>
        </w:rPr>
        <w:t xml:space="preserve">EFSA Journal, </w:t>
      </w:r>
      <w:r w:rsidRPr="00776C2D">
        <w:rPr>
          <w:sz w:val="24"/>
          <w:lang w:val="lv-LV"/>
        </w:rPr>
        <w:t xml:space="preserve">2013, 11(10):3356, </w:t>
      </w:r>
      <w:hyperlink r:id="rId15" w:history="1">
        <w:r w:rsidRPr="00776C2D">
          <w:rPr>
            <w:rStyle w:val="Hyperlink"/>
            <w:sz w:val="24"/>
            <w:lang w:val="lv-LV"/>
          </w:rPr>
          <w:t>https://doi.org/10.2903/j.efsa.2013.3356</w:t>
        </w:r>
      </w:hyperlink>
      <w:r w:rsidRPr="00776C2D">
        <w:rPr>
          <w:sz w:val="24"/>
          <w:lang w:val="lv-LV"/>
        </w:rPr>
        <w:t>.</w:t>
      </w:r>
    </w:p>
  </w:footnote>
  <w:footnote w:id="7">
    <w:p w14:paraId="08040538" w14:textId="0CB222C9" w:rsidR="0012710D" w:rsidRPr="00776C2D" w:rsidRDefault="0012710D" w:rsidP="00776C2D">
      <w:pPr>
        <w:pStyle w:val="FootnoteText"/>
        <w:ind w:left="567" w:hanging="567"/>
        <w:rPr>
          <w:sz w:val="24"/>
          <w:lang w:val="lv-LV"/>
        </w:rPr>
      </w:pPr>
      <w:r w:rsidRPr="00776C2D">
        <w:rPr>
          <w:rStyle w:val="FootnoteReference"/>
          <w:sz w:val="24"/>
          <w:lang w:val="lv-LV"/>
        </w:rPr>
        <w:footnoteRef/>
      </w:r>
      <w:r w:rsidR="00776C2D" w:rsidRPr="00776C2D">
        <w:rPr>
          <w:sz w:val="24"/>
          <w:shd w:val="clear" w:color="auto" w:fill="FFFFFF"/>
          <w:lang w:val="lv-LV"/>
        </w:rPr>
        <w:t xml:space="preserve"> </w:t>
      </w:r>
      <w:r w:rsidR="00776C2D" w:rsidRPr="00776C2D">
        <w:rPr>
          <w:sz w:val="24"/>
          <w:shd w:val="clear" w:color="auto" w:fill="FFFFFF"/>
          <w:lang w:val="lv-LV"/>
        </w:rPr>
        <w:tab/>
      </w:r>
      <w:r w:rsidRPr="00776C2D">
        <w:rPr>
          <w:sz w:val="24"/>
          <w:shd w:val="clear" w:color="auto" w:fill="FFFFFF"/>
          <w:lang w:val="lv-LV"/>
        </w:rPr>
        <w:t xml:space="preserve">Sk., piemēram, </w:t>
      </w:r>
      <w:r w:rsidRPr="00776C2D">
        <w:rPr>
          <w:i/>
          <w:iCs/>
          <w:sz w:val="24"/>
          <w:shd w:val="clear" w:color="auto" w:fill="FFFFFF"/>
          <w:lang w:val="lv-LV"/>
        </w:rPr>
        <w:t>Bonny, S.</w:t>
      </w:r>
      <w:r w:rsidRPr="00776C2D">
        <w:rPr>
          <w:sz w:val="24"/>
          <w:shd w:val="clear" w:color="auto" w:fill="FFFFFF"/>
          <w:lang w:val="lv-LV"/>
        </w:rPr>
        <w:t>, “</w:t>
      </w:r>
      <w:r w:rsidRPr="00776C2D">
        <w:rPr>
          <w:i/>
          <w:iCs/>
          <w:sz w:val="24"/>
          <w:shd w:val="clear" w:color="auto" w:fill="FFFFFF"/>
          <w:lang w:val="lv-LV"/>
        </w:rPr>
        <w:t>Genetically Modified Herbicide-Tolerant Crops, Weeds, and Herbicides:</w:t>
      </w:r>
      <w:r w:rsidRPr="00776C2D">
        <w:rPr>
          <w:sz w:val="24"/>
          <w:shd w:val="clear" w:color="auto" w:fill="FFFFFF"/>
          <w:lang w:val="lv-LV"/>
        </w:rPr>
        <w:t xml:space="preserve"> </w:t>
      </w:r>
      <w:r w:rsidRPr="00776C2D">
        <w:rPr>
          <w:i/>
          <w:iCs/>
          <w:sz w:val="24"/>
          <w:shd w:val="clear" w:color="auto" w:fill="FFFFFF"/>
          <w:lang w:val="lv-LV"/>
        </w:rPr>
        <w:t>Overview and Impact</w:t>
      </w:r>
      <w:r w:rsidRPr="00776C2D">
        <w:rPr>
          <w:sz w:val="24"/>
          <w:shd w:val="clear" w:color="auto" w:fill="FFFFFF"/>
          <w:lang w:val="lv-LV"/>
        </w:rPr>
        <w:t xml:space="preserve">”, </w:t>
      </w:r>
      <w:r w:rsidRPr="00776C2D">
        <w:rPr>
          <w:i/>
          <w:iCs/>
          <w:sz w:val="24"/>
          <w:shd w:val="clear" w:color="auto" w:fill="FFFFFF"/>
          <w:lang w:val="lv-LV"/>
        </w:rPr>
        <w:t>Environmental Management</w:t>
      </w:r>
      <w:r w:rsidRPr="00776C2D">
        <w:rPr>
          <w:sz w:val="24"/>
          <w:shd w:val="clear" w:color="auto" w:fill="FFFFFF"/>
          <w:lang w:val="lv-LV"/>
        </w:rPr>
        <w:t xml:space="preserve">, 2016. gada janvāris; 57(1), 31.–48. lpp., </w:t>
      </w:r>
      <w:bookmarkStart w:id="15" w:name="_Hlk219208464"/>
      <w:r w:rsidRPr="00776C2D">
        <w:rPr>
          <w:sz w:val="24"/>
          <w:shd w:val="clear" w:color="auto" w:fill="FFFFFF"/>
          <w:lang w:val="lv-LV"/>
        </w:rPr>
        <w:t xml:space="preserve">https://www.ncbi.nlm.nih.gov/pubmed/26296738 </w:t>
      </w:r>
      <w:bookmarkEnd w:id="15"/>
      <w:r w:rsidRPr="00776C2D">
        <w:rPr>
          <w:sz w:val="24"/>
          <w:shd w:val="clear" w:color="auto" w:fill="FFFFFF"/>
          <w:lang w:val="lv-LV"/>
        </w:rPr>
        <w:t xml:space="preserve">un </w:t>
      </w:r>
      <w:r w:rsidRPr="00776C2D">
        <w:rPr>
          <w:i/>
          <w:iCs/>
          <w:sz w:val="24"/>
          <w:shd w:val="clear" w:color="auto" w:fill="FFFFFF"/>
          <w:lang w:val="lv-LV"/>
        </w:rPr>
        <w:t>Benbrook, C.M.</w:t>
      </w:r>
      <w:r w:rsidRPr="00776C2D">
        <w:rPr>
          <w:sz w:val="24"/>
          <w:shd w:val="clear" w:color="auto" w:fill="FFFFFF"/>
          <w:lang w:val="lv-LV"/>
        </w:rPr>
        <w:t>, “</w:t>
      </w:r>
      <w:r w:rsidRPr="00776C2D">
        <w:rPr>
          <w:i/>
          <w:iCs/>
          <w:sz w:val="24"/>
          <w:shd w:val="clear" w:color="auto" w:fill="FFFFFF"/>
          <w:lang w:val="lv-LV"/>
        </w:rPr>
        <w:t>Impacts of genetically engineered crops on pesticide use in the U.S. - the first sixteen years</w:t>
      </w:r>
      <w:r w:rsidRPr="00776C2D">
        <w:rPr>
          <w:sz w:val="24"/>
          <w:shd w:val="clear" w:color="auto" w:fill="FFFFFF"/>
          <w:lang w:val="lv-LV"/>
        </w:rPr>
        <w:t xml:space="preserve">”, </w:t>
      </w:r>
      <w:r w:rsidRPr="00776C2D">
        <w:rPr>
          <w:i/>
          <w:iCs/>
          <w:sz w:val="24"/>
          <w:shd w:val="clear" w:color="auto" w:fill="FFFFFF"/>
          <w:lang w:val="lv-LV"/>
        </w:rPr>
        <w:t>Environmental Sciences Europe</w:t>
      </w:r>
      <w:r w:rsidRPr="00776C2D">
        <w:rPr>
          <w:sz w:val="24"/>
          <w:shd w:val="clear" w:color="auto" w:fill="FFFFFF"/>
          <w:lang w:val="lv-LV"/>
        </w:rPr>
        <w:t xml:space="preserve">, 2012. gada 28. septembris, 24(1), </w:t>
      </w:r>
      <w:bookmarkStart w:id="16" w:name="_Hlk219208485"/>
      <w:r w:rsidRPr="00776C2D">
        <w:fldChar w:fldCharType="begin"/>
      </w:r>
      <w:r w:rsidRPr="00776C2D">
        <w:rPr>
          <w:sz w:val="24"/>
          <w:lang w:val="lv-LV"/>
        </w:rPr>
        <w:instrText>HYPERLINK "https://doi.org/10.1186/2190-4715-24-24"</w:instrText>
      </w:r>
      <w:r w:rsidRPr="00776C2D">
        <w:fldChar w:fldCharType="separate"/>
      </w:r>
      <w:r w:rsidRPr="00776C2D">
        <w:rPr>
          <w:rStyle w:val="Hyperlink"/>
          <w:sz w:val="24"/>
          <w:lang w:val="lv-LV"/>
        </w:rPr>
        <w:t>https://doi.org/10.1186/2190-4715-24-24</w:t>
      </w:r>
      <w:r w:rsidRPr="00776C2D">
        <w:rPr>
          <w:rStyle w:val="Hyperlink"/>
          <w:sz w:val="24"/>
          <w:lang w:val="lv-LV"/>
        </w:rPr>
        <w:fldChar w:fldCharType="end"/>
      </w:r>
      <w:r w:rsidRPr="00776C2D">
        <w:rPr>
          <w:sz w:val="24"/>
          <w:lang w:val="lv-LV"/>
        </w:rPr>
        <w:t>.</w:t>
      </w:r>
      <w:bookmarkEnd w:id="16"/>
      <w:r w:rsidRPr="00776C2D">
        <w:rPr>
          <w:sz w:val="24"/>
          <w:shd w:val="clear" w:color="auto" w:fill="FFFFFF"/>
          <w:lang w:val="lv-LV"/>
        </w:rPr>
        <w:t xml:space="preserve"> </w:t>
      </w:r>
    </w:p>
  </w:footnote>
  <w:footnote w:id="8">
    <w:p w14:paraId="1D48EDEB" w14:textId="3DA13E6B" w:rsidR="0012710D" w:rsidRPr="00776C2D" w:rsidRDefault="0012710D" w:rsidP="00776C2D">
      <w:pPr>
        <w:pStyle w:val="FootnoteText"/>
        <w:ind w:left="567" w:hanging="567"/>
        <w:rPr>
          <w:sz w:val="24"/>
          <w:lang w:val="lv-LV"/>
        </w:rPr>
      </w:pPr>
      <w:r w:rsidRPr="00776C2D">
        <w:rPr>
          <w:rStyle w:val="FootnoteReference"/>
          <w:sz w:val="24"/>
          <w:lang w:val="lv-LV"/>
        </w:rPr>
        <w:footnoteRef/>
      </w:r>
      <w:r w:rsidR="00776C2D" w:rsidRPr="00776C2D">
        <w:rPr>
          <w:sz w:val="24"/>
          <w:lang w:val="lv-LV"/>
        </w:rPr>
        <w:t xml:space="preserve"> </w:t>
      </w:r>
      <w:r w:rsidR="00776C2D" w:rsidRPr="00776C2D">
        <w:rPr>
          <w:sz w:val="24"/>
          <w:lang w:val="lv-LV"/>
        </w:rPr>
        <w:tab/>
      </w:r>
      <w:r w:rsidRPr="00776C2D">
        <w:rPr>
          <w:sz w:val="24"/>
          <w:lang w:val="lv-LV"/>
        </w:rPr>
        <w:t>Sk., piemēram:</w:t>
      </w:r>
      <w:bookmarkStart w:id="17" w:name="_Hlk219286352"/>
      <w:bookmarkStart w:id="18" w:name="_Hlk219208511"/>
      <w:r w:rsidRPr="00776C2D">
        <w:rPr>
          <w:rStyle w:val="Hyperlink"/>
          <w:sz w:val="24"/>
          <w:lang w:val="lv-LV"/>
        </w:rPr>
        <w:t xml:space="preserve"> </w:t>
      </w:r>
      <w:hyperlink r:id="rId16" w:history="1">
        <w:r w:rsidRPr="00776C2D">
          <w:rPr>
            <w:rStyle w:val="Hyperlink"/>
            <w:sz w:val="24"/>
            <w:lang w:val="lv-LV"/>
          </w:rPr>
          <w:t>https://doi.org/10.1002/ps.8105</w:t>
        </w:r>
      </w:hyperlink>
      <w:r w:rsidRPr="00776C2D">
        <w:rPr>
          <w:sz w:val="24"/>
          <w:shd w:val="clear" w:color="auto" w:fill="FFFFFF"/>
          <w:lang w:val="lv-LV"/>
        </w:rPr>
        <w:t xml:space="preserve"> un</w:t>
      </w:r>
      <w:bookmarkEnd w:id="17"/>
      <w:r w:rsidRPr="00776C2D">
        <w:rPr>
          <w:sz w:val="24"/>
          <w:shd w:val="clear" w:color="auto" w:fill="FFFFFF"/>
          <w:lang w:val="lv-LV"/>
        </w:rPr>
        <w:t xml:space="preserve"> </w:t>
      </w:r>
      <w:hyperlink r:id="rId17" w:history="1">
        <w:r w:rsidRPr="00776C2D">
          <w:rPr>
            <w:rStyle w:val="Hyperlink"/>
            <w:sz w:val="24"/>
            <w:lang w:val="lv-LV"/>
          </w:rPr>
          <w:t>https://doi.org/10.1016/j.geoforum.2009.03.009</w:t>
        </w:r>
      </w:hyperlink>
      <w:r w:rsidRPr="00776C2D">
        <w:rPr>
          <w:sz w:val="24"/>
          <w:lang w:val="lv-LV"/>
        </w:rPr>
        <w:t>.</w:t>
      </w:r>
      <w:bookmarkEnd w:id="18"/>
    </w:p>
  </w:footnote>
  <w:footnote w:id="9">
    <w:p w14:paraId="11DC092B" w14:textId="1E82FEDE" w:rsidR="0012710D" w:rsidRPr="00776C2D" w:rsidRDefault="0012710D" w:rsidP="00776C2D">
      <w:pPr>
        <w:pStyle w:val="FootnoteText"/>
        <w:ind w:left="567" w:hanging="567"/>
        <w:rPr>
          <w:sz w:val="24"/>
          <w:lang w:val="lv-LV"/>
        </w:rPr>
      </w:pPr>
      <w:r w:rsidRPr="00776C2D">
        <w:rPr>
          <w:rStyle w:val="FootnoteReference"/>
          <w:sz w:val="24"/>
          <w:lang w:val="lv-LV"/>
        </w:rPr>
        <w:footnoteRef/>
      </w:r>
      <w:r w:rsidR="00776C2D" w:rsidRPr="00776C2D">
        <w:rPr>
          <w:sz w:val="24"/>
          <w:lang w:val="lv-LV"/>
        </w:rPr>
        <w:t xml:space="preserve"> </w:t>
      </w:r>
      <w:r w:rsidR="00776C2D" w:rsidRPr="00776C2D">
        <w:rPr>
          <w:sz w:val="24"/>
          <w:lang w:val="lv-LV"/>
        </w:rPr>
        <w:tab/>
      </w:r>
      <w:r w:rsidRPr="00776C2D">
        <w:rPr>
          <w:sz w:val="24"/>
          <w:lang w:val="lv-LV"/>
        </w:rPr>
        <w:t>Eiropas Parlamenta un Padomes Regula (EK) Nr. 1107/2009 (2009. gada 21. oktobris ) par augu aizsardzības līdzekļu laišanu tirgū, ar ko atceļ Padomes Direktīvas 79/117/EEK un 91/414/EEK (OV L 309, 24.11.2009., 1. lpp., ELI: </w:t>
      </w:r>
      <w:hyperlink r:id="rId18" w:tooltip="Nodrošina piekļuvi dokumentam, izmantojot ELI URI." w:history="1">
        <w:r w:rsidRPr="00776C2D">
          <w:rPr>
            <w:rStyle w:val="Hyperlink"/>
            <w:sz w:val="24"/>
            <w:lang w:val="lv-LV"/>
          </w:rPr>
          <w:t>http://data.europa.eu/eli/reg/2009/1107/oj</w:t>
        </w:r>
      </w:hyperlink>
      <w:r w:rsidRPr="00776C2D">
        <w:rPr>
          <w:sz w:val="24"/>
          <w:lang w:val="lv-LV"/>
        </w:rPr>
        <w:t>).</w:t>
      </w:r>
    </w:p>
  </w:footnote>
  <w:footnote w:id="10">
    <w:p w14:paraId="41588452" w14:textId="52B25A53" w:rsidR="0012710D" w:rsidRPr="00776C2D" w:rsidRDefault="0012710D" w:rsidP="00776C2D">
      <w:pPr>
        <w:pStyle w:val="FootnoteText"/>
        <w:ind w:left="567" w:hanging="567"/>
        <w:rPr>
          <w:sz w:val="24"/>
          <w:lang w:val="lv-LV"/>
        </w:rPr>
      </w:pPr>
      <w:r w:rsidRPr="00776C2D">
        <w:rPr>
          <w:rStyle w:val="FootnoteReference"/>
          <w:sz w:val="24"/>
          <w:lang w:val="lv-LV"/>
        </w:rPr>
        <w:footnoteRef/>
      </w:r>
      <w:r w:rsidR="00776C2D" w:rsidRPr="00776C2D">
        <w:rPr>
          <w:color w:val="000000" w:themeColor="text1"/>
          <w:sz w:val="24"/>
          <w:lang w:val="lv-LV"/>
        </w:rPr>
        <w:t xml:space="preserve"> </w:t>
      </w:r>
      <w:r w:rsidR="00776C2D" w:rsidRPr="00776C2D">
        <w:rPr>
          <w:color w:val="000000" w:themeColor="text1"/>
          <w:sz w:val="24"/>
          <w:lang w:val="lv-LV"/>
        </w:rPr>
        <w:tab/>
      </w:r>
      <w:r w:rsidRPr="00776C2D">
        <w:rPr>
          <w:color w:val="000000" w:themeColor="text1"/>
          <w:sz w:val="24"/>
          <w:lang w:val="lv-LV"/>
        </w:rPr>
        <w:t>2022. gada decembrī Apvienoto Nāciju Organizācijas Konvencijas par bioloģisko daudzveidību Pušu konferences 15. sesijā tika panākta vienošanās par globālo biodaudzveidības satvaru, kas ietver globālu mērķi līdz 2030. gadam vismaz par 50</w:t>
      </w:r>
      <w:r w:rsidRPr="00776C2D">
        <w:rPr>
          <w:sz w:val="24"/>
          <w:lang w:val="lv-LV"/>
        </w:rPr>
        <w:t> </w:t>
      </w:r>
      <w:r w:rsidRPr="00776C2D">
        <w:rPr>
          <w:color w:val="000000" w:themeColor="text1"/>
          <w:sz w:val="24"/>
          <w:lang w:val="lv-LV"/>
        </w:rPr>
        <w:t xml:space="preserve">% samazināt pesticīdu radīto apdraudējumu (sk.: </w:t>
      </w:r>
      <w:hyperlink r:id="rId19" w:history="1">
        <w:r w:rsidRPr="00776C2D">
          <w:rPr>
            <w:rStyle w:val="Hyperlink"/>
            <w:sz w:val="24"/>
            <w:lang w:val="lv-LV"/>
          </w:rPr>
          <w:t>https://ec.europa.eu/commission/presscorner/detail/lv/ip_22_7834</w:t>
        </w:r>
      </w:hyperlink>
      <w:r w:rsidRPr="00776C2D">
        <w:rPr>
          <w:sz w:val="24"/>
          <w:lang w:val="lv-LV"/>
        </w:rPr>
        <w:t xml:space="preserve">). </w:t>
      </w:r>
    </w:p>
  </w:footnote>
  <w:footnote w:id="11">
    <w:p w14:paraId="7BD9257D" w14:textId="775BE1B3" w:rsidR="0012710D" w:rsidRPr="00776C2D" w:rsidRDefault="0012710D" w:rsidP="00776C2D">
      <w:pPr>
        <w:pStyle w:val="FootnoteText"/>
        <w:ind w:left="567" w:hanging="567"/>
        <w:rPr>
          <w:sz w:val="24"/>
          <w:lang w:val="lv-LV"/>
        </w:rPr>
      </w:pPr>
      <w:r w:rsidRPr="00776C2D">
        <w:rPr>
          <w:rStyle w:val="FootnoteReference"/>
          <w:sz w:val="24"/>
          <w:lang w:val="lv-LV"/>
        </w:rPr>
        <w:footnoteRef/>
      </w:r>
      <w:r w:rsidR="00776C2D" w:rsidRPr="00776C2D">
        <w:rPr>
          <w:sz w:val="24"/>
          <w:lang w:val="lv-LV"/>
        </w:rPr>
        <w:t xml:space="preserve"> </w:t>
      </w:r>
      <w:r w:rsidR="00776C2D" w:rsidRPr="00776C2D">
        <w:rPr>
          <w:sz w:val="24"/>
          <w:lang w:val="lv-LV"/>
        </w:rPr>
        <w:tab/>
      </w:r>
      <w:hyperlink r:id="rId20" w:history="1">
        <w:r w:rsidRPr="00776C2D">
          <w:rPr>
            <w:rStyle w:val="Hyperlink"/>
            <w:sz w:val="24"/>
            <w:lang w:val="lv-LV"/>
          </w:rPr>
          <w:t>https://commission.europa.eu/topics/agriculture-and-rural-development/strategic-dialogue-future-eu-agriculture_lv</w:t>
        </w:r>
      </w:hyperlink>
      <w:r w:rsidRPr="00776C2D">
        <w:rPr>
          <w:rStyle w:val="Hyperlink"/>
          <w:sz w:val="24"/>
          <w:lang w:val="lv-LV"/>
        </w:rPr>
        <w:t>.</w:t>
      </w:r>
      <w:r w:rsidRPr="00776C2D">
        <w:rPr>
          <w:sz w:val="24"/>
          <w:lang w:val="lv-LV"/>
        </w:rPr>
        <w:t xml:space="preserve"> </w:t>
      </w:r>
    </w:p>
  </w:footnote>
  <w:footnote w:id="12">
    <w:p w14:paraId="5480153C" w14:textId="0FA8DCF4" w:rsidR="0012710D" w:rsidRPr="00776C2D" w:rsidRDefault="0012710D" w:rsidP="00776C2D">
      <w:pPr>
        <w:pStyle w:val="FootnoteText"/>
        <w:ind w:left="567" w:hanging="567"/>
        <w:rPr>
          <w:sz w:val="24"/>
          <w:lang w:val="lv-LV"/>
        </w:rPr>
      </w:pPr>
      <w:r w:rsidRPr="00776C2D">
        <w:rPr>
          <w:rStyle w:val="FootnoteReference"/>
          <w:sz w:val="24"/>
          <w:lang w:val="lv-LV"/>
        </w:rPr>
        <w:footnoteRef/>
      </w:r>
      <w:r w:rsidR="00776C2D" w:rsidRPr="00776C2D">
        <w:rPr>
          <w:sz w:val="24"/>
          <w:lang w:val="lv-LV"/>
        </w:rPr>
        <w:t xml:space="preserve"> </w:t>
      </w:r>
      <w:r w:rsidR="00776C2D" w:rsidRPr="00776C2D">
        <w:rPr>
          <w:sz w:val="24"/>
          <w:lang w:val="lv-LV"/>
        </w:rPr>
        <w:tab/>
      </w:r>
      <w:r w:rsidRPr="00776C2D">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w:t>
      </w:r>
      <w:r w:rsidRPr="00776C2D">
        <w:rPr>
          <w:color w:val="000000" w:themeColor="text1"/>
          <w:sz w:val="24"/>
          <w:lang w:val="lv-LV"/>
        </w:rPr>
        <w:t xml:space="preserve"> ELI: </w:t>
      </w:r>
      <w:hyperlink r:id="rId21" w:tgtFrame="Gives access to this document through its ELI URI." w:history="1">
        <w:r w:rsidRPr="00776C2D">
          <w:rPr>
            <w:rStyle w:val="Hyperlink"/>
            <w:color w:val="0070C0"/>
            <w:sz w:val="24"/>
            <w:lang w:val="lv-LV"/>
          </w:rPr>
          <w:t>http://data.europa.eu/eli/reg/2002/178/oj</w:t>
        </w:r>
      </w:hyperlink>
      <w:r w:rsidRPr="00776C2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37F2" w14:textId="77777777" w:rsidR="00064002" w:rsidRPr="00776C2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102B" w14:textId="77777777" w:rsidR="00064002" w:rsidRPr="00776C2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3E34" w14:textId="77777777" w:rsidR="00064002" w:rsidRPr="00776C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7254549">
    <w:abstractNumId w:val="9"/>
  </w:num>
  <w:num w:numId="2" w16cid:durableId="1037660800">
    <w:abstractNumId w:val="9"/>
  </w:num>
  <w:num w:numId="3" w16cid:durableId="1099957663">
    <w:abstractNumId w:val="7"/>
  </w:num>
  <w:num w:numId="4" w16cid:durableId="766728440">
    <w:abstractNumId w:val="7"/>
  </w:num>
  <w:num w:numId="5" w16cid:durableId="1528907488">
    <w:abstractNumId w:val="6"/>
  </w:num>
  <w:num w:numId="6" w16cid:durableId="2030715326">
    <w:abstractNumId w:val="6"/>
  </w:num>
  <w:num w:numId="7" w16cid:durableId="577248097">
    <w:abstractNumId w:val="5"/>
  </w:num>
  <w:num w:numId="8" w16cid:durableId="2007053799">
    <w:abstractNumId w:val="5"/>
  </w:num>
  <w:num w:numId="9" w16cid:durableId="1782534151">
    <w:abstractNumId w:val="4"/>
  </w:num>
  <w:num w:numId="10" w16cid:durableId="1276405480">
    <w:abstractNumId w:val="4"/>
  </w:num>
  <w:num w:numId="11" w16cid:durableId="1691643624">
    <w:abstractNumId w:val="8"/>
  </w:num>
  <w:num w:numId="12" w16cid:durableId="245966140">
    <w:abstractNumId w:val="8"/>
  </w:num>
  <w:num w:numId="13" w16cid:durableId="687171500">
    <w:abstractNumId w:val="3"/>
  </w:num>
  <w:num w:numId="14" w16cid:durableId="137115274">
    <w:abstractNumId w:val="3"/>
  </w:num>
  <w:num w:numId="15" w16cid:durableId="111365929">
    <w:abstractNumId w:val="2"/>
  </w:num>
  <w:num w:numId="16" w16cid:durableId="1748116399">
    <w:abstractNumId w:val="2"/>
  </w:num>
  <w:num w:numId="17" w16cid:durableId="2066640503">
    <w:abstractNumId w:val="1"/>
  </w:num>
  <w:num w:numId="18" w16cid:durableId="1744450968">
    <w:abstractNumId w:val="1"/>
  </w:num>
  <w:num w:numId="19" w16cid:durableId="1112940588">
    <w:abstractNumId w:val="0"/>
  </w:num>
  <w:num w:numId="20" w16cid:durableId="794174385">
    <w:abstractNumId w:val="0"/>
  </w:num>
  <w:num w:numId="21" w16cid:durableId="2033532448">
    <w:abstractNumId w:val="9"/>
  </w:num>
  <w:num w:numId="22" w16cid:durableId="317736152">
    <w:abstractNumId w:val="7"/>
  </w:num>
  <w:num w:numId="23" w16cid:durableId="2143502546">
    <w:abstractNumId w:val="6"/>
  </w:num>
  <w:num w:numId="24" w16cid:durableId="75978161">
    <w:abstractNumId w:val="5"/>
  </w:num>
  <w:num w:numId="25" w16cid:durableId="16124833">
    <w:abstractNumId w:val="4"/>
  </w:num>
  <w:num w:numId="26" w16cid:durableId="557404296">
    <w:abstractNumId w:val="8"/>
  </w:num>
  <w:num w:numId="27" w16cid:durableId="939023677">
    <w:abstractNumId w:val="3"/>
  </w:num>
  <w:num w:numId="28" w16cid:durableId="618880806">
    <w:abstractNumId w:val="2"/>
  </w:num>
  <w:num w:numId="29" w16cid:durableId="1894467560">
    <w:abstractNumId w:val="1"/>
  </w:num>
  <w:num w:numId="30" w16cid:durableId="2131900435">
    <w:abstractNumId w:val="0"/>
  </w:num>
  <w:num w:numId="31" w16cid:durableId="1285884528">
    <w:abstractNumId w:val="9"/>
  </w:num>
  <w:num w:numId="32" w16cid:durableId="1258977589">
    <w:abstractNumId w:val="7"/>
  </w:num>
  <w:num w:numId="33" w16cid:durableId="2006084901">
    <w:abstractNumId w:val="6"/>
  </w:num>
  <w:num w:numId="34" w16cid:durableId="2032489249">
    <w:abstractNumId w:val="5"/>
  </w:num>
  <w:num w:numId="35" w16cid:durableId="587424912">
    <w:abstractNumId w:val="4"/>
  </w:num>
  <w:num w:numId="36" w16cid:durableId="248848798">
    <w:abstractNumId w:val="8"/>
  </w:num>
  <w:num w:numId="37" w16cid:durableId="385571019">
    <w:abstractNumId w:val="3"/>
  </w:num>
  <w:num w:numId="38" w16cid:durableId="1516650771">
    <w:abstractNumId w:val="2"/>
  </w:num>
  <w:num w:numId="39" w16cid:durableId="1507869002">
    <w:abstractNumId w:val="1"/>
  </w:num>
  <w:num w:numId="40" w16cid:durableId="1159031214">
    <w:abstractNumId w:val="0"/>
  </w:num>
  <w:num w:numId="41" w16cid:durableId="1992976577">
    <w:abstractNumId w:val="10"/>
  </w:num>
  <w:num w:numId="42" w16cid:durableId="884558552">
    <w:abstractNumId w:val="10"/>
  </w:num>
  <w:num w:numId="43" w16cid:durableId="1291785020">
    <w:abstractNumId w:val="10"/>
  </w:num>
  <w:num w:numId="44" w16cid:durableId="17376312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LV"/>
    <w:docVar w:name="dvnumam" w:val="0"/>
    <w:docVar w:name="dvpe" w:val="782.204"/>
    <w:docVar w:name="dvtitre" w:val="Eiropas Parlamenta 2026. gada XX. XXX  rezolūcija par projektu Komisijas īstenošanas lēmumam, ar ko atbilstoši Eiropas Parlamenta un Padomes Regulai (EK) Nr. 1829/2003 tiek atjaunota atļauja laist tirgū produktus, kas satur ģenētiski modificētu kukurūzu T25 (ACS-ZMØØ3-2), sastāv vai ir ražoti no tās(D111473/02 – 2026/2535(RSP))"/>
  </w:docVars>
  <w:rsids>
    <w:rsidRoot w:val="003F6FD7"/>
    <w:rsid w:val="00002272"/>
    <w:rsid w:val="00064002"/>
    <w:rsid w:val="000677B9"/>
    <w:rsid w:val="000831BA"/>
    <w:rsid w:val="000A42CC"/>
    <w:rsid w:val="000E7DD9"/>
    <w:rsid w:val="0010095E"/>
    <w:rsid w:val="00125B37"/>
    <w:rsid w:val="0012710D"/>
    <w:rsid w:val="00187494"/>
    <w:rsid w:val="001F32AE"/>
    <w:rsid w:val="002767FF"/>
    <w:rsid w:val="002B18FE"/>
    <w:rsid w:val="002B5493"/>
    <w:rsid w:val="00343214"/>
    <w:rsid w:val="00361C00"/>
    <w:rsid w:val="00395FA1"/>
    <w:rsid w:val="003E15D4"/>
    <w:rsid w:val="003F6FD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6C2D"/>
    <w:rsid w:val="00786EC0"/>
    <w:rsid w:val="007D1690"/>
    <w:rsid w:val="007E22AD"/>
    <w:rsid w:val="007E670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239"/>
    <w:rsid w:val="00B22876"/>
    <w:rsid w:val="00B558F0"/>
    <w:rsid w:val="00BD48FE"/>
    <w:rsid w:val="00BD7BD8"/>
    <w:rsid w:val="00BE6ADC"/>
    <w:rsid w:val="00C05BFE"/>
    <w:rsid w:val="00C23CD4"/>
    <w:rsid w:val="00C61C0C"/>
    <w:rsid w:val="00C941CB"/>
    <w:rsid w:val="00CB343C"/>
    <w:rsid w:val="00CC2357"/>
    <w:rsid w:val="00CF071A"/>
    <w:rsid w:val="00D058B8"/>
    <w:rsid w:val="00D56C11"/>
    <w:rsid w:val="00D63985"/>
    <w:rsid w:val="00D834A0"/>
    <w:rsid w:val="00D872DF"/>
    <w:rsid w:val="00D91E21"/>
    <w:rsid w:val="00DA7FCD"/>
    <w:rsid w:val="00E02828"/>
    <w:rsid w:val="00E365E1"/>
    <w:rsid w:val="00E820A4"/>
    <w:rsid w:val="00E9343A"/>
    <w:rsid w:val="00EB006A"/>
    <w:rsid w:val="00EB4772"/>
    <w:rsid w:val="00ED169E"/>
    <w:rsid w:val="00ED4235"/>
    <w:rsid w:val="00F04346"/>
    <w:rsid w:val="00F075DC"/>
    <w:rsid w:val="00F149E9"/>
    <w:rsid w:val="00F5134D"/>
    <w:rsid w:val="00F74202"/>
    <w:rsid w:val="00F87713"/>
    <w:rsid w:val="00FB4360"/>
    <w:rsid w:val="00FD0C70"/>
    <w:rsid w:val="00FD36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F2D82"/>
  <w15:chartTrackingRefBased/>
  <w15:docId w15:val="{1C6EA728-7328-4811-B55D-B2B0C6E4B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2710D"/>
    <w:pPr>
      <w:spacing w:before="480" w:after="240"/>
    </w:pPr>
  </w:style>
  <w:style w:type="paragraph" w:customStyle="1" w:styleId="NormalHanging12a">
    <w:name w:val="NormalHanging12a"/>
    <w:basedOn w:val="Normal"/>
    <w:uiPriority w:val="99"/>
    <w:qFormat/>
    <w:rsid w:val="0012710D"/>
    <w:pPr>
      <w:spacing w:after="240"/>
      <w:ind w:left="567" w:hanging="567"/>
    </w:pPr>
  </w:style>
  <w:style w:type="paragraph" w:customStyle="1" w:styleId="NormalBold">
    <w:name w:val="NormalBold"/>
    <w:basedOn w:val="Normal"/>
    <w:uiPriority w:val="99"/>
    <w:rsid w:val="0012710D"/>
    <w:rPr>
      <w:b/>
    </w:rPr>
  </w:style>
  <w:style w:type="character" w:styleId="Hyperlink">
    <w:name w:val="Hyperlink"/>
    <w:basedOn w:val="DefaultParagraphFont"/>
    <w:uiPriority w:val="99"/>
    <w:rsid w:val="0012710D"/>
    <w:rPr>
      <w:color w:val="0563C1" w:themeColor="hyperlink"/>
      <w:u w:val="single"/>
    </w:rPr>
  </w:style>
  <w:style w:type="paragraph" w:styleId="NormalWeb">
    <w:name w:val="Normal (Web)"/>
    <w:basedOn w:val="Normal"/>
    <w:uiPriority w:val="99"/>
    <w:unhideWhenUsed/>
    <w:rsid w:val="0012710D"/>
    <w:pPr>
      <w:widowControl/>
      <w:spacing w:before="100" w:beforeAutospacing="1" w:after="100" w:afterAutospacing="1"/>
    </w:pPr>
    <w:rPr>
      <w:szCs w:val="24"/>
    </w:rPr>
  </w:style>
  <w:style w:type="paragraph" w:styleId="Revision">
    <w:name w:val="Revision"/>
    <w:hidden/>
    <w:uiPriority w:val="99"/>
    <w:semiHidden/>
    <w:rsid w:val="00FD368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topics/agriculture-and-rural-development/strategic-dialogue-future-eu-agriculture_lv"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en/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1227</Words>
  <Characters>8088</Characters>
  <Application>Microsoft Office Word</Application>
  <DocSecurity>0</DocSecurity>
  <Lines>161</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2026-03-17T10:45:00Z</dcterms:created>
  <dcterms:modified xsi:type="dcterms:W3CDTF">2026-03-17T10:45:00Z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B10-0106/2026</vt:lpwstr>
  </property>
  <property fmtid="{D5CDD505-2E9C-101B-9397-08002B2CF9AE}" pid="4" name="&lt;Type&gt;">
    <vt:lpwstr>RR</vt:lpwstr>
  </property>
</Properties>
</file>