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4D94" w14:paraId="1BD5AFB0" w14:textId="77777777" w:rsidTr="0010095E">
        <w:trPr>
          <w:trHeight w:hRule="exact" w:val="1418"/>
        </w:trPr>
        <w:tc>
          <w:tcPr>
            <w:tcW w:w="6804" w:type="dxa"/>
            <w:shd w:val="clear" w:color="auto" w:fill="auto"/>
            <w:vAlign w:val="center"/>
          </w:tcPr>
          <w:p w14:paraId="5A24ADA2" w14:textId="77777777" w:rsidR="00751A4A" w:rsidRPr="005A4D94" w:rsidRDefault="00894645" w:rsidP="0010095E">
            <w:pPr>
              <w:pStyle w:val="EPName"/>
            </w:pPr>
            <w:r w:rsidRPr="005A4D94">
              <w:t>Europaparlamentet</w:t>
            </w:r>
          </w:p>
          <w:p w14:paraId="4C260A40" w14:textId="77777777" w:rsidR="00751A4A" w:rsidRPr="005A4D94" w:rsidRDefault="005F1B17" w:rsidP="005F1B17">
            <w:pPr>
              <w:pStyle w:val="EPTerm"/>
              <w:rPr>
                <w:rStyle w:val="HideTWBExt"/>
                <w:noProof w:val="0"/>
                <w:vanish w:val="0"/>
                <w:color w:val="auto"/>
              </w:rPr>
            </w:pPr>
            <w:r w:rsidRPr="005A4D94">
              <w:t>2024</w:t>
            </w:r>
            <w:r w:rsidR="00817416" w:rsidRPr="005A4D94">
              <w:t>-202</w:t>
            </w:r>
            <w:r w:rsidRPr="005A4D94">
              <w:t>9</w:t>
            </w:r>
          </w:p>
        </w:tc>
        <w:tc>
          <w:tcPr>
            <w:tcW w:w="2268" w:type="dxa"/>
            <w:shd w:val="clear" w:color="auto" w:fill="auto"/>
          </w:tcPr>
          <w:p w14:paraId="6A641064" w14:textId="77777777" w:rsidR="00751A4A" w:rsidRPr="005A4D94" w:rsidRDefault="00187494" w:rsidP="0010095E">
            <w:pPr>
              <w:pStyle w:val="EPLogo"/>
            </w:pPr>
            <w:r w:rsidRPr="005A4D94">
              <w:rPr>
                <w:noProof/>
                <w:lang w:eastAsia="ja-JP"/>
              </w:rPr>
              <w:drawing>
                <wp:inline distT="0" distB="0" distL="0" distR="0" wp14:anchorId="7E64577E" wp14:editId="6A7D65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C1A0DE" w14:textId="77777777" w:rsidR="00D058B8" w:rsidRPr="005A4D94" w:rsidRDefault="00D058B8" w:rsidP="004C5D52">
      <w:pPr>
        <w:pStyle w:val="LineTop"/>
      </w:pPr>
    </w:p>
    <w:p w14:paraId="72454BBF" w14:textId="77777777" w:rsidR="00680577" w:rsidRPr="005A4D94" w:rsidRDefault="00894645" w:rsidP="00680577">
      <w:pPr>
        <w:pStyle w:val="EPBodyTA1"/>
      </w:pPr>
      <w:r w:rsidRPr="005A4D94">
        <w:t>ANTAGNA TEXTER</w:t>
      </w:r>
    </w:p>
    <w:p w14:paraId="6777DC30" w14:textId="77777777" w:rsidR="00D058B8" w:rsidRPr="005A4D94" w:rsidRDefault="00D058B8" w:rsidP="00D058B8">
      <w:pPr>
        <w:pStyle w:val="LineBottom"/>
      </w:pPr>
    </w:p>
    <w:p w14:paraId="7C471CBD" w14:textId="59CB228F" w:rsidR="00894645" w:rsidRPr="005A4D94" w:rsidRDefault="00894645" w:rsidP="00894645">
      <w:pPr>
        <w:pStyle w:val="ATHeading1"/>
      </w:pPr>
      <w:bookmarkStart w:id="0" w:name="TANumber"/>
      <w:r w:rsidRPr="005A4D94">
        <w:t>P10_TA(2026)00</w:t>
      </w:r>
      <w:bookmarkEnd w:id="0"/>
      <w:r w:rsidR="004065DB">
        <w:t>42</w:t>
      </w:r>
    </w:p>
    <w:p w14:paraId="4F266FCD" w14:textId="693BA70A" w:rsidR="00894645" w:rsidRPr="005A4D94" w:rsidRDefault="00DA20B0" w:rsidP="00894645">
      <w:pPr>
        <w:pStyle w:val="ATHeading2"/>
      </w:pPr>
      <w:bookmarkStart w:id="1" w:name="title"/>
      <w:r>
        <w:t>D</w:t>
      </w:r>
      <w:r w:rsidR="00894645" w:rsidRPr="005A4D94">
        <w:t>en genetiskt modifierade majsen T25 (ACS-ZMØØ3-2)</w:t>
      </w:r>
      <w:bookmarkEnd w:id="1"/>
    </w:p>
    <w:p w14:paraId="109BF01B" w14:textId="77777777" w:rsidR="00894645" w:rsidRPr="005A4D94" w:rsidRDefault="00894645" w:rsidP="00894645">
      <w:pPr>
        <w:rPr>
          <w:i/>
          <w:vanish/>
        </w:rPr>
      </w:pPr>
      <w:r w:rsidRPr="005A4D94">
        <w:rPr>
          <w:i/>
        </w:rPr>
        <w:fldChar w:fldCharType="begin"/>
      </w:r>
      <w:r w:rsidRPr="005A4D94">
        <w:rPr>
          <w:i/>
        </w:rPr>
        <w:instrText xml:space="preserve"> TC"(</w:instrText>
      </w:r>
      <w:bookmarkStart w:id="2" w:name="DocNumber"/>
      <w:r w:rsidRPr="005A4D94">
        <w:rPr>
          <w:i/>
        </w:rPr>
        <w:instrText>B10-0106/2026</w:instrText>
      </w:r>
      <w:bookmarkEnd w:id="2"/>
      <w:r w:rsidRPr="005A4D94">
        <w:rPr>
          <w:i/>
        </w:rPr>
        <w:instrText xml:space="preserve">)"\l3 \n&gt; \* MERGEFORMAT </w:instrText>
      </w:r>
      <w:r w:rsidRPr="005A4D94">
        <w:rPr>
          <w:i/>
        </w:rPr>
        <w:fldChar w:fldCharType="end"/>
      </w:r>
    </w:p>
    <w:p w14:paraId="4956ED1C" w14:textId="77777777" w:rsidR="00894645" w:rsidRPr="005A4D94" w:rsidRDefault="00894645" w:rsidP="00894645">
      <w:pPr>
        <w:rPr>
          <w:vanish/>
        </w:rPr>
      </w:pPr>
      <w:bookmarkStart w:id="3" w:name="PE"/>
      <w:r w:rsidRPr="005A4D94">
        <w:rPr>
          <w:vanish/>
        </w:rPr>
        <w:t>PE782.204</w:t>
      </w:r>
      <w:bookmarkEnd w:id="3"/>
    </w:p>
    <w:p w14:paraId="103C535D" w14:textId="5460CAA4" w:rsidR="00894645" w:rsidRPr="005A4D94" w:rsidRDefault="00894645" w:rsidP="00812CF8">
      <w:pPr>
        <w:pStyle w:val="ATHeading3"/>
      </w:pPr>
      <w:bookmarkStart w:id="4" w:name="Sujet"/>
      <w:r w:rsidRPr="005A4D94">
        <w:t xml:space="preserve">Europaparlamentets resolution av den </w:t>
      </w:r>
      <w:r w:rsidR="00DA20B0">
        <w:t>11</w:t>
      </w:r>
      <w:r w:rsidR="00DA20B0" w:rsidRPr="005A4D94">
        <w:t xml:space="preserve"> </w:t>
      </w:r>
      <w:r w:rsidR="00DA20B0">
        <w:t>februari</w:t>
      </w:r>
      <w:r w:rsidR="00DA20B0" w:rsidRPr="005A4D94">
        <w:t xml:space="preserve"> </w:t>
      </w:r>
      <w:r w:rsidRPr="005A4D94">
        <w:t>2026 om utkastet till kommissionens genomförandebeslut om förlängning av godkännandet av utsläppande på marknaden av produkter som innehåller, består av eller har framställts av den genetiskt modifierade majsen T25 (ACS</w:t>
      </w:r>
      <w:r w:rsidRPr="005A4D94">
        <w:noBreakHyphen/>
        <w:t>ZMØØ3-2), i enlighet med Europaparlamentets och rådets förordning (EG) nr 1829/2003</w:t>
      </w:r>
      <w:bookmarkEnd w:id="4"/>
      <w:r w:rsidRPr="005A4D94">
        <w:t xml:space="preserve"> </w:t>
      </w:r>
      <w:bookmarkStart w:id="5" w:name="References"/>
      <w:r w:rsidRPr="005A4D94">
        <w:t>(D111473/02 – 2026/2535(RSP))</w:t>
      </w:r>
      <w:bookmarkEnd w:id="5"/>
    </w:p>
    <w:p w14:paraId="640D3882" w14:textId="77777777" w:rsidR="007C3901" w:rsidRPr="005A4D94" w:rsidRDefault="007C3901" w:rsidP="007C3901">
      <w:pPr>
        <w:pStyle w:val="EPComma"/>
      </w:pPr>
      <w:bookmarkStart w:id="6" w:name="TextBodyBegin"/>
      <w:bookmarkEnd w:id="6"/>
      <w:r w:rsidRPr="005A4D94">
        <w:rPr>
          <w:i/>
          <w:iCs/>
        </w:rPr>
        <w:t>Europaparlamentet utfärdar denna resolution</w:t>
      </w:r>
    </w:p>
    <w:p w14:paraId="6A3DCD6F" w14:textId="77777777" w:rsidR="007C3901" w:rsidRPr="005A4D94" w:rsidRDefault="007C3901" w:rsidP="007C3901">
      <w:pPr>
        <w:pStyle w:val="NormalHanging12a"/>
      </w:pPr>
      <w:r w:rsidRPr="005A4D94">
        <w:t>–</w:t>
      </w:r>
      <w:r w:rsidRPr="005A4D94">
        <w:tab/>
        <w:t>med beaktande av utkastet till kommissionens genomförandebeslut om förlängning av godkännandet av utsläppande på marknaden av produkter som innehåller, består av eller har framställts av den genetiskt modifierade majsen T25 (ACS-ZMØØ3-2), i enlighet med Europaparlamentets och rådets förordning (EG) nr 1829/2003 (D111473/02),</w:t>
      </w:r>
    </w:p>
    <w:p w14:paraId="5FFEFEFA" w14:textId="77777777" w:rsidR="007C3901" w:rsidRPr="005A4D94" w:rsidRDefault="007C3901" w:rsidP="007C3901">
      <w:pPr>
        <w:pStyle w:val="NormalHanging12a"/>
      </w:pPr>
      <w:r w:rsidRPr="005A4D94">
        <w:t>–</w:t>
      </w:r>
      <w:r w:rsidRPr="005A4D94">
        <w:tab/>
        <w:t>med beaktande av Europaparlamentets och rådets förordning (EG) nr 1829/2003 av den 22 september 2003 om genetiskt modifierade livsmedel och foder</w:t>
      </w:r>
      <w:r w:rsidRPr="005A4D94">
        <w:rPr>
          <w:vertAlign w:val="superscript"/>
        </w:rPr>
        <w:footnoteReference w:id="1"/>
      </w:r>
      <w:r w:rsidRPr="005A4D94">
        <w:t>, särskilt artiklarna 11.3 och 23.3,</w:t>
      </w:r>
    </w:p>
    <w:p w14:paraId="5488ACFD" w14:textId="2A77504D" w:rsidR="007C3901" w:rsidRPr="005A4D94" w:rsidRDefault="007C3901" w:rsidP="007C3901">
      <w:pPr>
        <w:pStyle w:val="NormalHanging12a"/>
      </w:pPr>
      <w:r w:rsidRPr="005A4D94">
        <w:t>–</w:t>
      </w:r>
      <w:r w:rsidRPr="005A4D94">
        <w:tab/>
        <w:t xml:space="preserve">med beaktande av omröstningen den 12 december 2025 i den </w:t>
      </w:r>
      <w:bookmarkStart w:id="7" w:name="_Hlk210664905"/>
      <w:r w:rsidRPr="005A4D94">
        <w:t>ständiga kommitté för växter, djur, livsmedel och foder</w:t>
      </w:r>
      <w:bookmarkEnd w:id="7"/>
      <w:r w:rsidRPr="005A4D94">
        <w:t xml:space="preserve"> som avses i artikel 35 i förordning (EG) nr 1829/2003, </w:t>
      </w:r>
      <w:bookmarkStart w:id="8" w:name="_Hlk219206382"/>
      <w:r w:rsidRPr="005A4D94">
        <w:t xml:space="preserve">där inget yttrande avgavs, </w:t>
      </w:r>
      <w:r w:rsidR="00DA20B0" w:rsidRPr="00DA20B0">
        <w:t xml:space="preserve">samt omröstningen i omprövningskommittén den </w:t>
      </w:r>
      <w:r w:rsidR="00DA20B0">
        <w:t>27</w:t>
      </w:r>
      <w:r w:rsidR="00DA20B0" w:rsidRPr="00DA20B0">
        <w:t xml:space="preserve"> </w:t>
      </w:r>
      <w:r w:rsidR="00DA20B0">
        <w:t>januari</w:t>
      </w:r>
      <w:r w:rsidR="00DA20B0" w:rsidRPr="00DA20B0">
        <w:t xml:space="preserve"> 202</w:t>
      </w:r>
      <w:r w:rsidR="00DA20B0">
        <w:t>6</w:t>
      </w:r>
      <w:r w:rsidR="00DA20B0" w:rsidRPr="00DA20B0">
        <w:t>, där det inte heller avgavs något yttrande,</w:t>
      </w:r>
    </w:p>
    <w:bookmarkEnd w:id="8"/>
    <w:p w14:paraId="1A613C88" w14:textId="572EBA7B" w:rsidR="007C3901" w:rsidRPr="005A4D94" w:rsidRDefault="007C3901" w:rsidP="007C3901">
      <w:pPr>
        <w:pStyle w:val="NormalHanging12a"/>
      </w:pPr>
      <w:r w:rsidRPr="005A4D94">
        <w:t>–</w:t>
      </w:r>
      <w:r w:rsidRPr="005A4D94">
        <w:tab/>
        <w:t>med beaktande av artikel 11 i Europaparlamentets och rådets</w:t>
      </w:r>
      <w:r w:rsidR="00DA20B0">
        <w:t xml:space="preserve"> </w:t>
      </w:r>
      <w:r w:rsidRPr="005A4D94">
        <w:t>förordning</w:t>
      </w:r>
      <w:r w:rsidR="00DA20B0">
        <w:t xml:space="preserve"> </w:t>
      </w:r>
      <w:r w:rsidRPr="005A4D94">
        <w:t>(EU) nr 182/2011 av den 16 februari 2011 om fastställande av allmänna regler och principer för medlemsstaternas kontroll av kommissionens</w:t>
      </w:r>
      <w:r w:rsidR="00DA20B0">
        <w:t xml:space="preserve"> </w:t>
      </w:r>
      <w:r w:rsidRPr="005A4D94">
        <w:t>utövande av sina genomförandebefogenheter</w:t>
      </w:r>
      <w:r w:rsidRPr="005A4D94">
        <w:rPr>
          <w:vertAlign w:val="superscript"/>
        </w:rPr>
        <w:footnoteReference w:id="2"/>
      </w:r>
      <w:r w:rsidRPr="005A4D94">
        <w:t>,</w:t>
      </w:r>
    </w:p>
    <w:p w14:paraId="1F5BDFFC" w14:textId="77777777" w:rsidR="007C3901" w:rsidRPr="005A4D94" w:rsidRDefault="007C3901" w:rsidP="007C3901">
      <w:pPr>
        <w:pStyle w:val="NormalHanging12a"/>
      </w:pPr>
      <w:r w:rsidRPr="005A4D94">
        <w:t>–</w:t>
      </w:r>
      <w:r w:rsidRPr="005A4D94">
        <w:tab/>
        <w:t>med beaktande av det yttrande som antogs av Europeiska myndigheten för livsmedelssäkerhet (</w:t>
      </w:r>
      <w:proofErr w:type="spellStart"/>
      <w:r w:rsidRPr="005A4D94">
        <w:t>Efsa</w:t>
      </w:r>
      <w:proofErr w:type="spellEnd"/>
      <w:r w:rsidRPr="005A4D94">
        <w:t xml:space="preserve">) den 30 juni 2025, och som offentliggjordes </w:t>
      </w:r>
      <w:r w:rsidRPr="005A4D94">
        <w:lastRenderedPageBreak/>
        <w:t>den 8 augusti 2025</w:t>
      </w:r>
      <w:r w:rsidRPr="005A4D94">
        <w:rPr>
          <w:vertAlign w:val="superscript"/>
        </w:rPr>
        <w:footnoteReference w:id="3"/>
      </w:r>
      <w:r w:rsidRPr="005A4D94">
        <w:t>,</w:t>
      </w:r>
    </w:p>
    <w:p w14:paraId="22AC9154" w14:textId="77777777" w:rsidR="007C3901" w:rsidRPr="005A4D94" w:rsidRDefault="007C3901" w:rsidP="007C3901">
      <w:pPr>
        <w:pStyle w:val="NormalHanging12a"/>
      </w:pPr>
      <w:r w:rsidRPr="005A4D94">
        <w:t>–</w:t>
      </w:r>
      <w:r w:rsidRPr="005A4D94">
        <w:tab/>
        <w:t>med beaktande av sina tidigare resolutioner där parlamentet har invänt mot godkännandet av genetiskt modifierade organismer</w:t>
      </w:r>
      <w:bookmarkStart w:id="10" w:name="_Hlk210666451"/>
      <w:r w:rsidRPr="005A4D94">
        <w:rPr>
          <w:vertAlign w:val="superscript"/>
        </w:rPr>
        <w:footnoteReference w:id="4"/>
      </w:r>
      <w:bookmarkEnd w:id="10"/>
      <w:r w:rsidRPr="005A4D94">
        <w:t xml:space="preserve">, </w:t>
      </w:r>
    </w:p>
    <w:p w14:paraId="515001A1" w14:textId="77777777" w:rsidR="007C3901" w:rsidRPr="005A4D94" w:rsidRDefault="007C3901" w:rsidP="007C3901">
      <w:pPr>
        <w:pStyle w:val="NormalHanging12a"/>
      </w:pPr>
      <w:r w:rsidRPr="005A4D94">
        <w:lastRenderedPageBreak/>
        <w:t>–</w:t>
      </w:r>
      <w:r w:rsidRPr="005A4D94">
        <w:tab/>
        <w:t>med beaktande av artikel 115.2 och 115.3 i arbetsordningen,</w:t>
      </w:r>
    </w:p>
    <w:p w14:paraId="055B6D96" w14:textId="77777777" w:rsidR="007C3901" w:rsidRPr="005A4D94" w:rsidRDefault="007C3901" w:rsidP="007C3901">
      <w:pPr>
        <w:pStyle w:val="NormalHanging12a"/>
      </w:pPr>
      <w:r w:rsidRPr="005A4D94">
        <w:t>–</w:t>
      </w:r>
      <w:r w:rsidRPr="005A4D94">
        <w:tab/>
        <w:t>med beaktande av förslaget till resolution från utskottet för miljö, klimat och livsmedelssäkerhet, och av följande skäl:</w:t>
      </w:r>
    </w:p>
    <w:p w14:paraId="1F87BCC8" w14:textId="77777777" w:rsidR="007C3901" w:rsidRPr="005A4D94" w:rsidRDefault="007C3901" w:rsidP="007C3901">
      <w:pPr>
        <w:pStyle w:val="NormalHanging12a"/>
      </w:pPr>
      <w:r w:rsidRPr="005A4D94">
        <w:t>A.</w:t>
      </w:r>
      <w:r w:rsidRPr="005A4D94">
        <w:tab/>
        <w:t>Genom kommissionens genomförandebeslut (EU) 2015/697</w:t>
      </w:r>
      <w:r w:rsidRPr="005A4D94">
        <w:rPr>
          <w:rStyle w:val="FootnoteReference"/>
        </w:rPr>
        <w:footnoteReference w:id="5"/>
      </w:r>
      <w:r w:rsidRPr="005A4D94">
        <w:t xml:space="preserve"> förlängdes godkännandet av utsläppande på marknaden av livsmedel och livsmedelsingredienser som framställts av den genetiskt modifierade majsen T25 (den genetiskt modifierade majsen) och foder som innehåller, består av eller har framställts av den genetiskt modifierade majsen, och genom samma genomförandebeslut från kommissionen godkändes även utsläppande på marknaden av livsmedel och livsmedelsingredienser som innehåller eller består av genetiskt modifierad majs och av andra produkter (än livsmedel och foder) som innehåller eller består av genetiskt modifierad majs, för samma användningsområden som all annan slags majs, med undantag av odling. </w:t>
      </w:r>
    </w:p>
    <w:p w14:paraId="3561FB5B" w14:textId="77777777" w:rsidR="007C3901" w:rsidRPr="005A4D94" w:rsidRDefault="007C3901" w:rsidP="007C3901">
      <w:pPr>
        <w:pStyle w:val="NormalHanging12a"/>
        <w:ind w:hanging="570"/>
      </w:pPr>
      <w:r w:rsidRPr="005A4D94">
        <w:t>B.</w:t>
      </w:r>
      <w:r w:rsidRPr="005A4D94">
        <w:tab/>
        <w:t xml:space="preserve">Den 22 mars 2024 lämnade BASF SE, med säte i Tyskland, på uppdrag av BASF Agricultural Solutions </w:t>
      </w:r>
      <w:proofErr w:type="spellStart"/>
      <w:r w:rsidRPr="005A4D94">
        <w:t>Seed</w:t>
      </w:r>
      <w:proofErr w:type="spellEnd"/>
      <w:r w:rsidRPr="005A4D94">
        <w:t xml:space="preserve"> US LLC, med säte i Förenta staterna in en ansökan till kommissionen, i enlighet med artiklarna 11 och 23 i förordning (EG) nr 1829/2003, om förlängning av godkännandet.</w:t>
      </w:r>
    </w:p>
    <w:p w14:paraId="0AF49C77" w14:textId="77777777" w:rsidR="007C3901" w:rsidRPr="005A4D94" w:rsidRDefault="007C3901" w:rsidP="007C3901">
      <w:pPr>
        <w:pStyle w:val="NormalHanging12a"/>
        <w:keepNext/>
        <w:keepLines/>
        <w:widowControl/>
      </w:pPr>
      <w:r w:rsidRPr="005A4D94">
        <w:lastRenderedPageBreak/>
        <w:t>C.</w:t>
      </w:r>
      <w:r w:rsidRPr="005A4D94">
        <w:tab/>
      </w:r>
      <w:proofErr w:type="spellStart"/>
      <w:r w:rsidRPr="005A4D94">
        <w:t>Efsa</w:t>
      </w:r>
      <w:proofErr w:type="spellEnd"/>
      <w:r w:rsidRPr="005A4D94">
        <w:t xml:space="preserve"> avgav den 8 augusti 2025 ett positivt yttrande om genetiskt modifierad majs och drog slutsatsen att det i ansökan om förlängning inte fanns några belägg för några nya faror eller någon modifierad exponering och inte heller för några vetenskapliga osäkerheter som ändrar de slutsatser som antogs vid den ursprungliga riskbedömningen om genetiskt modifierad majs, som </w:t>
      </w:r>
      <w:proofErr w:type="spellStart"/>
      <w:r w:rsidRPr="005A4D94">
        <w:t>Efsa</w:t>
      </w:r>
      <w:proofErr w:type="spellEnd"/>
      <w:r w:rsidRPr="005A4D94">
        <w:t xml:space="preserve"> utfärdade 2013</w:t>
      </w:r>
      <w:r w:rsidRPr="005A4D94">
        <w:rPr>
          <w:rStyle w:val="FootnoteReference"/>
        </w:rPr>
        <w:footnoteReference w:id="6"/>
      </w:r>
      <w:r w:rsidRPr="005A4D94">
        <w:t xml:space="preserve">. Yttrandena tog inte upp ett antal bredare miljömässiga, samhällsekonomiska och kumulativa effekter som </w:t>
      </w:r>
      <w:proofErr w:type="spellStart"/>
      <w:r w:rsidRPr="005A4D94">
        <w:t>Efsa</w:t>
      </w:r>
      <w:proofErr w:type="spellEnd"/>
      <w:r w:rsidRPr="005A4D94">
        <w:t xml:space="preserve"> anser ligger utanför dess ansvarsområde.</w:t>
      </w:r>
    </w:p>
    <w:p w14:paraId="652342DE" w14:textId="77777777" w:rsidR="007C3901" w:rsidRPr="005A4D94" w:rsidRDefault="007C3901" w:rsidP="007C3901">
      <w:pPr>
        <w:pStyle w:val="NormalHanging12a"/>
      </w:pPr>
      <w:r w:rsidRPr="005A4D94">
        <w:t>D.</w:t>
      </w:r>
      <w:r w:rsidRPr="005A4D94">
        <w:tab/>
        <w:t xml:space="preserve">Den genetiskt modifierade majsen har utvecklats för att ge tolerans mot </w:t>
      </w:r>
      <w:proofErr w:type="spellStart"/>
      <w:r w:rsidRPr="005A4D94">
        <w:t>glufosinat</w:t>
      </w:r>
      <w:proofErr w:type="spellEnd"/>
      <w:r w:rsidRPr="005A4D94">
        <w:t xml:space="preserve">. </w:t>
      </w:r>
    </w:p>
    <w:p w14:paraId="14C91CFC" w14:textId="77777777" w:rsidR="007C3901" w:rsidRPr="005A4D94" w:rsidRDefault="007C3901" w:rsidP="007C3901">
      <w:pPr>
        <w:pStyle w:val="NormalHanging12a"/>
      </w:pPr>
      <w:r w:rsidRPr="005A4D94">
        <w:t>E.</w:t>
      </w:r>
      <w:r w:rsidRPr="005A4D94">
        <w:tab/>
      </w:r>
      <w:proofErr w:type="spellStart"/>
      <w:r w:rsidRPr="005A4D94">
        <w:t>Efsas</w:t>
      </w:r>
      <w:proofErr w:type="spellEnd"/>
      <w:r w:rsidRPr="005A4D94">
        <w:t xml:space="preserve"> riskbedömningar omfattade inte långsiktiga toxikologiska studier eller detaljerade analyser av kumulativa och kombinerade effekter, inbegripet potentiell interaktion med rester av bekämpningsmedel som vanligen används vid majsodling.</w:t>
      </w:r>
    </w:p>
    <w:p w14:paraId="0269BD54" w14:textId="77777777" w:rsidR="007C3901" w:rsidRPr="005A4D94" w:rsidRDefault="007C3901" w:rsidP="007C3901">
      <w:pPr>
        <w:pStyle w:val="NormalHanging12a"/>
        <w:rPr>
          <w:color w:val="000000" w:themeColor="text1"/>
          <w:szCs w:val="24"/>
        </w:rPr>
      </w:pPr>
      <w:r w:rsidRPr="005A4D94">
        <w:rPr>
          <w:color w:val="000000" w:themeColor="text1"/>
        </w:rPr>
        <w:t>F.</w:t>
      </w:r>
      <w:r w:rsidRPr="005A4D94">
        <w:rPr>
          <w:color w:val="000000" w:themeColor="text1"/>
        </w:rPr>
        <w:tab/>
      </w:r>
      <w:r w:rsidRPr="005A4D94">
        <w:t xml:space="preserve">De allra flesta genetiskt modifierade grödor, inbegripet den genetiskt modifierade majsen, har modifierats genetiskt så att de är toleranta mot en eller flera ”kompletterande” herbicider som kan användas under hela odlingen av den genetiskt modifierade grödan utan att grödan dör, vilket skulle vara fallet med icke-herbicidtoleranta grödor. </w:t>
      </w:r>
      <w:r w:rsidRPr="005A4D94">
        <w:rPr>
          <w:color w:val="000000" w:themeColor="text1"/>
        </w:rPr>
        <w:t>Flera studier visar att herbicidtoleranta genetiskt modifierade grödor leder till en ökad användning av kompletterande herbicider, till stor del på grund av att det uppstår herbicidtolerant ogräs</w:t>
      </w:r>
      <w:r w:rsidRPr="005A4D94">
        <w:rPr>
          <w:rStyle w:val="FootnoteReference"/>
          <w:color w:val="000000" w:themeColor="text1"/>
          <w:szCs w:val="24"/>
        </w:rPr>
        <w:footnoteReference w:id="7"/>
      </w:r>
      <w:r w:rsidRPr="005A4D94">
        <w:rPr>
          <w:color w:val="000000" w:themeColor="text1"/>
        </w:rPr>
        <w:t>.</w:t>
      </w:r>
    </w:p>
    <w:p w14:paraId="2D90E176" w14:textId="77777777" w:rsidR="007C3901" w:rsidRPr="005A4D94" w:rsidRDefault="007C3901" w:rsidP="007C3901">
      <w:pPr>
        <w:spacing w:after="240"/>
        <w:ind w:left="567" w:hanging="567"/>
        <w:rPr>
          <w:color w:val="000000" w:themeColor="text1"/>
          <w:szCs w:val="24"/>
        </w:rPr>
      </w:pPr>
      <w:r w:rsidRPr="005A4D94">
        <w:t>G.</w:t>
      </w:r>
      <w:r w:rsidRPr="005A4D94">
        <w:tab/>
        <w:t>Herbicidtoleranta genetiskt modifierade grödor gör att jordbrukare fastnar i ett ogräsbekämpningssystem som till stor del eller helt och hållet är beroende av herbicider. Detta beror på att genetiskt modifierat utsäde kostar mer, vilket kan motiveras endast om de jordbrukare som köper sådant utsäde också besprutar med de kompletterande herbiciderna.</w:t>
      </w:r>
      <w:r w:rsidRPr="005A4D94">
        <w:rPr>
          <w:color w:val="000000" w:themeColor="text1"/>
        </w:rPr>
        <w:t xml:space="preserve"> Ett ökat beroende av kompletterande herbicider på gårdar som odlar den genetiskt modifierade majsen kommer att påskynda uppkomsten och spridningen av ogräs som är resistenta mot dessa herbicider, vilket utlöser ett behov av ännu mer herbicider, en ond cirkel som kan kallas ”herbicidekorrhjulet”. Ett alltför stort beroende av herbicider kommer således att öka de negativa effekterna på markens hälsa, vattenkvaliteten och den biologiska mångfalden ovan och under marken, samt leda till ökad exponering för människor och djur, eventuellt även genom ökade herbicidrester på livsmedel och foder</w:t>
      </w:r>
      <w:r w:rsidRPr="005A4D94">
        <w:rPr>
          <w:rStyle w:val="FootnoteReference"/>
          <w:color w:val="000000" w:themeColor="text1"/>
          <w:szCs w:val="24"/>
        </w:rPr>
        <w:footnoteReference w:id="8"/>
      </w:r>
      <w:r w:rsidRPr="005A4D94">
        <w:rPr>
          <w:color w:val="000000" w:themeColor="text1"/>
        </w:rPr>
        <w:t>.</w:t>
      </w:r>
    </w:p>
    <w:p w14:paraId="2A262A36" w14:textId="77777777" w:rsidR="007C3901" w:rsidRPr="005A4D94" w:rsidRDefault="007C3901" w:rsidP="007C3901">
      <w:pPr>
        <w:pStyle w:val="NormalWeb"/>
        <w:keepNext/>
        <w:keepLines/>
        <w:spacing w:before="0" w:beforeAutospacing="0" w:after="240" w:afterAutospacing="0"/>
        <w:ind w:left="567" w:hanging="567"/>
      </w:pPr>
      <w:r w:rsidRPr="005A4D94">
        <w:lastRenderedPageBreak/>
        <w:t>H.</w:t>
      </w:r>
      <w:r w:rsidRPr="005A4D94">
        <w:tab/>
      </w:r>
      <w:proofErr w:type="spellStart"/>
      <w:r w:rsidRPr="005A4D94">
        <w:t>Glufosinat</w:t>
      </w:r>
      <w:proofErr w:type="spellEnd"/>
      <w:r w:rsidRPr="005A4D94">
        <w:t xml:space="preserve"> klassificeras som ett reproduktionstoxiskt ämne i kategori 1B och omfattas därför av uteslutningskriterierna i Europaparlamentets och rådets förordning (EG) nr 1107/2009</w:t>
      </w:r>
      <w:r w:rsidRPr="005A4D94">
        <w:rPr>
          <w:rStyle w:val="FootnoteReference"/>
        </w:rPr>
        <w:footnoteReference w:id="9"/>
      </w:r>
      <w:r w:rsidRPr="005A4D94">
        <w:t xml:space="preserve">. Godkännandet av </w:t>
      </w:r>
      <w:proofErr w:type="spellStart"/>
      <w:r w:rsidRPr="005A4D94">
        <w:t>glufosinat</w:t>
      </w:r>
      <w:proofErr w:type="spellEnd"/>
      <w:r w:rsidRPr="005A4D94">
        <w:t xml:space="preserve"> för användning i unionen löpte ut den 31 juli 2018.</w:t>
      </w:r>
    </w:p>
    <w:p w14:paraId="152E28E5" w14:textId="77777777" w:rsidR="007C3901" w:rsidRPr="005A4D94" w:rsidRDefault="007C3901" w:rsidP="007C3901">
      <w:pPr>
        <w:pStyle w:val="NormalHanging12a"/>
      </w:pPr>
      <w:r w:rsidRPr="005A4D94">
        <w:t>I.</w:t>
      </w:r>
      <w:r w:rsidRPr="005A4D94">
        <w:tab/>
        <w:t>Det saknas fortfarande tillräckliga garantier för oberoende övervakning och kontroll av potentiella negativa effekter på den biologiska mångfalden, markhälsan, pollinerare och icke-målorganismer.</w:t>
      </w:r>
    </w:p>
    <w:p w14:paraId="26E3936A" w14:textId="77777777" w:rsidR="007C3901" w:rsidRPr="005A4D94" w:rsidRDefault="007C3901" w:rsidP="007C3901">
      <w:pPr>
        <w:spacing w:after="240"/>
        <w:ind w:left="567" w:hanging="567"/>
      </w:pPr>
      <w:r w:rsidRPr="005A4D94">
        <w:t>J.</w:t>
      </w:r>
      <w:r w:rsidRPr="005A4D94">
        <w:tab/>
        <w:t>Försiktighetsprincipen, som stadfästs i artikel 191 i fördraget om Europeiska unionens funktionssätt, bör tillämpas när det råder vetenskaplig osäkerhet.</w:t>
      </w:r>
    </w:p>
    <w:p w14:paraId="039B0228" w14:textId="77777777" w:rsidR="007C3901" w:rsidRPr="005A4D94" w:rsidRDefault="007C3901" w:rsidP="007C3901">
      <w:pPr>
        <w:spacing w:after="240"/>
        <w:ind w:left="567" w:hanging="567"/>
      </w:pPr>
      <w:r w:rsidRPr="005A4D94">
        <w:t>K.</w:t>
      </w:r>
      <w:r w:rsidRPr="005A4D94">
        <w:tab/>
        <w:t>Enligt förordning (EG) nr 1829/2003 får genetiskt modifierade livsmedel och foder inte ha negativa effekter på människors eller djurs hälsa eller för miljön.</w:t>
      </w:r>
    </w:p>
    <w:p w14:paraId="6CAE784B" w14:textId="77777777" w:rsidR="007C3901" w:rsidRPr="005A4D94" w:rsidRDefault="007C3901" w:rsidP="007C3901">
      <w:pPr>
        <w:pStyle w:val="NormalWeb"/>
        <w:widowControl w:val="0"/>
        <w:spacing w:before="0" w:beforeAutospacing="0" w:after="240" w:afterAutospacing="0"/>
        <w:ind w:left="567" w:hanging="567"/>
      </w:pPr>
      <w:r w:rsidRPr="005A4D94">
        <w:t>L.</w:t>
      </w:r>
      <w:r w:rsidRPr="005A4D94">
        <w:tab/>
        <w:t>En förlängning av godkännandet av den genetiskt modifierade majsen från unionens sida skulle inte vara förenlig med internationella åtaganden om att minska användningen av bekämpningsmedel</w:t>
      </w:r>
      <w:r w:rsidRPr="005A4D94">
        <w:rPr>
          <w:vertAlign w:val="superscript"/>
        </w:rPr>
        <w:footnoteReference w:id="10"/>
      </w:r>
      <w:r w:rsidRPr="005A4D94">
        <w:t xml:space="preserve">, med tanke på människors, djurs och miljöns ökade exponering för </w:t>
      </w:r>
      <w:proofErr w:type="spellStart"/>
      <w:r w:rsidRPr="005A4D94">
        <w:t>glyfosat</w:t>
      </w:r>
      <w:proofErr w:type="spellEnd"/>
      <w:r w:rsidRPr="005A4D94">
        <w:t xml:space="preserve"> och </w:t>
      </w:r>
      <w:proofErr w:type="spellStart"/>
      <w:r w:rsidRPr="005A4D94">
        <w:t>glufosinat</w:t>
      </w:r>
      <w:proofErr w:type="spellEnd"/>
      <w:r w:rsidRPr="005A4D94">
        <w:t xml:space="preserve"> i länder som odlar denna herbicidtoleranta genetiskt modifierade gröda och de potentiellt allvarliga hälsoutfall som hänger samman med detta.</w:t>
      </w:r>
    </w:p>
    <w:p w14:paraId="7C49C530" w14:textId="77777777" w:rsidR="007C3901" w:rsidRPr="005A4D94" w:rsidRDefault="007C3901" w:rsidP="007C3901">
      <w:pPr>
        <w:spacing w:after="240"/>
        <w:ind w:left="567" w:hanging="567"/>
      </w:pPr>
      <w:r w:rsidRPr="005A4D94">
        <w:t>M.</w:t>
      </w:r>
      <w:r w:rsidRPr="005A4D94">
        <w:tab/>
        <w:t>Utkastet till kommissionens genomförandebeslut skulle möjliggöra fortsatt import till unionen som inte uppfyller de normer som unionens jordbrukare iakttar, vilket skulle medföra en konkurrensnackdel för dem.</w:t>
      </w:r>
    </w:p>
    <w:p w14:paraId="351EAAAA" w14:textId="77777777" w:rsidR="007C3901" w:rsidRPr="005A4D94" w:rsidRDefault="007C3901" w:rsidP="007C3901">
      <w:pPr>
        <w:spacing w:after="240"/>
        <w:ind w:left="567" w:hanging="567"/>
      </w:pPr>
      <w:r w:rsidRPr="005A4D94">
        <w:t>N.</w:t>
      </w:r>
      <w:r w:rsidRPr="005A4D94">
        <w:tab/>
        <w:t>I slutsatserna från den strategiska dialogen om framtiden för EU:s jordbruk</w:t>
      </w:r>
      <w:r w:rsidRPr="005A4D94">
        <w:rPr>
          <w:rStyle w:val="FootnoteReference"/>
        </w:rPr>
        <w:footnoteReference w:id="11"/>
      </w:r>
      <w:r w:rsidRPr="005A4D94">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2024 och 2025.</w:t>
      </w:r>
    </w:p>
    <w:p w14:paraId="748608B5" w14:textId="77777777" w:rsidR="007C3901" w:rsidRPr="005A4D94" w:rsidRDefault="007C3901" w:rsidP="007C3901">
      <w:pPr>
        <w:spacing w:after="240"/>
        <w:ind w:left="567" w:hanging="567"/>
      </w:pPr>
      <w:r w:rsidRPr="005A4D94">
        <w:t>O.</w:t>
      </w:r>
      <w:r w:rsidRPr="005A4D94">
        <w:tab/>
        <w:t>Europaparlamentet har upprepade gånger betonat att kommissionen inte bör godkänna genetiskt modifierade organismer i fall där medlemsstaterna inte uppnår kvalificerad majoritet i ständiga kommittén för växter, djur, livsmedel och foder eller omprövningskommittén, för att åtgärda det ihållande demokratiska underskottet.</w:t>
      </w:r>
    </w:p>
    <w:p w14:paraId="5508F67F" w14:textId="77777777" w:rsidR="007C3901" w:rsidRPr="005A4D94" w:rsidRDefault="007C3901" w:rsidP="007C3901">
      <w:pPr>
        <w:pStyle w:val="NormalWeb"/>
        <w:keepNext/>
        <w:keepLines/>
        <w:shd w:val="clear" w:color="auto" w:fill="FFFFFF"/>
        <w:spacing w:before="0" w:beforeAutospacing="0" w:after="240" w:afterAutospacing="0"/>
        <w:ind w:left="567" w:hanging="567"/>
        <w:rPr>
          <w:color w:val="000000" w:themeColor="text1"/>
        </w:rPr>
      </w:pPr>
      <w:r w:rsidRPr="005A4D94">
        <w:rPr>
          <w:color w:val="000000" w:themeColor="text1"/>
        </w:rPr>
        <w:lastRenderedPageBreak/>
        <w:t>P.</w:t>
      </w:r>
      <w:r w:rsidRPr="005A4D94">
        <w:rPr>
          <w:color w:val="000000" w:themeColor="text1"/>
        </w:rPr>
        <w:tab/>
        <w:t>Trots att kommissionen själv erkänner de demokratiska bristerna, och trots det bristande stödet från medlemsstaterna och parlamentets invändningar fortsätter kommissionen att godkänna genetiskt modifierade organismer.</w:t>
      </w:r>
    </w:p>
    <w:p w14:paraId="53E551F5" w14:textId="77777777" w:rsidR="007C3901" w:rsidRPr="005A4D94" w:rsidRDefault="007C3901" w:rsidP="007C3901">
      <w:pPr>
        <w:spacing w:after="240"/>
        <w:ind w:left="567" w:hanging="567"/>
      </w:pPr>
      <w:r w:rsidRPr="005A4D94">
        <w:t>Q.</w:t>
      </w:r>
      <w:r w:rsidRPr="005A4D94">
        <w:tab/>
      </w:r>
      <w:proofErr w:type="spellStart"/>
      <w:r w:rsidRPr="005A4D94">
        <w:t>One</w:t>
      </w:r>
      <w:proofErr w:type="spellEnd"/>
      <w:r w:rsidRPr="005A4D94">
        <w:t xml:space="preserve"> </w:t>
      </w:r>
      <w:proofErr w:type="spellStart"/>
      <w:r w:rsidRPr="005A4D94">
        <w:t>health</w:t>
      </w:r>
      <w:proofErr w:type="spellEnd"/>
      <w:r w:rsidRPr="005A4D94">
        <w:t>-modellen förutsätter att man tar hänsyn till det ömsesidiga beroendet mellan människors, djurs, växters och miljöns hälsa vid bedömningen av genetiskt modifierade organismers långsiktiga hållbarhet och säkerhet.</w:t>
      </w:r>
    </w:p>
    <w:p w14:paraId="1F860C75" w14:textId="77777777" w:rsidR="007C3901" w:rsidRPr="005A4D94" w:rsidRDefault="007C3901" w:rsidP="007C3901">
      <w:pPr>
        <w:pStyle w:val="NormalHanging12a"/>
      </w:pPr>
      <w:r w:rsidRPr="005A4D94">
        <w:t>1.</w:t>
      </w:r>
      <w:r w:rsidRPr="005A4D94">
        <w:tab/>
        <w:t xml:space="preserve">Europaparlamentet anser att utkastet till kommissionens genomförandebeslut överskrider de genomförandebefogenheter som fastställs i förordning </w:t>
      </w:r>
      <w:bookmarkStart w:id="18" w:name="_Hlk219209229"/>
      <w:r w:rsidRPr="005A4D94">
        <w:t>(EG) nr </w:t>
      </w:r>
      <w:bookmarkEnd w:id="18"/>
      <w:r w:rsidRPr="005A4D94">
        <w:t>1829/2003.</w:t>
      </w:r>
    </w:p>
    <w:p w14:paraId="74989FEB" w14:textId="77777777" w:rsidR="007C3901" w:rsidRPr="005A4D94" w:rsidRDefault="007C3901" w:rsidP="007C3901">
      <w:pPr>
        <w:pStyle w:val="NormalHanging12a"/>
      </w:pPr>
      <w:r w:rsidRPr="005A4D94">
        <w:t>2.</w:t>
      </w:r>
      <w:r w:rsidRPr="005A4D94">
        <w:tab/>
        <w:t>Europaparlamentet anser att utkastet till kommissionens genomförandebeslut inte överensstämmer med unionsrätten, eftersom det är oförenligt med syftet med förordning (EG) nr 1829/2003, nämligen att, i enlighet med de allmänna principerna i Europaparlamentets och rådets förordning (EG) nr 178/2002</w:t>
      </w:r>
      <w:r w:rsidRPr="005A4D94">
        <w:rPr>
          <w:vertAlign w:val="superscript"/>
        </w:rPr>
        <w:footnoteReference w:id="12"/>
      </w:r>
      <w:r w:rsidRPr="005A4D94">
        <w:t xml:space="preserve">, skapa en grund för att säkerställa ett gott skydd för människors liv och hälsa, djurs hälsa och välbefinnande samt miljö- och konsumentintressena med avseende på genetiskt modifierade livsmedel och foder, och att samtidigt sörja för att den inre marknaden fungerar effektivt. </w:t>
      </w:r>
    </w:p>
    <w:p w14:paraId="1E3BFC26" w14:textId="77777777" w:rsidR="007C3901" w:rsidRPr="005A4D94" w:rsidRDefault="007C3901" w:rsidP="007C3901">
      <w:pPr>
        <w:pStyle w:val="NormalHanging12a"/>
      </w:pPr>
      <w:r w:rsidRPr="005A4D94">
        <w:t>3.</w:t>
      </w:r>
      <w:r w:rsidRPr="005A4D94">
        <w:tab/>
        <w:t>Europaparlamentet uppmanar kommissionen att dra tillbaka sitt utkast till genomförandebeslut.</w:t>
      </w:r>
    </w:p>
    <w:p w14:paraId="7E45085B" w14:textId="77777777" w:rsidR="007C3901" w:rsidRPr="005A4D94" w:rsidRDefault="007C3901" w:rsidP="007C3901">
      <w:pPr>
        <w:spacing w:after="240"/>
        <w:ind w:left="567" w:hanging="567"/>
      </w:pPr>
      <w:bookmarkStart w:id="19" w:name="_Hlk218675841"/>
      <w:r w:rsidRPr="005A4D94">
        <w:t>4.</w:t>
      </w:r>
      <w:r w:rsidRPr="005A4D94">
        <w:tab/>
        <w:t xml:space="preserve">Europaparlamentet uppmanar kommissionen att inte förlänga godkännandet av den genetiskt modifierade majsen eftersom det saknas tillräckliga belägg för de långsiktiga effekterna på den biologiska mångfalden, livsmedelssäkerheten, jordbrukarnas försörjningsmöjligheter och djurhälsan, i enlighet med </w:t>
      </w:r>
      <w:proofErr w:type="spellStart"/>
      <w:r w:rsidRPr="005A4D94">
        <w:t>One</w:t>
      </w:r>
      <w:proofErr w:type="spellEnd"/>
      <w:r w:rsidRPr="005A4D94">
        <w:t> </w:t>
      </w:r>
      <w:proofErr w:type="spellStart"/>
      <w:r w:rsidRPr="005A4D94">
        <w:t>health</w:t>
      </w:r>
      <w:proofErr w:type="spellEnd"/>
      <w:r w:rsidRPr="005A4D94">
        <w:t>-modellen.</w:t>
      </w:r>
    </w:p>
    <w:p w14:paraId="395E80FF" w14:textId="77777777" w:rsidR="007C3901" w:rsidRPr="005A4D94" w:rsidRDefault="007C3901" w:rsidP="007C3901">
      <w:pPr>
        <w:spacing w:after="240"/>
        <w:ind w:left="567" w:hanging="567"/>
      </w:pPr>
      <w:bookmarkStart w:id="20" w:name="_Hlk210900300"/>
      <w:r w:rsidRPr="005A4D94">
        <w:t>5.</w:t>
      </w:r>
      <w:r w:rsidRPr="005A4D94">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bland medlemsstaterna.</w:t>
      </w:r>
      <w:bookmarkEnd w:id="20"/>
    </w:p>
    <w:p w14:paraId="79878CE0" w14:textId="77777777" w:rsidR="007C3901" w:rsidRPr="005A4D94" w:rsidRDefault="007C3901" w:rsidP="007C3901">
      <w:pPr>
        <w:spacing w:after="240"/>
        <w:ind w:left="567" w:hanging="567"/>
      </w:pPr>
      <w:bookmarkStart w:id="21" w:name="_Hlk210900241"/>
      <w:r w:rsidRPr="005A4D94">
        <w:t>6.</w:t>
      </w:r>
      <w:r w:rsidRPr="005A4D94">
        <w:tab/>
        <w:t xml:space="preserve">Europaparlamentet betonar i detta avseende att godkännande av import av livsmedel, foder eller produkter av genetiskt modifierade växter som har gjorts toleranta mot herbicider som är förbjudna i unionen, såsom </w:t>
      </w:r>
      <w:proofErr w:type="spellStart"/>
      <w:r w:rsidRPr="005A4D94">
        <w:t>glufosinat</w:t>
      </w:r>
      <w:proofErr w:type="spellEnd"/>
      <w:r w:rsidRPr="005A4D94">
        <w:t>, är oförenligt med unionens internationella åtaganden enligt bland annat FN:s konvention om biologisk mångfald och FN:s mål för hållbar utveckling, inbegripet Kunming-Montreal-ramverket, och att det gör att EU:s jordbrukare inte har likvärdiga förutsättningar.</w:t>
      </w:r>
    </w:p>
    <w:bookmarkEnd w:id="21"/>
    <w:p w14:paraId="60347033" w14:textId="6B80CF21" w:rsidR="005A4D94" w:rsidRPr="005A4D94" w:rsidRDefault="007C3901" w:rsidP="005A4D94">
      <w:pPr>
        <w:spacing w:after="240"/>
        <w:ind w:left="567" w:hanging="567"/>
      </w:pPr>
      <w:r w:rsidRPr="005A4D94">
        <w:t>7.</w:t>
      </w:r>
      <w:r w:rsidRPr="005A4D94">
        <w:tab/>
      </w:r>
      <w:bookmarkEnd w:id="19"/>
      <w:r w:rsidRPr="005A4D94">
        <w:t xml:space="preserve">Europaparlamentet uppdrar åt talmannen att översända denna resolution till rådet och kommissionen samt till medlemsstaternas regeringar och parlament. </w:t>
      </w:r>
    </w:p>
    <w:p w14:paraId="1FFBA299" w14:textId="7BD1DC0C" w:rsidR="00E365E1" w:rsidRPr="005A4D94" w:rsidRDefault="00E365E1" w:rsidP="00894645"/>
    <w:sectPr w:rsidR="00E365E1" w:rsidRPr="005A4D94" w:rsidSect="005A4D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BECA0" w14:textId="77777777" w:rsidR="00894645" w:rsidRPr="005A4D94" w:rsidRDefault="00894645">
      <w:r w:rsidRPr="005A4D94">
        <w:separator/>
      </w:r>
    </w:p>
  </w:endnote>
  <w:endnote w:type="continuationSeparator" w:id="0">
    <w:p w14:paraId="68782286" w14:textId="77777777" w:rsidR="00894645" w:rsidRPr="005A4D94" w:rsidRDefault="00894645">
      <w:r w:rsidRPr="005A4D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62D18" w14:textId="77777777" w:rsidR="00064002" w:rsidRPr="005A4D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AC79E" w14:textId="77777777" w:rsidR="00064002" w:rsidRPr="005A4D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4EBF6" w14:textId="77777777" w:rsidR="00064002" w:rsidRPr="005A4D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B9B2B" w14:textId="77777777" w:rsidR="00894645" w:rsidRPr="005A4D94" w:rsidRDefault="00894645">
      <w:r w:rsidRPr="005A4D94">
        <w:separator/>
      </w:r>
    </w:p>
  </w:footnote>
  <w:footnote w:type="continuationSeparator" w:id="0">
    <w:p w14:paraId="0CEA490C" w14:textId="77777777" w:rsidR="00894645" w:rsidRPr="005A4D94" w:rsidRDefault="00894645">
      <w:r w:rsidRPr="005A4D94">
        <w:continuationSeparator/>
      </w:r>
    </w:p>
  </w:footnote>
  <w:footnote w:id="1">
    <w:p w14:paraId="4CF713FE" w14:textId="1887512B" w:rsidR="007C3901" w:rsidRPr="00812CF8" w:rsidRDefault="007C3901" w:rsidP="005A4D94">
      <w:pPr>
        <w:pStyle w:val="FootnoteText"/>
        <w:ind w:left="567" w:hanging="567"/>
        <w:rPr>
          <w:sz w:val="24"/>
          <w:lang w:val="fr-BE"/>
        </w:rPr>
      </w:pPr>
      <w:r w:rsidRPr="005A4D94">
        <w:rPr>
          <w:rStyle w:val="FootnoteReference"/>
          <w:sz w:val="24"/>
          <w:lang w:val="sv-SE"/>
        </w:rPr>
        <w:footnoteRef/>
      </w:r>
      <w:r w:rsidR="005A4D94" w:rsidRPr="00812CF8">
        <w:rPr>
          <w:sz w:val="24"/>
          <w:lang w:val="fr-BE"/>
        </w:rPr>
        <w:t xml:space="preserve"> </w:t>
      </w:r>
      <w:r w:rsidR="005A4D94" w:rsidRPr="00812CF8">
        <w:rPr>
          <w:sz w:val="24"/>
          <w:lang w:val="fr-BE"/>
        </w:rPr>
        <w:tab/>
      </w:r>
      <w:r w:rsidRPr="00812CF8">
        <w:rPr>
          <w:sz w:val="24"/>
          <w:lang w:val="fr-BE"/>
        </w:rPr>
        <w:t xml:space="preserve">EUT L 268, 18.10.2003, s. 1, </w:t>
      </w:r>
      <w:proofErr w:type="gramStart"/>
      <w:r w:rsidRPr="00812CF8">
        <w:rPr>
          <w:sz w:val="24"/>
          <w:lang w:val="fr-BE"/>
        </w:rPr>
        <w:t>ELI:</w:t>
      </w:r>
      <w:proofErr w:type="gramEnd"/>
      <w:r w:rsidRPr="00812CF8">
        <w:rPr>
          <w:sz w:val="24"/>
          <w:lang w:val="fr-BE"/>
        </w:rPr>
        <w:t> </w:t>
      </w:r>
      <w:hyperlink r:id="rId1" w:tooltip="Ger tillgång till detta dokument via dess ELI-URI-adress." w:history="1">
        <w:r w:rsidRPr="00812CF8">
          <w:rPr>
            <w:rStyle w:val="Hyperlink"/>
            <w:sz w:val="24"/>
            <w:lang w:val="fr-BE"/>
          </w:rPr>
          <w:t>http://data.europa.eu/eli/reg/2003/1829/oj</w:t>
        </w:r>
      </w:hyperlink>
      <w:r w:rsidRPr="00812CF8">
        <w:rPr>
          <w:rStyle w:val="Hyperlink"/>
          <w:sz w:val="24"/>
          <w:lang w:val="fr-BE"/>
        </w:rPr>
        <w:t>.</w:t>
      </w:r>
    </w:p>
  </w:footnote>
  <w:footnote w:id="2">
    <w:p w14:paraId="3DC6CA5F" w14:textId="14D44322" w:rsidR="007C3901" w:rsidRPr="00812CF8" w:rsidRDefault="007C3901" w:rsidP="005A4D94">
      <w:pPr>
        <w:pStyle w:val="FootnoteText"/>
        <w:ind w:left="567" w:hanging="567"/>
        <w:rPr>
          <w:sz w:val="24"/>
          <w:lang w:val="fr-BE"/>
        </w:rPr>
      </w:pPr>
      <w:r w:rsidRPr="005A4D94">
        <w:rPr>
          <w:rStyle w:val="FootnoteReference"/>
          <w:sz w:val="24"/>
          <w:lang w:val="sv-SE"/>
        </w:rPr>
        <w:footnoteRef/>
      </w:r>
      <w:r w:rsidR="005A4D94" w:rsidRPr="00812CF8">
        <w:rPr>
          <w:sz w:val="24"/>
          <w:lang w:val="fr-BE"/>
        </w:rPr>
        <w:t xml:space="preserve"> </w:t>
      </w:r>
      <w:r w:rsidR="005A4D94" w:rsidRPr="00812CF8">
        <w:rPr>
          <w:sz w:val="24"/>
          <w:lang w:val="fr-BE"/>
        </w:rPr>
        <w:tab/>
      </w:r>
      <w:r w:rsidRPr="00812CF8">
        <w:rPr>
          <w:sz w:val="24"/>
          <w:lang w:val="fr-BE"/>
        </w:rPr>
        <w:t xml:space="preserve">EUT L 55, 28.2.2011, s. 13, </w:t>
      </w:r>
      <w:proofErr w:type="gramStart"/>
      <w:r w:rsidRPr="00812CF8">
        <w:rPr>
          <w:sz w:val="24"/>
          <w:lang w:val="fr-BE"/>
        </w:rPr>
        <w:t>ELI:</w:t>
      </w:r>
      <w:proofErr w:type="gramEnd"/>
      <w:r w:rsidRPr="00812CF8">
        <w:rPr>
          <w:sz w:val="24"/>
          <w:lang w:val="fr-BE"/>
        </w:rPr>
        <w:t> </w:t>
      </w:r>
      <w:hyperlink r:id="rId2" w:history="1">
        <w:r w:rsidRPr="00812CF8">
          <w:rPr>
            <w:rStyle w:val="Hyperlink"/>
            <w:sz w:val="24"/>
            <w:lang w:val="fr-BE"/>
          </w:rPr>
          <w:t>http://data.europa.eu/eli/reg/2011/182/oj</w:t>
        </w:r>
      </w:hyperlink>
      <w:r w:rsidRPr="00812CF8">
        <w:rPr>
          <w:sz w:val="24"/>
          <w:lang w:val="fr-BE"/>
        </w:rPr>
        <w:t>.</w:t>
      </w:r>
    </w:p>
  </w:footnote>
  <w:footnote w:id="3">
    <w:p w14:paraId="0E4E62DA" w14:textId="49530668" w:rsidR="007C3901" w:rsidRPr="005A4D94" w:rsidRDefault="007C3901" w:rsidP="005A4D94">
      <w:pPr>
        <w:pStyle w:val="FootnoteText"/>
        <w:ind w:left="567" w:hanging="567"/>
        <w:rPr>
          <w:sz w:val="24"/>
          <w:lang w:val="sv-SE"/>
        </w:rPr>
      </w:pPr>
      <w:r w:rsidRPr="005A4D94">
        <w:rPr>
          <w:sz w:val="24"/>
          <w:vertAlign w:val="superscript"/>
          <w:lang w:val="sv-SE"/>
        </w:rPr>
        <w:footnoteRef/>
      </w:r>
      <w:bookmarkStart w:id="9" w:name="_Hlk219207010"/>
      <w:r w:rsidR="005A4D94" w:rsidRPr="005A4D94">
        <w:rPr>
          <w:sz w:val="24"/>
          <w:lang w:val="sv-SE"/>
        </w:rPr>
        <w:t xml:space="preserve"> </w:t>
      </w:r>
      <w:r w:rsidR="005A4D94" w:rsidRPr="005A4D94">
        <w:rPr>
          <w:sz w:val="24"/>
          <w:lang w:val="sv-SE"/>
        </w:rPr>
        <w:tab/>
      </w:r>
      <w:r w:rsidRPr="005A4D94">
        <w:rPr>
          <w:sz w:val="24"/>
          <w:lang w:val="sv-SE"/>
        </w:rPr>
        <w:t xml:space="preserve">Vetenskapligt yttrande från </w:t>
      </w:r>
      <w:proofErr w:type="spellStart"/>
      <w:r w:rsidRPr="005A4D94">
        <w:rPr>
          <w:sz w:val="24"/>
          <w:lang w:val="sv-SE"/>
        </w:rPr>
        <w:t>Efsas</w:t>
      </w:r>
      <w:proofErr w:type="spellEnd"/>
      <w:r w:rsidRPr="005A4D94">
        <w:rPr>
          <w:sz w:val="24"/>
          <w:lang w:val="sv-SE"/>
        </w:rPr>
        <w:t xml:space="preserve"> panel för genetiskt modifierade organismer över</w:t>
      </w:r>
      <w:bookmarkEnd w:id="9"/>
      <w:r w:rsidRPr="005A4D94">
        <w:rPr>
          <w:sz w:val="24"/>
          <w:lang w:val="sv-SE"/>
        </w:rPr>
        <w:t xml:space="preserve"> bedömningen av den genetiskt modifierade majsen T25 för förlängt godkännande enligt förordning (EG) nr 1829/2003 (ärende GMFF-2024-22651), </w:t>
      </w:r>
      <w:r w:rsidRPr="005A4D94">
        <w:rPr>
          <w:i/>
          <w:iCs/>
          <w:sz w:val="24"/>
          <w:lang w:val="sv-SE"/>
        </w:rPr>
        <w:t>EFSA Journal</w:t>
      </w:r>
      <w:r w:rsidRPr="005A4D94">
        <w:rPr>
          <w:sz w:val="24"/>
          <w:lang w:val="sv-SE"/>
        </w:rPr>
        <w:t xml:space="preserve">, 2025, 23(8):e9570, </w:t>
      </w:r>
      <w:hyperlink r:id="rId3" w:history="1">
        <w:r w:rsidRPr="005A4D94">
          <w:rPr>
            <w:rStyle w:val="Hyperlink"/>
            <w:sz w:val="24"/>
            <w:lang w:val="sv-SE"/>
          </w:rPr>
          <w:t>https://doi.org/10.2903/j.efsa.2025.9570</w:t>
        </w:r>
      </w:hyperlink>
      <w:r w:rsidRPr="005A4D94">
        <w:rPr>
          <w:sz w:val="24"/>
          <w:lang w:val="sv-SE"/>
        </w:rPr>
        <w:t xml:space="preserve">. </w:t>
      </w:r>
    </w:p>
  </w:footnote>
  <w:footnote w:id="4">
    <w:p w14:paraId="7032EB7B" w14:textId="64C1A60F" w:rsidR="007C3901" w:rsidRPr="005A4D94" w:rsidRDefault="007C3901" w:rsidP="005A4D94">
      <w:pPr>
        <w:pStyle w:val="FootnoteText"/>
        <w:ind w:left="567" w:hanging="567"/>
        <w:rPr>
          <w:color w:val="000000" w:themeColor="text1"/>
          <w:sz w:val="24"/>
          <w:vertAlign w:val="superscript"/>
          <w:lang w:val="sv-SE"/>
        </w:rPr>
      </w:pPr>
      <w:r w:rsidRPr="005A4D94">
        <w:rPr>
          <w:rStyle w:val="FootnoteReference"/>
          <w:sz w:val="24"/>
          <w:lang w:val="sv-SE"/>
        </w:rPr>
        <w:footnoteRef/>
      </w:r>
      <w:r w:rsidR="005A4D94" w:rsidRPr="005A4D94">
        <w:rPr>
          <w:color w:val="000000" w:themeColor="text1"/>
          <w:sz w:val="24"/>
          <w:lang w:val="sv-SE"/>
        </w:rPr>
        <w:t xml:space="preserve"> </w:t>
      </w:r>
      <w:r w:rsidR="005A4D94" w:rsidRPr="005A4D94">
        <w:rPr>
          <w:color w:val="000000" w:themeColor="text1"/>
          <w:sz w:val="24"/>
          <w:lang w:val="sv-SE"/>
        </w:rPr>
        <w:tab/>
      </w:r>
      <w:r w:rsidRPr="005A4D94">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6C80C6EA" w14:textId="1D13DA57" w:rsidR="007C3901" w:rsidRPr="005A4D94" w:rsidRDefault="005A4D94" w:rsidP="005A4D94">
      <w:pPr>
        <w:pStyle w:val="FootnoteText"/>
        <w:ind w:left="567" w:hanging="567"/>
        <w:rPr>
          <w:color w:val="000000" w:themeColor="text1"/>
          <w:sz w:val="24"/>
          <w:vertAlign w:val="superscript"/>
          <w:lang w:val="sv-SE"/>
        </w:rPr>
      </w:pPr>
      <w:r w:rsidRPr="005A4D94">
        <w:rPr>
          <w:color w:val="000000" w:themeColor="text1"/>
          <w:sz w:val="24"/>
          <w:lang w:val="sv-SE"/>
        </w:rPr>
        <w:t xml:space="preserve"> </w:t>
      </w:r>
      <w:r w:rsidRPr="005A4D94">
        <w:rPr>
          <w:color w:val="000000" w:themeColor="text1"/>
          <w:sz w:val="24"/>
          <w:lang w:val="sv-SE"/>
        </w:rPr>
        <w:tab/>
      </w:r>
      <w:r w:rsidR="007C3901" w:rsidRPr="005A4D94">
        <w:rPr>
          <w:color w:val="000000" w:themeColor="text1"/>
          <w:sz w:val="24"/>
          <w:lang w:val="sv-SE"/>
        </w:rPr>
        <w:t>–</w:t>
      </w:r>
      <w:r w:rsidR="007C3901" w:rsidRPr="005A4D94">
        <w:rPr>
          <w:color w:val="000000" w:themeColor="text1"/>
          <w:sz w:val="24"/>
          <w:lang w:val="sv-SE"/>
        </w:rPr>
        <w:tab/>
        <w:t>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/C/2025/1797/oj</w:t>
        </w:r>
      </w:hyperlink>
      <w:r w:rsidR="007C3901" w:rsidRPr="005A4D94">
        <w:rPr>
          <w:color w:val="000000" w:themeColor="text1"/>
          <w:sz w:val="24"/>
          <w:lang w:val="sv-SE"/>
        </w:rPr>
        <w:t>).</w:t>
      </w:r>
    </w:p>
    <w:p w14:paraId="235BFB51" w14:textId="683F0774" w:rsidR="007C3901" w:rsidRPr="005A4D94" w:rsidRDefault="005A4D94" w:rsidP="005A4D94">
      <w:pPr>
        <w:pStyle w:val="FootnoteText"/>
        <w:keepNext/>
        <w:ind w:left="567" w:hanging="567"/>
        <w:rPr>
          <w:color w:val="000000" w:themeColor="text1"/>
          <w:sz w:val="24"/>
          <w:vertAlign w:val="superscript"/>
          <w:lang w:val="sv-SE"/>
        </w:rPr>
      </w:pPr>
      <w:r w:rsidRPr="005A4D94">
        <w:rPr>
          <w:color w:val="000000" w:themeColor="text1"/>
          <w:sz w:val="24"/>
          <w:lang w:val="sv-SE"/>
        </w:rPr>
        <w:t xml:space="preserve"> </w:t>
      </w:r>
      <w:r w:rsidRPr="005A4D94">
        <w:rPr>
          <w:color w:val="000000" w:themeColor="text1"/>
          <w:sz w:val="24"/>
          <w:lang w:val="sv-SE"/>
        </w:rPr>
        <w:tab/>
      </w:r>
      <w:r w:rsidR="007C3901" w:rsidRPr="005A4D94">
        <w:rPr>
          <w:color w:val="000000" w:themeColor="text1"/>
          <w:sz w:val="24"/>
          <w:lang w:val="sv-SE"/>
        </w:rPr>
        <w:t>–</w:t>
      </w:r>
      <w:r w:rsidR="007C3901" w:rsidRPr="005A4D94">
        <w:rPr>
          <w:color w:val="000000" w:themeColor="text1"/>
          <w:sz w:val="24"/>
          <w:lang w:val="sv-SE"/>
        </w:rPr>
        <w:tab/>
        <w:t>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/C/2025/1798/oj</w:t>
        </w:r>
      </w:hyperlink>
      <w:r w:rsidR="007C3901" w:rsidRPr="005A4D94">
        <w:rPr>
          <w:color w:val="000000" w:themeColor="text1"/>
          <w:sz w:val="24"/>
          <w:lang w:val="sv-SE"/>
        </w:rPr>
        <w:t>).</w:t>
      </w:r>
    </w:p>
    <w:p w14:paraId="1AC51317" w14:textId="102F3379" w:rsidR="007C3901" w:rsidRPr="005A4D94" w:rsidRDefault="005A4D94" w:rsidP="005A4D94">
      <w:pPr>
        <w:pStyle w:val="FootnoteText"/>
        <w:ind w:left="567" w:hanging="567"/>
        <w:rPr>
          <w:color w:val="000000" w:themeColor="text1"/>
          <w:sz w:val="24"/>
          <w:vertAlign w:val="superscript"/>
          <w:lang w:val="sv-SE"/>
        </w:rPr>
      </w:pPr>
      <w:r w:rsidRPr="005A4D94">
        <w:rPr>
          <w:color w:val="000000" w:themeColor="text1"/>
          <w:sz w:val="24"/>
          <w:lang w:val="sv-SE"/>
        </w:rPr>
        <w:t xml:space="preserve"> </w:t>
      </w:r>
      <w:r w:rsidRPr="005A4D94">
        <w:rPr>
          <w:color w:val="000000" w:themeColor="text1"/>
          <w:sz w:val="24"/>
          <w:lang w:val="sv-SE"/>
        </w:rPr>
        <w:tab/>
      </w:r>
      <w:r w:rsidR="007C3901" w:rsidRPr="005A4D94">
        <w:rPr>
          <w:color w:val="000000" w:themeColor="text1"/>
          <w:sz w:val="24"/>
          <w:lang w:val="sv-SE"/>
        </w:rPr>
        <w:t>–</w:t>
      </w:r>
      <w:r w:rsidR="007C3901" w:rsidRPr="005A4D94">
        <w:rPr>
          <w:color w:val="000000" w:themeColor="text1"/>
          <w:sz w:val="24"/>
          <w:lang w:val="sv-SE"/>
        </w:rPr>
        <w:tab/>
        <w:t>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/C/2025/1799/oj</w:t>
        </w:r>
      </w:hyperlink>
      <w:r w:rsidR="007C3901" w:rsidRPr="005A4D94">
        <w:rPr>
          <w:color w:val="000000" w:themeColor="text1"/>
          <w:sz w:val="24"/>
          <w:lang w:val="sv-SE"/>
        </w:rPr>
        <w:t>).</w:t>
      </w:r>
    </w:p>
    <w:p w14:paraId="157A29D5" w14:textId="272B7764" w:rsidR="007C3901" w:rsidRPr="005A4D94" w:rsidRDefault="005A4D94" w:rsidP="005A4D94">
      <w:pPr>
        <w:pStyle w:val="FootnoteText"/>
        <w:ind w:left="567" w:hanging="567"/>
        <w:rPr>
          <w:color w:val="000000" w:themeColor="text1"/>
          <w:sz w:val="24"/>
          <w:vertAlign w:val="superscript"/>
          <w:lang w:val="sv-SE"/>
        </w:rPr>
      </w:pPr>
      <w:r w:rsidRPr="005A4D94">
        <w:rPr>
          <w:color w:val="000000" w:themeColor="text1"/>
          <w:sz w:val="24"/>
          <w:lang w:val="sv-SE"/>
        </w:rPr>
        <w:t xml:space="preserve"> </w:t>
      </w:r>
      <w:r w:rsidRPr="005A4D94">
        <w:rPr>
          <w:color w:val="000000" w:themeColor="text1"/>
          <w:sz w:val="24"/>
          <w:lang w:val="sv-SE"/>
        </w:rPr>
        <w:tab/>
      </w:r>
      <w:r w:rsidR="007C3901" w:rsidRPr="005A4D94">
        <w:rPr>
          <w:color w:val="000000" w:themeColor="text1"/>
          <w:sz w:val="24"/>
          <w:lang w:val="sv-SE"/>
        </w:rPr>
        <w:t>–</w:t>
      </w:r>
      <w:r w:rsidR="007C3901" w:rsidRPr="005A4D94">
        <w:rPr>
          <w:color w:val="000000" w:themeColor="text1"/>
          <w:sz w:val="24"/>
          <w:lang w:val="sv-SE"/>
        </w:rPr>
        <w:tab/>
        <w:t>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/C/2025/1800/oj</w:t>
        </w:r>
      </w:hyperlink>
      <w:r w:rsidR="007C3901" w:rsidRPr="005A4D94">
        <w:rPr>
          <w:color w:val="000000" w:themeColor="text1"/>
          <w:sz w:val="24"/>
          <w:lang w:val="sv-SE"/>
        </w:rPr>
        <w:t>).</w:t>
      </w:r>
    </w:p>
    <w:p w14:paraId="0AA38701" w14:textId="32AB2170" w:rsidR="007C3901" w:rsidRPr="005A4D94" w:rsidRDefault="005A4D94" w:rsidP="005A4D94">
      <w:pPr>
        <w:pStyle w:val="FootnoteText"/>
        <w:ind w:left="567" w:hanging="567"/>
        <w:rPr>
          <w:color w:val="000000" w:themeColor="text1"/>
          <w:sz w:val="24"/>
          <w:vertAlign w:val="superscript"/>
          <w:lang w:val="sv-SE"/>
        </w:rPr>
      </w:pPr>
      <w:r w:rsidRPr="005A4D94">
        <w:rPr>
          <w:color w:val="000000" w:themeColor="text1"/>
          <w:sz w:val="24"/>
          <w:lang w:val="sv-SE"/>
        </w:rPr>
        <w:t xml:space="preserve"> </w:t>
      </w:r>
      <w:r w:rsidRPr="005A4D94">
        <w:rPr>
          <w:color w:val="000000" w:themeColor="text1"/>
          <w:sz w:val="24"/>
          <w:lang w:val="sv-SE"/>
        </w:rPr>
        <w:tab/>
      </w:r>
      <w:r w:rsidR="007C3901" w:rsidRPr="005A4D94">
        <w:rPr>
          <w:color w:val="000000" w:themeColor="text1"/>
          <w:sz w:val="24"/>
          <w:lang w:val="sv-SE"/>
        </w:rPr>
        <w:t>–</w:t>
      </w:r>
      <w:r w:rsidR="007C3901" w:rsidRPr="005A4D94">
        <w:rPr>
          <w:color w:val="000000" w:themeColor="text1"/>
          <w:sz w:val="24"/>
          <w:lang w:val="sv-SE"/>
        </w:rPr>
        <w:tab/>
        <w:t>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/C/2025/1801/oj</w:t>
        </w:r>
      </w:hyperlink>
      <w:r w:rsidR="007C3901" w:rsidRPr="005A4D94">
        <w:rPr>
          <w:color w:val="000000" w:themeColor="text1"/>
          <w:sz w:val="24"/>
          <w:lang w:val="sv-SE"/>
        </w:rPr>
        <w:t>).</w:t>
      </w:r>
    </w:p>
    <w:p w14:paraId="3E7EF4CD" w14:textId="18911C64" w:rsidR="007C3901" w:rsidRPr="005A4D94" w:rsidRDefault="005A4D94" w:rsidP="005A4D94">
      <w:pPr>
        <w:pStyle w:val="FootnoteText"/>
        <w:ind w:left="567" w:hanging="567"/>
        <w:rPr>
          <w:color w:val="000000" w:themeColor="text1"/>
          <w:sz w:val="24"/>
          <w:vertAlign w:val="superscript"/>
          <w:lang w:val="sv-SE"/>
        </w:rPr>
      </w:pPr>
      <w:r w:rsidRPr="005A4D94">
        <w:rPr>
          <w:color w:val="000000" w:themeColor="text1"/>
          <w:sz w:val="24"/>
          <w:lang w:val="sv-SE"/>
        </w:rPr>
        <w:t xml:space="preserve"> </w:t>
      </w:r>
      <w:r w:rsidRPr="005A4D94">
        <w:rPr>
          <w:color w:val="000000" w:themeColor="text1"/>
          <w:sz w:val="24"/>
          <w:lang w:val="sv-SE"/>
        </w:rPr>
        <w:tab/>
      </w:r>
      <w:r w:rsidR="007C3901" w:rsidRPr="005A4D94">
        <w:rPr>
          <w:color w:val="000000" w:themeColor="text1"/>
          <w:sz w:val="24"/>
          <w:lang w:val="sv-SE"/>
        </w:rPr>
        <w:t>–</w:t>
      </w:r>
      <w:r w:rsidR="007C3901" w:rsidRPr="005A4D94">
        <w:rPr>
          <w:color w:val="000000" w:themeColor="text1"/>
          <w:sz w:val="24"/>
          <w:lang w:val="sv-SE"/>
        </w:rPr>
        <w:tab/>
        <w:t>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/C/2025/1802/oj</w:t>
        </w:r>
      </w:hyperlink>
      <w:r w:rsidR="007C3901" w:rsidRPr="005A4D94">
        <w:rPr>
          <w:color w:val="000000" w:themeColor="text1"/>
          <w:sz w:val="24"/>
          <w:lang w:val="sv-SE"/>
        </w:rPr>
        <w:t>).</w:t>
      </w:r>
    </w:p>
    <w:p w14:paraId="2782223C" w14:textId="62C61D5D" w:rsidR="007C3901" w:rsidRPr="005A4D94" w:rsidRDefault="005A4D94" w:rsidP="005A4D94">
      <w:pPr>
        <w:pStyle w:val="FootnoteText"/>
        <w:ind w:left="567" w:hanging="567"/>
        <w:rPr>
          <w:color w:val="000000" w:themeColor="text1"/>
          <w:sz w:val="24"/>
          <w:vertAlign w:val="superscript"/>
          <w:lang w:val="sv-SE"/>
        </w:rPr>
      </w:pPr>
      <w:r w:rsidRPr="005A4D94">
        <w:rPr>
          <w:color w:val="000000" w:themeColor="text1"/>
          <w:sz w:val="24"/>
          <w:lang w:val="sv-SE"/>
        </w:rPr>
        <w:t xml:space="preserve"> </w:t>
      </w:r>
      <w:r w:rsidRPr="005A4D94">
        <w:rPr>
          <w:color w:val="000000" w:themeColor="text1"/>
          <w:sz w:val="24"/>
          <w:lang w:val="sv-SE"/>
        </w:rPr>
        <w:tab/>
      </w:r>
      <w:r w:rsidR="007C3901" w:rsidRPr="005A4D94">
        <w:rPr>
          <w:color w:val="000000" w:themeColor="text1"/>
          <w:sz w:val="24"/>
          <w:lang w:val="sv-SE"/>
        </w:rPr>
        <w:t>–</w:t>
      </w:r>
      <w:r w:rsidR="007C3901" w:rsidRPr="005A4D94">
        <w:rPr>
          <w:color w:val="000000" w:themeColor="text1"/>
          <w:sz w:val="24"/>
          <w:lang w:val="sv-SE"/>
        </w:rPr>
        <w:tab/>
        <w:t>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/C/2025/1803/oj</w:t>
        </w:r>
      </w:hyperlink>
      <w:r w:rsidR="007C3901" w:rsidRPr="005A4D94">
        <w:rPr>
          <w:color w:val="000000" w:themeColor="text1"/>
          <w:sz w:val="24"/>
          <w:lang w:val="sv-SE"/>
        </w:rPr>
        <w:t>).</w:t>
      </w:r>
    </w:p>
    <w:p w14:paraId="46680F65" w14:textId="65492C27" w:rsidR="007C3901" w:rsidRPr="005A4D94" w:rsidRDefault="005A4D94" w:rsidP="005A4D94">
      <w:pPr>
        <w:pStyle w:val="FootnoteText"/>
        <w:ind w:left="567" w:hanging="567"/>
        <w:rPr>
          <w:color w:val="000000" w:themeColor="text1"/>
          <w:sz w:val="24"/>
          <w:vertAlign w:val="superscript"/>
          <w:lang w:val="sv-SE"/>
        </w:rPr>
      </w:pPr>
      <w:r w:rsidRPr="005A4D94">
        <w:rPr>
          <w:color w:val="000000" w:themeColor="text1"/>
          <w:sz w:val="24"/>
          <w:lang w:val="sv-SE"/>
        </w:rPr>
        <w:t xml:space="preserve"> </w:t>
      </w:r>
      <w:r w:rsidRPr="005A4D94">
        <w:rPr>
          <w:color w:val="000000" w:themeColor="text1"/>
          <w:sz w:val="24"/>
          <w:lang w:val="sv-SE"/>
        </w:rPr>
        <w:tab/>
      </w:r>
      <w:r w:rsidR="007C3901" w:rsidRPr="005A4D94">
        <w:rPr>
          <w:color w:val="000000" w:themeColor="text1"/>
          <w:sz w:val="24"/>
          <w:lang w:val="sv-SE"/>
        </w:rPr>
        <w:t>–</w:t>
      </w:r>
      <w:r w:rsidR="007C3901" w:rsidRPr="005A4D94">
        <w:rPr>
          <w:color w:val="000000" w:themeColor="text1"/>
          <w:sz w:val="24"/>
          <w:lang w:val="sv-SE"/>
        </w:rPr>
        <w:tab/>
        <w:t>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/C/2025/1804/oj</w:t>
        </w:r>
      </w:hyperlink>
      <w:r w:rsidR="007C3901" w:rsidRPr="005A4D94">
        <w:rPr>
          <w:color w:val="000000" w:themeColor="text1"/>
          <w:sz w:val="24"/>
          <w:lang w:val="sv-SE"/>
        </w:rPr>
        <w:t>).</w:t>
      </w:r>
    </w:p>
    <w:p w14:paraId="212366FE" w14:textId="197DBA05" w:rsidR="007C3901" w:rsidRPr="005A4D94" w:rsidRDefault="005A4D94" w:rsidP="005A4D94">
      <w:pPr>
        <w:pStyle w:val="FootnoteText"/>
        <w:ind w:left="567" w:hanging="567"/>
        <w:rPr>
          <w:sz w:val="24"/>
          <w:vertAlign w:val="superscript"/>
          <w:lang w:val="sv-SE"/>
        </w:rPr>
      </w:pPr>
      <w:r w:rsidRPr="005A4D94">
        <w:rPr>
          <w:color w:val="000000" w:themeColor="text1"/>
          <w:sz w:val="24"/>
          <w:lang w:val="sv-SE"/>
        </w:rPr>
        <w:t xml:space="preserve"> </w:t>
      </w:r>
      <w:r w:rsidRPr="005A4D94">
        <w:rPr>
          <w:color w:val="000000" w:themeColor="text1"/>
          <w:sz w:val="24"/>
          <w:lang w:val="sv-SE"/>
        </w:rPr>
        <w:tab/>
      </w:r>
      <w:r w:rsidR="007C3901" w:rsidRPr="005A4D94">
        <w:rPr>
          <w:color w:val="000000" w:themeColor="text1"/>
          <w:sz w:val="24"/>
          <w:lang w:val="sv-SE"/>
        </w:rPr>
        <w:t>–</w:t>
      </w:r>
      <w:r w:rsidR="007C3901" w:rsidRPr="005A4D94">
        <w:rPr>
          <w:color w:val="000000" w:themeColor="text1"/>
          <w:sz w:val="24"/>
          <w:lang w:val="sv-SE"/>
        </w:rPr>
        <w:tab/>
      </w:r>
      <w:r w:rsidR="007C3901" w:rsidRPr="005A4D94">
        <w:rPr>
          <w:sz w:val="24"/>
          <w:lang w:val="sv-SE"/>
        </w:rPr>
        <w:t xml:space="preserve">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w:t>
      </w:r>
      <w:bookmarkStart w:id="11" w:name="_Hlk219207574"/>
      <w:r w:rsidR="007C3901" w:rsidRPr="005A4D94">
        <w:rPr>
          <w:sz w:val="24"/>
          <w:lang w:val="sv-SE"/>
        </w:rPr>
        <w:t>(EUT C, C/2025/2246, 29.4.2025, ELI: </w:t>
      </w:r>
      <w:hyperlink r:id="rId12" w:tooltip="Ger tillgång till detta dokument via dess ELI-URI-adress."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/C/2025/2246/oj</w:t>
        </w:r>
      </w:hyperlink>
      <w:r w:rsidR="007C3901" w:rsidRPr="005A4D94">
        <w:rPr>
          <w:sz w:val="24"/>
          <w:lang w:val="sv-SE"/>
        </w:rPr>
        <w:t>).</w:t>
      </w:r>
      <w:bookmarkEnd w:id="11"/>
    </w:p>
    <w:p w14:paraId="6632D4D2" w14:textId="0A831B02" w:rsidR="007C3901" w:rsidRPr="005A4D94" w:rsidRDefault="005A4D94" w:rsidP="005A4D94">
      <w:pPr>
        <w:pStyle w:val="FootnoteText"/>
        <w:ind w:left="567" w:hanging="567"/>
        <w:rPr>
          <w:sz w:val="24"/>
          <w:vertAlign w:val="superscript"/>
          <w:lang w:val="sv-SE"/>
        </w:rPr>
      </w:pPr>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 xml:space="preserve">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w:t>
      </w:r>
      <w:bookmarkStart w:id="12" w:name="_Hlk219207593"/>
      <w:r w:rsidR="007C3901" w:rsidRPr="005A4D94">
        <w:rPr>
          <w:sz w:val="24"/>
          <w:lang w:val="sv-SE"/>
        </w:rPr>
        <w:t>(EUT C, C/2025/2247, 29.4.2025, ELI: </w:t>
      </w:r>
      <w:hyperlink r:id="rId13" w:history="1">
        <w:r w:rsidR="007C3901" w:rsidRPr="005A4D94">
          <w:rPr>
            <w:rStyle w:val="Hyperlink"/>
            <w:sz w:val="24"/>
            <w:lang w:val="sv-SE"/>
          </w:rPr>
          <w:t>http://data.europa.eu/</w:t>
        </w:r>
        <w:proofErr w:type="spellStart"/>
        <w:r w:rsidR="007C3901" w:rsidRPr="005A4D94">
          <w:rPr>
            <w:rStyle w:val="Hyperlink"/>
            <w:sz w:val="24"/>
            <w:lang w:val="sv-SE"/>
          </w:rPr>
          <w:t>eli</w:t>
        </w:r>
        <w:proofErr w:type="spellEnd"/>
        <w:r w:rsidR="007C3901" w:rsidRPr="005A4D94">
          <w:rPr>
            <w:rStyle w:val="Hyperlink"/>
            <w:sz w:val="24"/>
            <w:lang w:val="sv-SE"/>
          </w:rPr>
          <w:t>/C/2025/2247/oj</w:t>
        </w:r>
      </w:hyperlink>
      <w:r w:rsidR="007C3901" w:rsidRPr="005A4D94">
        <w:rPr>
          <w:sz w:val="24"/>
          <w:lang w:val="sv-SE"/>
        </w:rPr>
        <w:t>).</w:t>
      </w:r>
      <w:bookmarkEnd w:id="12"/>
    </w:p>
    <w:p w14:paraId="471B5F1F" w14:textId="36B4E277" w:rsidR="007C3901" w:rsidRPr="005A4D94" w:rsidRDefault="005A4D94" w:rsidP="005A4D94">
      <w:pPr>
        <w:pStyle w:val="FootnoteText"/>
        <w:ind w:left="567" w:hanging="567"/>
        <w:rPr>
          <w:sz w:val="24"/>
          <w:vertAlign w:val="superscript"/>
          <w:lang w:val="sv-SE"/>
        </w:rPr>
      </w:pPr>
      <w:bookmarkStart w:id="13" w:name="_Hlk219207619"/>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 xml:space="preserve">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w:t>
      </w:r>
      <w:r w:rsidR="00B04B74">
        <w:rPr>
          <w:sz w:val="24"/>
          <w:lang w:val="sv-SE"/>
        </w:rPr>
        <w:t>(</w:t>
      </w:r>
      <w:r w:rsidR="00B04B74" w:rsidRPr="00B04B74">
        <w:rPr>
          <w:sz w:val="24"/>
          <w:lang w:val="sv-SE"/>
        </w:rPr>
        <w:t>Antagna texter,</w:t>
      </w:r>
      <w:r w:rsidR="00B04B74">
        <w:rPr>
          <w:sz w:val="24"/>
          <w:lang w:val="sv-SE"/>
        </w:rPr>
        <w:t xml:space="preserve"> </w:t>
      </w:r>
      <w:r w:rsidR="007C3901" w:rsidRPr="005A4D94">
        <w:rPr>
          <w:sz w:val="24"/>
          <w:lang w:val="sv-SE"/>
        </w:rPr>
        <w:t>P10_TA(2025)0106).</w:t>
      </w:r>
    </w:p>
    <w:p w14:paraId="001CF225" w14:textId="2BC96F8F" w:rsidR="007C3901" w:rsidRPr="005A4D94" w:rsidRDefault="005A4D94" w:rsidP="005A4D94">
      <w:pPr>
        <w:pStyle w:val="FootnoteText"/>
        <w:ind w:left="567" w:hanging="567"/>
        <w:rPr>
          <w:sz w:val="24"/>
          <w:vertAlign w:val="superscript"/>
          <w:lang w:val="sv-SE"/>
        </w:rPr>
      </w:pPr>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w:t>
      </w:r>
      <w:r w:rsidR="00B04B74" w:rsidRPr="00B04B74">
        <w:rPr>
          <w:sz w:val="24"/>
          <w:lang w:val="sv-SE"/>
        </w:rPr>
        <w:t xml:space="preserve">Antagna texter, </w:t>
      </w:r>
      <w:r w:rsidR="007C3901" w:rsidRPr="005A4D94">
        <w:rPr>
          <w:sz w:val="24"/>
          <w:lang w:val="sv-SE"/>
        </w:rPr>
        <w:t>P10_TA(2025)0222).</w:t>
      </w:r>
    </w:p>
    <w:p w14:paraId="71822CA9" w14:textId="40375097" w:rsidR="007C3901" w:rsidRPr="005A4D94" w:rsidRDefault="005A4D94" w:rsidP="005A4D94">
      <w:pPr>
        <w:pStyle w:val="FootnoteText"/>
        <w:ind w:left="567" w:hanging="567"/>
        <w:rPr>
          <w:sz w:val="24"/>
          <w:vertAlign w:val="superscript"/>
          <w:lang w:val="sv-SE"/>
        </w:rPr>
      </w:pPr>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w:t>
      </w:r>
      <w:r w:rsidR="00B04B74" w:rsidRPr="00B04B74">
        <w:rPr>
          <w:sz w:val="24"/>
          <w:lang w:val="sv-SE"/>
        </w:rPr>
        <w:t xml:space="preserve">Antagna texter, </w:t>
      </w:r>
      <w:r w:rsidR="007C3901" w:rsidRPr="005A4D94">
        <w:rPr>
          <w:sz w:val="24"/>
          <w:lang w:val="sv-SE"/>
        </w:rPr>
        <w:t>P10_TA(2025)0288).</w:t>
      </w:r>
    </w:p>
    <w:p w14:paraId="29F84A94" w14:textId="3E8B47E0" w:rsidR="007C3901" w:rsidRPr="005A4D94" w:rsidRDefault="005A4D94" w:rsidP="005A4D94">
      <w:pPr>
        <w:pStyle w:val="FootnoteText"/>
        <w:keepNext/>
        <w:ind w:left="567" w:hanging="567"/>
        <w:rPr>
          <w:sz w:val="24"/>
          <w:vertAlign w:val="superscript"/>
          <w:lang w:val="sv-SE"/>
        </w:rPr>
      </w:pPr>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w:t>
      </w:r>
      <w:r w:rsidR="00B04B74" w:rsidRPr="00B04B74">
        <w:rPr>
          <w:sz w:val="24"/>
          <w:lang w:val="sv-SE"/>
        </w:rPr>
        <w:t xml:space="preserve">Antagna texter, </w:t>
      </w:r>
      <w:r w:rsidR="007C3901" w:rsidRPr="005A4D94">
        <w:rPr>
          <w:sz w:val="24"/>
          <w:lang w:val="sv-SE"/>
        </w:rPr>
        <w:t>P10_TA(2025)0289).</w:t>
      </w:r>
    </w:p>
    <w:p w14:paraId="3551E94E" w14:textId="673242FE" w:rsidR="007C3901" w:rsidRPr="005A4D94" w:rsidRDefault="005A4D94" w:rsidP="005A4D94">
      <w:pPr>
        <w:pStyle w:val="FootnoteText"/>
        <w:ind w:left="567" w:hanging="567"/>
        <w:rPr>
          <w:sz w:val="24"/>
          <w:vertAlign w:val="superscript"/>
          <w:lang w:val="sv-SE"/>
        </w:rPr>
      </w:pPr>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w:t>
      </w:r>
      <w:r w:rsidR="00B04B74" w:rsidRPr="00B04B74">
        <w:rPr>
          <w:sz w:val="24"/>
          <w:lang w:val="sv-SE"/>
        </w:rPr>
        <w:t xml:space="preserve">Antagna texter, </w:t>
      </w:r>
      <w:r w:rsidR="007C3901" w:rsidRPr="005A4D94">
        <w:rPr>
          <w:sz w:val="24"/>
          <w:lang w:val="sv-SE"/>
        </w:rPr>
        <w:t>P10_TA(2025)0290).</w:t>
      </w:r>
    </w:p>
    <w:p w14:paraId="22703180" w14:textId="087CF888" w:rsidR="007C3901" w:rsidRPr="005A4D94" w:rsidRDefault="005A4D94" w:rsidP="005A4D94">
      <w:pPr>
        <w:pStyle w:val="FootnoteText"/>
        <w:ind w:left="567" w:hanging="567"/>
        <w:rPr>
          <w:sz w:val="24"/>
          <w:vertAlign w:val="superscript"/>
          <w:lang w:val="sv-SE"/>
        </w:rPr>
      </w:pPr>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Europaparlamentets resolution av den 25 november 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 (</w:t>
      </w:r>
      <w:r w:rsidR="00B04B74" w:rsidRPr="00B04B74">
        <w:rPr>
          <w:sz w:val="24"/>
          <w:lang w:val="sv-SE"/>
        </w:rPr>
        <w:t xml:space="preserve">Antagna texter, </w:t>
      </w:r>
      <w:r w:rsidR="007C3901" w:rsidRPr="005A4D94">
        <w:rPr>
          <w:sz w:val="24"/>
          <w:lang w:val="sv-SE"/>
        </w:rPr>
        <w:t>P10_TA(2025)0291).</w:t>
      </w:r>
    </w:p>
    <w:p w14:paraId="4527BF03" w14:textId="2D68A6C9" w:rsidR="007C3901" w:rsidRPr="005A4D94" w:rsidRDefault="005A4D94" w:rsidP="005A4D94">
      <w:pPr>
        <w:pStyle w:val="FootnoteText"/>
        <w:ind w:left="567" w:hanging="567"/>
        <w:rPr>
          <w:sz w:val="24"/>
          <w:vertAlign w:val="superscript"/>
          <w:lang w:val="sv-SE"/>
        </w:rPr>
      </w:pPr>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w:t>
      </w:r>
      <w:r w:rsidR="00B04B74" w:rsidRPr="00B04B74">
        <w:rPr>
          <w:sz w:val="24"/>
          <w:lang w:val="sv-SE"/>
        </w:rPr>
        <w:t xml:space="preserve">Antagna texter, </w:t>
      </w:r>
      <w:r w:rsidR="007C3901" w:rsidRPr="005A4D94">
        <w:rPr>
          <w:sz w:val="24"/>
          <w:lang w:val="sv-SE"/>
        </w:rPr>
        <w:t>P10_TA(2025)0292).</w:t>
      </w:r>
    </w:p>
    <w:p w14:paraId="20D7A2D2" w14:textId="0834D36D" w:rsidR="007C3901" w:rsidRPr="005A4D94" w:rsidRDefault="005A4D94" w:rsidP="005A4D94">
      <w:pPr>
        <w:pStyle w:val="FootnoteText"/>
        <w:ind w:left="567" w:hanging="567"/>
        <w:rPr>
          <w:sz w:val="24"/>
          <w:vertAlign w:val="superscript"/>
          <w:lang w:val="sv-SE"/>
        </w:rPr>
      </w:pPr>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Europaparlamentets resolution av den 16 december 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 (</w:t>
      </w:r>
      <w:r w:rsidR="00B04B74" w:rsidRPr="00B04B74">
        <w:rPr>
          <w:sz w:val="24"/>
          <w:lang w:val="sv-SE"/>
        </w:rPr>
        <w:t xml:space="preserve">Antagna texter, </w:t>
      </w:r>
      <w:r w:rsidR="007C3901" w:rsidRPr="005A4D94">
        <w:rPr>
          <w:sz w:val="24"/>
          <w:lang w:val="sv-SE"/>
        </w:rPr>
        <w:t>P10_TA(2025)0327).</w:t>
      </w:r>
    </w:p>
    <w:p w14:paraId="0B8E05C5" w14:textId="7D0F89CB" w:rsidR="007C3901" w:rsidRPr="005A4D94" w:rsidRDefault="005A4D94" w:rsidP="005A4D94">
      <w:pPr>
        <w:pStyle w:val="FootnoteText"/>
        <w:ind w:left="567" w:hanging="567"/>
        <w:rPr>
          <w:sz w:val="24"/>
          <w:lang w:val="sv-SE"/>
        </w:rPr>
      </w:pPr>
      <w:r w:rsidRPr="005A4D94">
        <w:rPr>
          <w:sz w:val="24"/>
          <w:lang w:val="sv-SE"/>
        </w:rPr>
        <w:t xml:space="preserve"> </w:t>
      </w:r>
      <w:r w:rsidRPr="005A4D94">
        <w:rPr>
          <w:sz w:val="24"/>
          <w:lang w:val="sv-SE"/>
        </w:rPr>
        <w:tab/>
      </w:r>
      <w:r w:rsidR="007C3901" w:rsidRPr="005A4D94">
        <w:rPr>
          <w:sz w:val="24"/>
          <w:lang w:val="sv-SE"/>
        </w:rPr>
        <w:t>–</w:t>
      </w:r>
      <w:r w:rsidR="007C3901" w:rsidRPr="005A4D94">
        <w:rPr>
          <w:sz w:val="24"/>
          <w:lang w:val="sv-SE"/>
        </w:rPr>
        <w:tab/>
        <w:t>Europaparlamentets resolution av den 16 december 2025 om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 (</w:t>
      </w:r>
      <w:r w:rsidR="00B04B74" w:rsidRPr="00B04B74">
        <w:rPr>
          <w:sz w:val="24"/>
          <w:lang w:val="sv-SE"/>
        </w:rPr>
        <w:t xml:space="preserve">Antagna texter, </w:t>
      </w:r>
      <w:r w:rsidR="007C3901" w:rsidRPr="005A4D94">
        <w:rPr>
          <w:sz w:val="24"/>
          <w:lang w:val="sv-SE"/>
        </w:rPr>
        <w:t>P10_TA(2025)0328).</w:t>
      </w:r>
      <w:bookmarkEnd w:id="13"/>
    </w:p>
  </w:footnote>
  <w:footnote w:id="5">
    <w:p w14:paraId="628001E0" w14:textId="4A50F3F0" w:rsidR="007C3901" w:rsidRPr="005A4D94" w:rsidRDefault="007C3901" w:rsidP="005A4D94">
      <w:pPr>
        <w:pStyle w:val="FootnoteText"/>
        <w:ind w:left="567" w:hanging="567"/>
        <w:rPr>
          <w:iCs/>
          <w:sz w:val="24"/>
          <w:lang w:val="sv-SE"/>
        </w:rPr>
      </w:pPr>
      <w:r w:rsidRPr="005A4D94">
        <w:rPr>
          <w:rStyle w:val="FootnoteReference"/>
          <w:sz w:val="24"/>
          <w:lang w:val="sv-SE"/>
        </w:rPr>
        <w:footnoteRef/>
      </w:r>
      <w:r w:rsidR="005A4D94" w:rsidRPr="005A4D94">
        <w:rPr>
          <w:sz w:val="24"/>
          <w:lang w:val="sv-SE"/>
        </w:rPr>
        <w:t xml:space="preserve"> </w:t>
      </w:r>
      <w:r w:rsidR="005A4D94" w:rsidRPr="005A4D94">
        <w:rPr>
          <w:sz w:val="24"/>
          <w:lang w:val="sv-SE"/>
        </w:rPr>
        <w:tab/>
      </w:r>
      <w:r w:rsidRPr="005A4D94">
        <w:rPr>
          <w:sz w:val="24"/>
          <w:lang w:val="sv-SE"/>
        </w:rPr>
        <w:t>Kommissionens genomförandebeslut (EU) 2015/697 av den 24 april 2015 om godkännande för utsläppande på marknaden av den genetiskt modifierade majsen T25 (ACS-ZMØØ3-2) och förlängning av godkännandet för de befintliga produkterna av majs T25 (ACS-ZMØØ3-2), i enlighet med Europaparlamentets och rådets förordning (EG) nr 1829/2003 (EUT L 112, 30.4.2015, s. 66), ELI: </w:t>
      </w:r>
      <w:hyperlink r:id="rId14" w:history="1">
        <w:r w:rsidRPr="005A4D94">
          <w:rPr>
            <w:rStyle w:val="Hyperlink"/>
            <w:sz w:val="24"/>
            <w:lang w:val="sv-SE"/>
          </w:rPr>
          <w:t>http://data.europa.eu/</w:t>
        </w:r>
        <w:proofErr w:type="spellStart"/>
        <w:r w:rsidRPr="005A4D94">
          <w:rPr>
            <w:rStyle w:val="Hyperlink"/>
            <w:sz w:val="24"/>
            <w:lang w:val="sv-SE"/>
          </w:rPr>
          <w:t>eli</w:t>
        </w:r>
        <w:proofErr w:type="spellEnd"/>
        <w:r w:rsidRPr="005A4D94">
          <w:rPr>
            <w:rStyle w:val="Hyperlink"/>
            <w:sz w:val="24"/>
            <w:lang w:val="sv-SE"/>
          </w:rPr>
          <w:t>/</w:t>
        </w:r>
        <w:proofErr w:type="spellStart"/>
        <w:r w:rsidRPr="005A4D94">
          <w:rPr>
            <w:rStyle w:val="Hyperlink"/>
            <w:sz w:val="24"/>
            <w:lang w:val="sv-SE"/>
          </w:rPr>
          <w:t>dec_impl</w:t>
        </w:r>
        <w:proofErr w:type="spellEnd"/>
        <w:r w:rsidRPr="005A4D94">
          <w:rPr>
            <w:rStyle w:val="Hyperlink"/>
            <w:sz w:val="24"/>
            <w:lang w:val="sv-SE"/>
          </w:rPr>
          <w:t>/2015/697/oj</w:t>
        </w:r>
      </w:hyperlink>
      <w:r w:rsidRPr="005A4D94">
        <w:rPr>
          <w:sz w:val="24"/>
          <w:lang w:val="sv-SE"/>
        </w:rPr>
        <w:t>).</w:t>
      </w:r>
    </w:p>
  </w:footnote>
  <w:footnote w:id="6">
    <w:p w14:paraId="63D4C7C3" w14:textId="2F681684" w:rsidR="007C3901" w:rsidRPr="005A4D94" w:rsidRDefault="007C3901" w:rsidP="005A4D94">
      <w:pPr>
        <w:pStyle w:val="FootnoteText"/>
        <w:ind w:left="567" w:hanging="567"/>
        <w:rPr>
          <w:sz w:val="24"/>
          <w:lang w:val="sv-SE"/>
        </w:rPr>
      </w:pPr>
      <w:r w:rsidRPr="005A4D94">
        <w:rPr>
          <w:rStyle w:val="FootnoteReference"/>
          <w:sz w:val="24"/>
          <w:lang w:val="sv-SE"/>
        </w:rPr>
        <w:footnoteRef/>
      </w:r>
      <w:r w:rsidR="005A4D94" w:rsidRPr="005A4D94">
        <w:rPr>
          <w:sz w:val="24"/>
          <w:lang w:val="sv-SE"/>
        </w:rPr>
        <w:t xml:space="preserve"> </w:t>
      </w:r>
      <w:r w:rsidR="005A4D94" w:rsidRPr="005A4D94">
        <w:rPr>
          <w:sz w:val="24"/>
          <w:lang w:val="sv-SE"/>
        </w:rPr>
        <w:tab/>
      </w:r>
      <w:r w:rsidRPr="005A4D94">
        <w:rPr>
          <w:sz w:val="24"/>
          <w:lang w:val="sv-SE"/>
        </w:rPr>
        <w:t xml:space="preserve">Vetenskapligt yttrande från </w:t>
      </w:r>
      <w:proofErr w:type="spellStart"/>
      <w:r w:rsidRPr="005A4D94">
        <w:rPr>
          <w:sz w:val="24"/>
          <w:lang w:val="sv-SE"/>
        </w:rPr>
        <w:t>Efsas</w:t>
      </w:r>
      <w:proofErr w:type="spellEnd"/>
      <w:r w:rsidRPr="005A4D94">
        <w:rPr>
          <w:sz w:val="24"/>
          <w:lang w:val="sv-SE"/>
        </w:rPr>
        <w:t xml:space="preserve"> panel för genetiskt modifierade organismer över ansökningarna EFSA-GMO-RX-T25 och EFSA-GMO-NL-2007-46 om förlängning av godkännandet för majsen T25, och om utsläppande på marknaden av den herbicidtoleranta genetiskt modifierade majsen T25 för användning som både livsmedel och foder och för import och bearbetning enligt förordning (EG) nr 1829/2003 från Bayer </w:t>
      </w:r>
      <w:proofErr w:type="spellStart"/>
      <w:r w:rsidRPr="005A4D94">
        <w:rPr>
          <w:sz w:val="24"/>
          <w:lang w:val="sv-SE"/>
        </w:rPr>
        <w:t>CropScience</w:t>
      </w:r>
      <w:proofErr w:type="spellEnd"/>
      <w:r w:rsidRPr="005A4D94">
        <w:rPr>
          <w:sz w:val="24"/>
          <w:lang w:val="sv-SE"/>
        </w:rPr>
        <w:t xml:space="preserve"> AG, </w:t>
      </w:r>
      <w:r w:rsidRPr="005A4D94">
        <w:rPr>
          <w:i/>
          <w:iCs/>
          <w:sz w:val="24"/>
          <w:lang w:val="sv-SE"/>
        </w:rPr>
        <w:t>EFSA Journal</w:t>
      </w:r>
      <w:r w:rsidRPr="005A4D94">
        <w:rPr>
          <w:sz w:val="24"/>
          <w:lang w:val="sv-SE"/>
        </w:rPr>
        <w:t xml:space="preserve">, volym 11 (2013):10, </w:t>
      </w:r>
      <w:proofErr w:type="spellStart"/>
      <w:r w:rsidRPr="005A4D94">
        <w:rPr>
          <w:sz w:val="24"/>
          <w:lang w:val="sv-SE"/>
        </w:rPr>
        <w:t>artikelnr</w:t>
      </w:r>
      <w:proofErr w:type="spellEnd"/>
      <w:r w:rsidRPr="005A4D94">
        <w:rPr>
          <w:sz w:val="24"/>
          <w:lang w:val="sv-SE"/>
        </w:rPr>
        <w:t xml:space="preserve"> 3356, </w:t>
      </w:r>
      <w:hyperlink r:id="rId15" w:history="1">
        <w:r w:rsidRPr="005A4D94">
          <w:rPr>
            <w:rStyle w:val="Hyperlink"/>
            <w:sz w:val="24"/>
            <w:lang w:val="sv-SE"/>
          </w:rPr>
          <w:t>https://doi.org/10.2903/j.efsa.2013.3356</w:t>
        </w:r>
      </w:hyperlink>
      <w:r w:rsidRPr="005A4D94">
        <w:rPr>
          <w:sz w:val="24"/>
          <w:lang w:val="sv-SE"/>
        </w:rPr>
        <w:t>.</w:t>
      </w:r>
    </w:p>
  </w:footnote>
  <w:footnote w:id="7">
    <w:p w14:paraId="7500786D" w14:textId="530B7AFA" w:rsidR="007C3901" w:rsidRPr="005A4D94" w:rsidRDefault="007C3901" w:rsidP="005A4D94">
      <w:pPr>
        <w:pStyle w:val="FootnoteText"/>
        <w:ind w:left="567" w:hanging="567"/>
        <w:rPr>
          <w:sz w:val="24"/>
          <w:lang w:val="sv-SE"/>
        </w:rPr>
      </w:pPr>
      <w:r w:rsidRPr="005A4D94">
        <w:rPr>
          <w:rStyle w:val="FootnoteReference"/>
          <w:sz w:val="24"/>
          <w:lang w:val="sv-SE"/>
        </w:rPr>
        <w:footnoteRef/>
      </w:r>
      <w:r w:rsidR="005A4D94" w:rsidRPr="005A4D94">
        <w:rPr>
          <w:sz w:val="24"/>
          <w:shd w:val="clear" w:color="auto" w:fill="FFFFFF"/>
          <w:lang w:val="sv-SE"/>
        </w:rPr>
        <w:t xml:space="preserve"> </w:t>
      </w:r>
      <w:r w:rsidR="005A4D94" w:rsidRPr="005A4D94">
        <w:rPr>
          <w:sz w:val="24"/>
          <w:shd w:val="clear" w:color="auto" w:fill="FFFFFF"/>
          <w:lang w:val="sv-SE"/>
        </w:rPr>
        <w:tab/>
      </w:r>
      <w:r w:rsidRPr="005A4D94">
        <w:rPr>
          <w:sz w:val="24"/>
          <w:shd w:val="clear" w:color="auto" w:fill="FFFFFF"/>
          <w:lang w:val="sv-SE"/>
        </w:rPr>
        <w:t xml:space="preserve">Se </w:t>
      </w:r>
      <w:proofErr w:type="gramStart"/>
      <w:r w:rsidRPr="005A4D94">
        <w:rPr>
          <w:sz w:val="24"/>
          <w:shd w:val="clear" w:color="auto" w:fill="FFFFFF"/>
          <w:lang w:val="sv-SE"/>
        </w:rPr>
        <w:t>t.ex.</w:t>
      </w:r>
      <w:proofErr w:type="gramEnd"/>
      <w:r w:rsidRPr="005A4D94">
        <w:rPr>
          <w:sz w:val="24"/>
          <w:shd w:val="clear" w:color="auto" w:fill="FFFFFF"/>
          <w:lang w:val="sv-SE"/>
        </w:rPr>
        <w:t xml:space="preserve"> Bonny, S., ”</w:t>
      </w:r>
      <w:proofErr w:type="spellStart"/>
      <w:r w:rsidRPr="005A4D94">
        <w:rPr>
          <w:sz w:val="24"/>
          <w:shd w:val="clear" w:color="auto" w:fill="FFFFFF"/>
          <w:lang w:val="sv-SE"/>
        </w:rPr>
        <w:t>Genetically</w:t>
      </w:r>
      <w:proofErr w:type="spellEnd"/>
      <w:r w:rsidRPr="005A4D94">
        <w:rPr>
          <w:sz w:val="24"/>
          <w:shd w:val="clear" w:color="auto" w:fill="FFFFFF"/>
          <w:lang w:val="sv-SE"/>
        </w:rPr>
        <w:t xml:space="preserve"> </w:t>
      </w:r>
      <w:proofErr w:type="spellStart"/>
      <w:r w:rsidRPr="005A4D94">
        <w:rPr>
          <w:sz w:val="24"/>
          <w:shd w:val="clear" w:color="auto" w:fill="FFFFFF"/>
          <w:lang w:val="sv-SE"/>
        </w:rPr>
        <w:t>Modified</w:t>
      </w:r>
      <w:proofErr w:type="spellEnd"/>
      <w:r w:rsidRPr="005A4D94">
        <w:rPr>
          <w:sz w:val="24"/>
          <w:shd w:val="clear" w:color="auto" w:fill="FFFFFF"/>
          <w:lang w:val="sv-SE"/>
        </w:rPr>
        <w:t xml:space="preserve"> </w:t>
      </w:r>
      <w:proofErr w:type="spellStart"/>
      <w:r w:rsidRPr="005A4D94">
        <w:rPr>
          <w:sz w:val="24"/>
          <w:shd w:val="clear" w:color="auto" w:fill="FFFFFF"/>
          <w:lang w:val="sv-SE"/>
        </w:rPr>
        <w:t>Herbicide</w:t>
      </w:r>
      <w:proofErr w:type="spellEnd"/>
      <w:r w:rsidRPr="005A4D94">
        <w:rPr>
          <w:sz w:val="24"/>
          <w:shd w:val="clear" w:color="auto" w:fill="FFFFFF"/>
          <w:lang w:val="sv-SE"/>
        </w:rPr>
        <w:t xml:space="preserve">-Tolerant </w:t>
      </w:r>
      <w:proofErr w:type="spellStart"/>
      <w:r w:rsidRPr="005A4D94">
        <w:rPr>
          <w:sz w:val="24"/>
          <w:shd w:val="clear" w:color="auto" w:fill="FFFFFF"/>
          <w:lang w:val="sv-SE"/>
        </w:rPr>
        <w:t>Crops</w:t>
      </w:r>
      <w:proofErr w:type="spellEnd"/>
      <w:r w:rsidRPr="005A4D94">
        <w:rPr>
          <w:sz w:val="24"/>
          <w:shd w:val="clear" w:color="auto" w:fill="FFFFFF"/>
          <w:lang w:val="sv-SE"/>
        </w:rPr>
        <w:t xml:space="preserve">, </w:t>
      </w:r>
      <w:proofErr w:type="spellStart"/>
      <w:r w:rsidRPr="005A4D94">
        <w:rPr>
          <w:sz w:val="24"/>
          <w:shd w:val="clear" w:color="auto" w:fill="FFFFFF"/>
          <w:lang w:val="sv-SE"/>
        </w:rPr>
        <w:t>Weeds</w:t>
      </w:r>
      <w:proofErr w:type="spellEnd"/>
      <w:r w:rsidRPr="005A4D94">
        <w:rPr>
          <w:sz w:val="24"/>
          <w:shd w:val="clear" w:color="auto" w:fill="FFFFFF"/>
          <w:lang w:val="sv-SE"/>
        </w:rPr>
        <w:t xml:space="preserve">, and </w:t>
      </w:r>
      <w:proofErr w:type="spellStart"/>
      <w:r w:rsidRPr="005A4D94">
        <w:rPr>
          <w:sz w:val="24"/>
          <w:shd w:val="clear" w:color="auto" w:fill="FFFFFF"/>
          <w:lang w:val="sv-SE"/>
        </w:rPr>
        <w:t>Herbicides</w:t>
      </w:r>
      <w:proofErr w:type="spellEnd"/>
      <w:r w:rsidRPr="005A4D94">
        <w:rPr>
          <w:sz w:val="24"/>
          <w:shd w:val="clear" w:color="auto" w:fill="FFFFFF"/>
          <w:lang w:val="sv-SE"/>
        </w:rPr>
        <w:t xml:space="preserve">: </w:t>
      </w:r>
      <w:proofErr w:type="spellStart"/>
      <w:r w:rsidRPr="005A4D94">
        <w:rPr>
          <w:sz w:val="24"/>
          <w:lang w:val="sv-SE"/>
        </w:rPr>
        <w:t>Overview</w:t>
      </w:r>
      <w:proofErr w:type="spellEnd"/>
      <w:r w:rsidRPr="005A4D94">
        <w:rPr>
          <w:sz w:val="24"/>
          <w:lang w:val="sv-SE"/>
        </w:rPr>
        <w:t xml:space="preserve"> and </w:t>
      </w:r>
      <w:proofErr w:type="spellStart"/>
      <w:r w:rsidRPr="005A4D94">
        <w:rPr>
          <w:sz w:val="24"/>
          <w:lang w:val="sv-SE"/>
        </w:rPr>
        <w:t>Impact</w:t>
      </w:r>
      <w:proofErr w:type="spellEnd"/>
      <w:r w:rsidRPr="005A4D94">
        <w:rPr>
          <w:sz w:val="24"/>
          <w:lang w:val="sv-SE"/>
        </w:rPr>
        <w:t xml:space="preserve">”, </w:t>
      </w:r>
      <w:proofErr w:type="spellStart"/>
      <w:r w:rsidRPr="005A4D94">
        <w:rPr>
          <w:i/>
          <w:iCs/>
          <w:sz w:val="24"/>
          <w:lang w:val="sv-SE"/>
        </w:rPr>
        <w:t>Environmental</w:t>
      </w:r>
      <w:proofErr w:type="spellEnd"/>
      <w:r w:rsidRPr="005A4D94">
        <w:rPr>
          <w:i/>
          <w:iCs/>
          <w:sz w:val="24"/>
          <w:lang w:val="sv-SE"/>
        </w:rPr>
        <w:t xml:space="preserve"> Management</w:t>
      </w:r>
      <w:r w:rsidRPr="005A4D94">
        <w:rPr>
          <w:sz w:val="24"/>
          <w:lang w:val="sv-SE"/>
        </w:rPr>
        <w:t xml:space="preserve">, januari 2016, 57(1), s. 31–48, </w:t>
      </w:r>
      <w:bookmarkStart w:id="14" w:name="_Hlk219208464"/>
      <w:r w:rsidRPr="005A4D94">
        <w:rPr>
          <w:sz w:val="24"/>
          <w:shd w:val="clear" w:color="auto" w:fill="FFFFFF"/>
          <w:lang w:val="sv-SE"/>
        </w:rPr>
        <w:t>https://doi.org/10.1007/s00267-015-0589-7</w:t>
      </w:r>
      <w:bookmarkEnd w:id="14"/>
      <w:r w:rsidRPr="005A4D94">
        <w:rPr>
          <w:sz w:val="24"/>
          <w:lang w:val="sv-SE"/>
        </w:rPr>
        <w:t xml:space="preserve"> och </w:t>
      </w:r>
      <w:proofErr w:type="spellStart"/>
      <w:r w:rsidRPr="005A4D94">
        <w:rPr>
          <w:sz w:val="24"/>
          <w:lang w:val="sv-SE"/>
        </w:rPr>
        <w:t>Benbrook</w:t>
      </w:r>
      <w:proofErr w:type="spellEnd"/>
      <w:r w:rsidRPr="005A4D94">
        <w:rPr>
          <w:sz w:val="24"/>
          <w:lang w:val="sv-SE"/>
        </w:rPr>
        <w:t>, C.M., ”</w:t>
      </w:r>
      <w:proofErr w:type="spellStart"/>
      <w:r w:rsidRPr="005A4D94">
        <w:rPr>
          <w:sz w:val="24"/>
          <w:lang w:val="sv-SE"/>
        </w:rPr>
        <w:t>Impacts</w:t>
      </w:r>
      <w:proofErr w:type="spellEnd"/>
      <w:r w:rsidRPr="005A4D94">
        <w:rPr>
          <w:sz w:val="24"/>
          <w:lang w:val="sv-SE"/>
        </w:rPr>
        <w:t xml:space="preserve"> </w:t>
      </w:r>
      <w:proofErr w:type="spellStart"/>
      <w:r w:rsidRPr="005A4D94">
        <w:rPr>
          <w:sz w:val="24"/>
          <w:lang w:val="sv-SE"/>
        </w:rPr>
        <w:t>of</w:t>
      </w:r>
      <w:proofErr w:type="spellEnd"/>
      <w:r w:rsidRPr="005A4D94">
        <w:rPr>
          <w:sz w:val="24"/>
          <w:lang w:val="sv-SE"/>
        </w:rPr>
        <w:t xml:space="preserve"> </w:t>
      </w:r>
      <w:proofErr w:type="spellStart"/>
      <w:r w:rsidRPr="005A4D94">
        <w:rPr>
          <w:sz w:val="24"/>
          <w:lang w:val="sv-SE"/>
        </w:rPr>
        <w:t>genetically</w:t>
      </w:r>
      <w:proofErr w:type="spellEnd"/>
      <w:r w:rsidRPr="005A4D94">
        <w:rPr>
          <w:sz w:val="24"/>
          <w:lang w:val="sv-SE"/>
        </w:rPr>
        <w:t xml:space="preserve"> </w:t>
      </w:r>
      <w:proofErr w:type="spellStart"/>
      <w:r w:rsidRPr="005A4D94">
        <w:rPr>
          <w:sz w:val="24"/>
          <w:lang w:val="sv-SE"/>
        </w:rPr>
        <w:t>engineered</w:t>
      </w:r>
      <w:proofErr w:type="spellEnd"/>
      <w:r w:rsidRPr="005A4D94">
        <w:rPr>
          <w:sz w:val="24"/>
          <w:lang w:val="sv-SE"/>
        </w:rPr>
        <w:t xml:space="preserve"> </w:t>
      </w:r>
      <w:proofErr w:type="spellStart"/>
      <w:r w:rsidRPr="005A4D94">
        <w:rPr>
          <w:sz w:val="24"/>
          <w:lang w:val="sv-SE"/>
        </w:rPr>
        <w:t>crops</w:t>
      </w:r>
      <w:proofErr w:type="spellEnd"/>
      <w:r w:rsidRPr="005A4D94">
        <w:rPr>
          <w:sz w:val="24"/>
          <w:lang w:val="sv-SE"/>
        </w:rPr>
        <w:t xml:space="preserve"> on </w:t>
      </w:r>
      <w:proofErr w:type="spellStart"/>
      <w:r w:rsidRPr="005A4D94">
        <w:rPr>
          <w:sz w:val="24"/>
          <w:lang w:val="sv-SE"/>
        </w:rPr>
        <w:t>pesticide</w:t>
      </w:r>
      <w:proofErr w:type="spellEnd"/>
      <w:r w:rsidRPr="005A4D94">
        <w:rPr>
          <w:sz w:val="24"/>
          <w:lang w:val="sv-SE"/>
        </w:rPr>
        <w:t xml:space="preserve"> </w:t>
      </w:r>
      <w:proofErr w:type="spellStart"/>
      <w:r w:rsidRPr="005A4D94">
        <w:rPr>
          <w:sz w:val="24"/>
          <w:lang w:val="sv-SE"/>
        </w:rPr>
        <w:t>use</w:t>
      </w:r>
      <w:proofErr w:type="spellEnd"/>
      <w:r w:rsidRPr="005A4D94">
        <w:rPr>
          <w:sz w:val="24"/>
          <w:lang w:val="sv-SE"/>
        </w:rPr>
        <w:t xml:space="preserve"> in the U.S. – the </w:t>
      </w:r>
      <w:proofErr w:type="spellStart"/>
      <w:r w:rsidRPr="005A4D94">
        <w:rPr>
          <w:sz w:val="24"/>
          <w:lang w:val="sv-SE"/>
        </w:rPr>
        <w:t>first</w:t>
      </w:r>
      <w:proofErr w:type="spellEnd"/>
      <w:r w:rsidRPr="005A4D94">
        <w:rPr>
          <w:sz w:val="24"/>
          <w:lang w:val="sv-SE"/>
        </w:rPr>
        <w:t xml:space="preserve"> </w:t>
      </w:r>
      <w:proofErr w:type="spellStart"/>
      <w:r w:rsidRPr="005A4D94">
        <w:rPr>
          <w:sz w:val="24"/>
          <w:lang w:val="sv-SE"/>
        </w:rPr>
        <w:t>sixteen</w:t>
      </w:r>
      <w:proofErr w:type="spellEnd"/>
      <w:r w:rsidRPr="005A4D94">
        <w:rPr>
          <w:sz w:val="24"/>
          <w:lang w:val="sv-SE"/>
        </w:rPr>
        <w:t xml:space="preserve"> </w:t>
      </w:r>
      <w:proofErr w:type="spellStart"/>
      <w:r w:rsidRPr="005A4D94">
        <w:rPr>
          <w:sz w:val="24"/>
          <w:lang w:val="sv-SE"/>
        </w:rPr>
        <w:t>years</w:t>
      </w:r>
      <w:proofErr w:type="spellEnd"/>
      <w:r w:rsidRPr="005A4D94">
        <w:rPr>
          <w:sz w:val="24"/>
          <w:lang w:val="sv-SE"/>
        </w:rPr>
        <w:t xml:space="preserve">”, </w:t>
      </w:r>
      <w:proofErr w:type="spellStart"/>
      <w:r w:rsidRPr="005A4D94">
        <w:rPr>
          <w:i/>
          <w:iCs/>
          <w:sz w:val="24"/>
          <w:lang w:val="sv-SE"/>
        </w:rPr>
        <w:t>Environmental</w:t>
      </w:r>
      <w:proofErr w:type="spellEnd"/>
      <w:r w:rsidRPr="005A4D94">
        <w:rPr>
          <w:i/>
          <w:iCs/>
          <w:sz w:val="24"/>
          <w:lang w:val="sv-SE"/>
        </w:rPr>
        <w:t xml:space="preserve"> Sciences </w:t>
      </w:r>
      <w:proofErr w:type="spellStart"/>
      <w:r w:rsidRPr="005A4D94">
        <w:rPr>
          <w:i/>
          <w:iCs/>
          <w:sz w:val="24"/>
          <w:lang w:val="sv-SE"/>
        </w:rPr>
        <w:t>Europe</w:t>
      </w:r>
      <w:proofErr w:type="spellEnd"/>
      <w:r w:rsidRPr="005A4D94">
        <w:rPr>
          <w:sz w:val="24"/>
          <w:lang w:val="sv-SE"/>
        </w:rPr>
        <w:t>, 28 september 2012, volym 24(1)</w:t>
      </w:r>
      <w:bookmarkStart w:id="15" w:name="_Hlk219208485"/>
      <w:r w:rsidR="00904D1C">
        <w:rPr>
          <w:sz w:val="24"/>
          <w:lang w:val="sv-SE"/>
        </w:rPr>
        <w:t xml:space="preserve">, </w:t>
      </w:r>
      <w:hyperlink r:id="rId16" w:history="1">
        <w:r w:rsidRPr="005A4D94">
          <w:rPr>
            <w:rStyle w:val="Hyperlink"/>
            <w:sz w:val="24"/>
            <w:lang w:val="sv-SE"/>
          </w:rPr>
          <w:t>https://doi.org/10.1186/2190-4715-24-24</w:t>
        </w:r>
      </w:hyperlink>
      <w:r w:rsidRPr="005A4D94">
        <w:rPr>
          <w:sz w:val="24"/>
          <w:lang w:val="sv-SE"/>
        </w:rPr>
        <w:t>.</w:t>
      </w:r>
      <w:bookmarkEnd w:id="15"/>
    </w:p>
  </w:footnote>
  <w:footnote w:id="8">
    <w:p w14:paraId="2E18DFB7" w14:textId="7CC43E30" w:rsidR="007C3901" w:rsidRPr="005A4D94" w:rsidRDefault="007C3901" w:rsidP="005A4D94">
      <w:pPr>
        <w:pStyle w:val="FootnoteText"/>
        <w:ind w:left="567" w:hanging="567"/>
        <w:rPr>
          <w:sz w:val="24"/>
          <w:lang w:val="sv-SE"/>
        </w:rPr>
      </w:pPr>
      <w:r w:rsidRPr="005A4D94">
        <w:rPr>
          <w:rStyle w:val="FootnoteReference"/>
          <w:sz w:val="24"/>
          <w:lang w:val="sv-SE"/>
        </w:rPr>
        <w:footnoteRef/>
      </w:r>
      <w:r w:rsidR="005A4D94" w:rsidRPr="005A4D94">
        <w:rPr>
          <w:sz w:val="24"/>
          <w:lang w:val="sv-SE"/>
        </w:rPr>
        <w:t xml:space="preserve"> </w:t>
      </w:r>
      <w:r w:rsidR="005A4D94" w:rsidRPr="005A4D94">
        <w:rPr>
          <w:sz w:val="24"/>
          <w:lang w:val="sv-SE"/>
        </w:rPr>
        <w:tab/>
      </w:r>
      <w:r w:rsidRPr="005A4D94">
        <w:rPr>
          <w:sz w:val="24"/>
          <w:lang w:val="sv-SE"/>
        </w:rPr>
        <w:t>Se exempelvis</w:t>
      </w:r>
      <w:bookmarkStart w:id="16" w:name="_Hlk219286352"/>
      <w:bookmarkStart w:id="17" w:name="_Hlk219208511"/>
      <w:r w:rsidRPr="005A4D94">
        <w:rPr>
          <w:rStyle w:val="Hyperlink"/>
          <w:sz w:val="24"/>
          <w:lang w:val="sv-SE"/>
        </w:rPr>
        <w:t xml:space="preserve"> </w:t>
      </w:r>
      <w:hyperlink r:id="rId17" w:history="1">
        <w:r w:rsidRPr="005A4D94">
          <w:rPr>
            <w:rStyle w:val="Hyperlink"/>
            <w:sz w:val="24"/>
            <w:lang w:val="sv-SE"/>
          </w:rPr>
          <w:t>https://doi.org/10.1002/ps.8105</w:t>
        </w:r>
      </w:hyperlink>
      <w:r w:rsidRPr="005A4D94">
        <w:rPr>
          <w:sz w:val="24"/>
          <w:shd w:val="clear" w:color="auto" w:fill="FFFFFF"/>
          <w:lang w:val="sv-SE"/>
        </w:rPr>
        <w:t xml:space="preserve"> och</w:t>
      </w:r>
      <w:bookmarkEnd w:id="16"/>
      <w:r w:rsidRPr="005A4D94">
        <w:rPr>
          <w:sz w:val="24"/>
          <w:shd w:val="clear" w:color="auto" w:fill="FFFFFF"/>
          <w:lang w:val="sv-SE"/>
        </w:rPr>
        <w:t xml:space="preserve"> </w:t>
      </w:r>
      <w:hyperlink r:id="rId18" w:history="1">
        <w:r w:rsidRPr="005A4D94">
          <w:rPr>
            <w:rStyle w:val="Hyperlink"/>
            <w:sz w:val="24"/>
            <w:lang w:val="sv-SE"/>
          </w:rPr>
          <w:t>https://doi.org/10.1016/j.geoforum.2009.03.009</w:t>
        </w:r>
      </w:hyperlink>
      <w:r w:rsidRPr="005A4D94">
        <w:rPr>
          <w:sz w:val="24"/>
          <w:lang w:val="sv-SE"/>
        </w:rPr>
        <w:t>.</w:t>
      </w:r>
      <w:bookmarkEnd w:id="17"/>
    </w:p>
  </w:footnote>
  <w:footnote w:id="9">
    <w:p w14:paraId="0B4B3B89" w14:textId="5DBAEAAB" w:rsidR="007C3901" w:rsidRPr="005A4D94" w:rsidRDefault="007C3901" w:rsidP="005A4D94">
      <w:pPr>
        <w:pStyle w:val="FootnoteText"/>
        <w:ind w:left="567" w:hanging="567"/>
        <w:rPr>
          <w:sz w:val="24"/>
          <w:lang w:val="sv-SE"/>
        </w:rPr>
      </w:pPr>
      <w:r w:rsidRPr="005A4D94">
        <w:rPr>
          <w:rStyle w:val="FootnoteReference"/>
          <w:sz w:val="24"/>
          <w:lang w:val="sv-SE"/>
        </w:rPr>
        <w:footnoteRef/>
      </w:r>
      <w:r w:rsidR="005A4D94" w:rsidRPr="005A4D94">
        <w:rPr>
          <w:sz w:val="24"/>
          <w:lang w:val="sv-SE"/>
        </w:rPr>
        <w:t xml:space="preserve"> </w:t>
      </w:r>
      <w:r w:rsidR="005A4D94" w:rsidRPr="005A4D94">
        <w:rPr>
          <w:sz w:val="24"/>
          <w:lang w:val="sv-SE"/>
        </w:rPr>
        <w:tab/>
      </w:r>
      <w:r w:rsidRPr="005A4D94">
        <w:rPr>
          <w:sz w:val="24"/>
          <w:lang w:val="sv-SE"/>
        </w:rPr>
        <w:t>Europaparlamentets och rådets förordning (EG) nr 1107/2009 av den 21 oktober 2009 om utsläppande av växtskyddsmedel på marknaden och om upphävande av rådets direktiv 79/117/EEG och 91/414/EEG (EUT L 309, 24.11.2009, s. 1, ELI: </w:t>
      </w:r>
      <w:hyperlink r:id="rId19" w:tooltip="Ger tillgång till detta dokument via dess ELI-URI-adress." w:history="1">
        <w:r w:rsidRPr="005A4D94">
          <w:rPr>
            <w:rStyle w:val="Hyperlink"/>
            <w:sz w:val="24"/>
            <w:lang w:val="sv-SE"/>
          </w:rPr>
          <w:t>http://data.europa.eu/</w:t>
        </w:r>
        <w:proofErr w:type="spellStart"/>
        <w:r w:rsidRPr="005A4D94">
          <w:rPr>
            <w:rStyle w:val="Hyperlink"/>
            <w:sz w:val="24"/>
            <w:lang w:val="sv-SE"/>
          </w:rPr>
          <w:t>eli</w:t>
        </w:r>
        <w:proofErr w:type="spellEnd"/>
        <w:r w:rsidRPr="005A4D94">
          <w:rPr>
            <w:rStyle w:val="Hyperlink"/>
            <w:sz w:val="24"/>
            <w:lang w:val="sv-SE"/>
          </w:rPr>
          <w:t>/</w:t>
        </w:r>
        <w:proofErr w:type="spellStart"/>
        <w:r w:rsidRPr="005A4D94">
          <w:rPr>
            <w:rStyle w:val="Hyperlink"/>
            <w:sz w:val="24"/>
            <w:lang w:val="sv-SE"/>
          </w:rPr>
          <w:t>reg</w:t>
        </w:r>
        <w:proofErr w:type="spellEnd"/>
        <w:r w:rsidRPr="005A4D94">
          <w:rPr>
            <w:rStyle w:val="Hyperlink"/>
            <w:sz w:val="24"/>
            <w:lang w:val="sv-SE"/>
          </w:rPr>
          <w:t>/2009/1107/oj</w:t>
        </w:r>
      </w:hyperlink>
      <w:r w:rsidRPr="005A4D94">
        <w:rPr>
          <w:sz w:val="24"/>
          <w:lang w:val="sv-SE"/>
        </w:rPr>
        <w:t>).</w:t>
      </w:r>
    </w:p>
  </w:footnote>
  <w:footnote w:id="10">
    <w:p w14:paraId="6037B841" w14:textId="7718C4C7" w:rsidR="007C3901" w:rsidRPr="005A4D94" w:rsidRDefault="007C3901" w:rsidP="005A4D94">
      <w:pPr>
        <w:pStyle w:val="FootnoteText"/>
        <w:ind w:left="567" w:hanging="567"/>
        <w:rPr>
          <w:sz w:val="24"/>
          <w:lang w:val="sv-SE"/>
        </w:rPr>
      </w:pPr>
      <w:r w:rsidRPr="005A4D94">
        <w:rPr>
          <w:rStyle w:val="FootnoteReference"/>
          <w:sz w:val="24"/>
          <w:lang w:val="sv-SE"/>
        </w:rPr>
        <w:footnoteRef/>
      </w:r>
      <w:r w:rsidR="005A4D94" w:rsidRPr="005A4D94">
        <w:rPr>
          <w:sz w:val="24"/>
          <w:lang w:val="sv-SE"/>
        </w:rPr>
        <w:t xml:space="preserve"> </w:t>
      </w:r>
      <w:r w:rsidR="005A4D94" w:rsidRPr="005A4D94">
        <w:rPr>
          <w:sz w:val="24"/>
          <w:lang w:val="sv-SE"/>
        </w:rPr>
        <w:tab/>
      </w:r>
      <w:r w:rsidRPr="005A4D94">
        <w:rPr>
          <w:sz w:val="24"/>
          <w:lang w:val="sv-SE"/>
        </w:rPr>
        <w:t>Vid COP15 i december 2022 enades man om en global ram för biologisk mångfald inom ramen för FN:s konvention om biologisk mångfald, som innehåller ett globalt mål om att minska riskerna med bekämpningsmedel med minst 50 % fram till 2030 (se</w:t>
      </w:r>
      <w:r w:rsidRPr="005A4D94">
        <w:rPr>
          <w:color w:val="000000" w:themeColor="text1"/>
          <w:sz w:val="24"/>
          <w:lang w:val="sv-SE"/>
        </w:rPr>
        <w:t xml:space="preserve"> </w:t>
      </w:r>
      <w:hyperlink r:id="rId20" w:history="1">
        <w:r w:rsidRPr="005A4D94">
          <w:rPr>
            <w:rStyle w:val="Hyperlink"/>
            <w:sz w:val="24"/>
            <w:lang w:val="sv-SE"/>
          </w:rPr>
          <w:t>https://ec.europa.eu/commission/presscorner/detail/sv/ip_22_7834</w:t>
        </w:r>
      </w:hyperlink>
      <w:r w:rsidRPr="005A4D94">
        <w:rPr>
          <w:sz w:val="24"/>
          <w:lang w:val="sv-SE"/>
        </w:rPr>
        <w:t xml:space="preserve">). </w:t>
      </w:r>
    </w:p>
  </w:footnote>
  <w:footnote w:id="11">
    <w:p w14:paraId="54A48C60" w14:textId="13FF194C" w:rsidR="007C3901" w:rsidRPr="005A4D94" w:rsidRDefault="007C3901" w:rsidP="005A4D94">
      <w:pPr>
        <w:pStyle w:val="FootnoteText"/>
        <w:ind w:left="567" w:hanging="567"/>
        <w:rPr>
          <w:sz w:val="24"/>
          <w:lang w:val="sv-SE"/>
        </w:rPr>
      </w:pPr>
      <w:r w:rsidRPr="005A4D94">
        <w:rPr>
          <w:rStyle w:val="FootnoteReference"/>
          <w:sz w:val="24"/>
          <w:lang w:val="sv-SE"/>
        </w:rPr>
        <w:footnoteRef/>
      </w:r>
      <w:r w:rsidR="005A4D94" w:rsidRPr="005A4D94">
        <w:rPr>
          <w:sz w:val="24"/>
          <w:lang w:val="sv-SE"/>
        </w:rPr>
        <w:t xml:space="preserve"> </w:t>
      </w:r>
      <w:r w:rsidR="005A4D94" w:rsidRPr="005A4D94">
        <w:rPr>
          <w:sz w:val="24"/>
          <w:lang w:val="sv-SE"/>
        </w:rPr>
        <w:tab/>
      </w:r>
      <w:hyperlink r:id="rId21" w:history="1">
        <w:r w:rsidRPr="005A4D94">
          <w:rPr>
            <w:rStyle w:val="Hyperlink"/>
            <w:sz w:val="24"/>
            <w:lang w:val="sv-SE"/>
          </w:rPr>
          <w:t>https://commission.europa.eu/strategy-and-policy/priorities-2019-2024/european-green-deal/agriculture-and-green-deal/strategic-dialogue-future-eu-agriculture_sv</w:t>
        </w:r>
      </w:hyperlink>
      <w:r w:rsidRPr="005A4D94">
        <w:rPr>
          <w:sz w:val="24"/>
          <w:lang w:val="sv-SE"/>
        </w:rPr>
        <w:t xml:space="preserve">. </w:t>
      </w:r>
    </w:p>
  </w:footnote>
  <w:footnote w:id="12">
    <w:p w14:paraId="47AA14E4" w14:textId="4CF6B99D" w:rsidR="007C3901" w:rsidRPr="005A4D94" w:rsidRDefault="007C3901" w:rsidP="005A4D94">
      <w:pPr>
        <w:pStyle w:val="FootnoteText"/>
        <w:ind w:left="567" w:hanging="567"/>
        <w:rPr>
          <w:sz w:val="24"/>
          <w:lang w:val="sv-SE"/>
        </w:rPr>
      </w:pPr>
      <w:r w:rsidRPr="005A4D94">
        <w:rPr>
          <w:rStyle w:val="FootnoteReference"/>
          <w:sz w:val="24"/>
          <w:lang w:val="sv-SE"/>
        </w:rPr>
        <w:footnoteRef/>
      </w:r>
      <w:r w:rsidR="005A4D94" w:rsidRPr="005A4D94">
        <w:rPr>
          <w:sz w:val="24"/>
          <w:lang w:val="sv-SE"/>
        </w:rPr>
        <w:t xml:space="preserve"> </w:t>
      </w:r>
      <w:r w:rsidR="005A4D94" w:rsidRPr="005A4D94">
        <w:rPr>
          <w:sz w:val="24"/>
          <w:lang w:val="sv-SE"/>
        </w:rPr>
        <w:tab/>
      </w:r>
      <w:r w:rsidRPr="005A4D94">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w:t>
      </w:r>
      <w:r w:rsidRPr="005A4D94">
        <w:rPr>
          <w:color w:val="000000" w:themeColor="text1"/>
          <w:sz w:val="24"/>
          <w:lang w:val="sv-SE"/>
        </w:rPr>
        <w:t> </w:t>
      </w:r>
      <w:hyperlink r:id="rId22" w:tgtFrame="Gives access to this document through its ELI URI." w:history="1">
        <w:r w:rsidRPr="005A4D94">
          <w:rPr>
            <w:rStyle w:val="Hyperlink"/>
            <w:color w:val="0070C0"/>
            <w:sz w:val="24"/>
            <w:lang w:val="sv-SE"/>
          </w:rPr>
          <w:t>http://data.europa.eu/</w:t>
        </w:r>
        <w:proofErr w:type="spellStart"/>
        <w:r w:rsidRPr="005A4D94">
          <w:rPr>
            <w:rStyle w:val="Hyperlink"/>
            <w:color w:val="0070C0"/>
            <w:sz w:val="24"/>
            <w:lang w:val="sv-SE"/>
          </w:rPr>
          <w:t>eli</w:t>
        </w:r>
        <w:proofErr w:type="spellEnd"/>
        <w:r w:rsidRPr="005A4D94">
          <w:rPr>
            <w:rStyle w:val="Hyperlink"/>
            <w:color w:val="0070C0"/>
            <w:sz w:val="24"/>
            <w:lang w:val="sv-SE"/>
          </w:rPr>
          <w:t>/</w:t>
        </w:r>
        <w:proofErr w:type="spellStart"/>
        <w:r w:rsidRPr="005A4D94">
          <w:rPr>
            <w:rStyle w:val="Hyperlink"/>
            <w:color w:val="0070C0"/>
            <w:sz w:val="24"/>
            <w:lang w:val="sv-SE"/>
          </w:rPr>
          <w:t>reg</w:t>
        </w:r>
        <w:proofErr w:type="spellEnd"/>
        <w:r w:rsidRPr="005A4D94">
          <w:rPr>
            <w:rStyle w:val="Hyperlink"/>
            <w:color w:val="0070C0"/>
            <w:sz w:val="24"/>
            <w:lang w:val="sv-SE"/>
          </w:rPr>
          <w:t>/2002/178/oj</w:t>
        </w:r>
      </w:hyperlink>
      <w:r w:rsidRPr="005A4D94">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BA76" w14:textId="77777777" w:rsidR="00064002" w:rsidRPr="005A4D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D5A5" w14:textId="77777777" w:rsidR="00064002" w:rsidRPr="005A4D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6968" w14:textId="77777777" w:rsidR="00064002" w:rsidRPr="005A4D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6557706">
    <w:abstractNumId w:val="9"/>
  </w:num>
  <w:num w:numId="2" w16cid:durableId="1277903329">
    <w:abstractNumId w:val="9"/>
  </w:num>
  <w:num w:numId="3" w16cid:durableId="795678588">
    <w:abstractNumId w:val="7"/>
  </w:num>
  <w:num w:numId="4" w16cid:durableId="1578705366">
    <w:abstractNumId w:val="7"/>
  </w:num>
  <w:num w:numId="5" w16cid:durableId="98716816">
    <w:abstractNumId w:val="6"/>
  </w:num>
  <w:num w:numId="6" w16cid:durableId="1584952818">
    <w:abstractNumId w:val="6"/>
  </w:num>
  <w:num w:numId="7" w16cid:durableId="1009871323">
    <w:abstractNumId w:val="5"/>
  </w:num>
  <w:num w:numId="8" w16cid:durableId="32535197">
    <w:abstractNumId w:val="5"/>
  </w:num>
  <w:num w:numId="9" w16cid:durableId="1327128809">
    <w:abstractNumId w:val="4"/>
  </w:num>
  <w:num w:numId="10" w16cid:durableId="455488699">
    <w:abstractNumId w:val="4"/>
  </w:num>
  <w:num w:numId="11" w16cid:durableId="174462953">
    <w:abstractNumId w:val="8"/>
  </w:num>
  <w:num w:numId="12" w16cid:durableId="399407987">
    <w:abstractNumId w:val="8"/>
  </w:num>
  <w:num w:numId="13" w16cid:durableId="1338390050">
    <w:abstractNumId w:val="3"/>
  </w:num>
  <w:num w:numId="14" w16cid:durableId="1865942633">
    <w:abstractNumId w:val="3"/>
  </w:num>
  <w:num w:numId="15" w16cid:durableId="1811437103">
    <w:abstractNumId w:val="2"/>
  </w:num>
  <w:num w:numId="16" w16cid:durableId="2080904388">
    <w:abstractNumId w:val="2"/>
  </w:num>
  <w:num w:numId="17" w16cid:durableId="1212885586">
    <w:abstractNumId w:val="1"/>
  </w:num>
  <w:num w:numId="18" w16cid:durableId="1025521273">
    <w:abstractNumId w:val="1"/>
  </w:num>
  <w:num w:numId="19" w16cid:durableId="53243318">
    <w:abstractNumId w:val="0"/>
  </w:num>
  <w:num w:numId="20" w16cid:durableId="1487087949">
    <w:abstractNumId w:val="0"/>
  </w:num>
  <w:num w:numId="21" w16cid:durableId="1870756047">
    <w:abstractNumId w:val="9"/>
  </w:num>
  <w:num w:numId="22" w16cid:durableId="1309437430">
    <w:abstractNumId w:val="7"/>
  </w:num>
  <w:num w:numId="23" w16cid:durableId="1240746347">
    <w:abstractNumId w:val="6"/>
  </w:num>
  <w:num w:numId="24" w16cid:durableId="1052850985">
    <w:abstractNumId w:val="5"/>
  </w:num>
  <w:num w:numId="25" w16cid:durableId="1276212382">
    <w:abstractNumId w:val="4"/>
  </w:num>
  <w:num w:numId="26" w16cid:durableId="243997038">
    <w:abstractNumId w:val="8"/>
  </w:num>
  <w:num w:numId="27" w16cid:durableId="1594587716">
    <w:abstractNumId w:val="3"/>
  </w:num>
  <w:num w:numId="28" w16cid:durableId="1154562211">
    <w:abstractNumId w:val="2"/>
  </w:num>
  <w:num w:numId="29" w16cid:durableId="1690183500">
    <w:abstractNumId w:val="1"/>
  </w:num>
  <w:num w:numId="30" w16cid:durableId="650327577">
    <w:abstractNumId w:val="0"/>
  </w:num>
  <w:num w:numId="31" w16cid:durableId="215288612">
    <w:abstractNumId w:val="9"/>
  </w:num>
  <w:num w:numId="32" w16cid:durableId="661355661">
    <w:abstractNumId w:val="7"/>
  </w:num>
  <w:num w:numId="33" w16cid:durableId="1105688456">
    <w:abstractNumId w:val="6"/>
  </w:num>
  <w:num w:numId="34" w16cid:durableId="10186226">
    <w:abstractNumId w:val="5"/>
  </w:num>
  <w:num w:numId="35" w16cid:durableId="719748817">
    <w:abstractNumId w:val="4"/>
  </w:num>
  <w:num w:numId="36" w16cid:durableId="1888225837">
    <w:abstractNumId w:val="8"/>
  </w:num>
  <w:num w:numId="37" w16cid:durableId="970984325">
    <w:abstractNumId w:val="3"/>
  </w:num>
  <w:num w:numId="38" w16cid:durableId="2135708396">
    <w:abstractNumId w:val="2"/>
  </w:num>
  <w:num w:numId="39" w16cid:durableId="1505242858">
    <w:abstractNumId w:val="1"/>
  </w:num>
  <w:num w:numId="40" w16cid:durableId="1218661792">
    <w:abstractNumId w:val="0"/>
  </w:num>
  <w:num w:numId="41" w16cid:durableId="1935744749">
    <w:abstractNumId w:val="10"/>
  </w:num>
  <w:num w:numId="42" w16cid:durableId="799960575">
    <w:abstractNumId w:val="10"/>
  </w:num>
  <w:num w:numId="43" w16cid:durableId="749155351">
    <w:abstractNumId w:val="10"/>
  </w:num>
  <w:num w:numId="44" w16cid:durableId="13406165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SV"/>
    <w:docVar w:name="dvnumam" w:val="0"/>
    <w:docVar w:name="dvpe" w:val="782.204"/>
    <w:docVar w:name="dvtitre" w:val="Europaparlamentets resolution av den xx xx 2026 om utkastet till kommissionens genomförandebeslut om förlängning av godkännandet av utsläppande på marknaden av produkter som innehåller, består av eller har framställts av den genetiskt modifierade majsen T25 (ACS_x001e_ZMØØ3-2), i enlighet med Europaparlamentets och rådets förordning (EG) nr 1829/2003(D111473/02 – 2026/2535(RSP))"/>
  </w:docVars>
  <w:rsids>
    <w:rsidRoot w:val="0089464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65DB"/>
    <w:rsid w:val="00411CCE"/>
    <w:rsid w:val="0041666E"/>
    <w:rsid w:val="00421060"/>
    <w:rsid w:val="00471C19"/>
    <w:rsid w:val="004867E3"/>
    <w:rsid w:val="00494A28"/>
    <w:rsid w:val="004C0004"/>
    <w:rsid w:val="004C5D52"/>
    <w:rsid w:val="00504B1F"/>
    <w:rsid w:val="0050519A"/>
    <w:rsid w:val="005072A1"/>
    <w:rsid w:val="00514517"/>
    <w:rsid w:val="00545827"/>
    <w:rsid w:val="00560270"/>
    <w:rsid w:val="005A4D94"/>
    <w:rsid w:val="005C2568"/>
    <w:rsid w:val="005F1B17"/>
    <w:rsid w:val="006037C0"/>
    <w:rsid w:val="006631B6"/>
    <w:rsid w:val="00680577"/>
    <w:rsid w:val="006F74FA"/>
    <w:rsid w:val="00731ADD"/>
    <w:rsid w:val="00734777"/>
    <w:rsid w:val="00747932"/>
    <w:rsid w:val="00751A4A"/>
    <w:rsid w:val="00756632"/>
    <w:rsid w:val="00762C74"/>
    <w:rsid w:val="00786EC0"/>
    <w:rsid w:val="007C3901"/>
    <w:rsid w:val="007D1690"/>
    <w:rsid w:val="007E22AD"/>
    <w:rsid w:val="00812CF8"/>
    <w:rsid w:val="00817416"/>
    <w:rsid w:val="00842779"/>
    <w:rsid w:val="00865F67"/>
    <w:rsid w:val="00881A7B"/>
    <w:rsid w:val="008840E5"/>
    <w:rsid w:val="00887B3E"/>
    <w:rsid w:val="00894645"/>
    <w:rsid w:val="008B55F1"/>
    <w:rsid w:val="008C2AC6"/>
    <w:rsid w:val="00904D1C"/>
    <w:rsid w:val="00930C23"/>
    <w:rsid w:val="0093193B"/>
    <w:rsid w:val="009509D8"/>
    <w:rsid w:val="00950B64"/>
    <w:rsid w:val="00981893"/>
    <w:rsid w:val="00A1687D"/>
    <w:rsid w:val="00A43E52"/>
    <w:rsid w:val="00A4678D"/>
    <w:rsid w:val="00A778C7"/>
    <w:rsid w:val="00AB441E"/>
    <w:rsid w:val="00AB6293"/>
    <w:rsid w:val="00AE0928"/>
    <w:rsid w:val="00AF3B82"/>
    <w:rsid w:val="00B04B74"/>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0B0"/>
    <w:rsid w:val="00DA7FCD"/>
    <w:rsid w:val="00E254D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BF2F1"/>
  <w15:chartTrackingRefBased/>
  <w15:docId w15:val="{036155F5-92D8-410A-85B6-DA55961F4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7C3901"/>
    <w:pPr>
      <w:spacing w:before="480" w:after="240"/>
    </w:pPr>
  </w:style>
  <w:style w:type="paragraph" w:customStyle="1" w:styleId="NormalHanging12a">
    <w:name w:val="NormalHanging12a"/>
    <w:basedOn w:val="Normal"/>
    <w:uiPriority w:val="99"/>
    <w:qFormat/>
    <w:rsid w:val="007C3901"/>
    <w:pPr>
      <w:spacing w:after="240"/>
      <w:ind w:left="567" w:hanging="567"/>
    </w:pPr>
  </w:style>
  <w:style w:type="character" w:styleId="Hyperlink">
    <w:name w:val="Hyperlink"/>
    <w:basedOn w:val="DefaultParagraphFont"/>
    <w:uiPriority w:val="99"/>
    <w:rsid w:val="007C3901"/>
    <w:rPr>
      <w:color w:val="0563C1" w:themeColor="hyperlink"/>
      <w:u w:val="single"/>
    </w:rPr>
  </w:style>
  <w:style w:type="paragraph" w:styleId="NormalWeb">
    <w:name w:val="Normal (Web)"/>
    <w:basedOn w:val="Normal"/>
    <w:uiPriority w:val="99"/>
    <w:unhideWhenUsed/>
    <w:rsid w:val="007C3901"/>
    <w:pPr>
      <w:widowControl/>
      <w:spacing w:before="100" w:beforeAutospacing="1" w:after="100" w:afterAutospacing="1"/>
    </w:pPr>
    <w:rPr>
      <w:szCs w:val="24"/>
    </w:rPr>
  </w:style>
  <w:style w:type="paragraph" w:styleId="Revision">
    <w:name w:val="Revision"/>
    <w:hidden/>
    <w:uiPriority w:val="99"/>
    <w:semiHidden/>
    <w:rsid w:val="00DA20B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geoforum.2009.03.009" TargetMode="External"/><Relationship Id="rId3" Type="http://schemas.openxmlformats.org/officeDocument/2006/relationships/hyperlink" Target="https://doi.org/10.2903/j.efsa.2025.9570" TargetMode="External"/><Relationship Id="rId21" Type="http://schemas.openxmlformats.org/officeDocument/2006/relationships/hyperlink" Target="https://commission.europa.eu/strategy-and-policy/priorities-2019-2024/european-green-deal/agriculture-and-green-deal/strategic-dialogue-future-eu-agriculture_sv"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02/ps.8105"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186/2190-4715-24-24" TargetMode="External"/><Relationship Id="rId20" Type="http://schemas.openxmlformats.org/officeDocument/2006/relationships/hyperlink" Target="https://ec.europa.eu/commission/presscorner/detail/sv/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1372</Words>
  <Characters>8894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2026-02-11T11:44:00Z</dcterms:created>
  <dcterms:modified xsi:type="dcterms:W3CDTF">2026-02-11T11:44:00Z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B10-0106/2026</vt:lpwstr>
  </property>
  <property fmtid="{D5CDD505-2E9C-101B-9397-08002B2CF9AE}" pid="4" name="&lt;Type&gt;">
    <vt:lpwstr>RR</vt:lpwstr>
  </property>
</Properties>
</file>