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00D" w14:paraId="49EF1B2B" w14:textId="77777777" w:rsidTr="0010095E">
        <w:trPr>
          <w:trHeight w:hRule="exact" w:val="1418"/>
        </w:trPr>
        <w:tc>
          <w:tcPr>
            <w:tcW w:w="6804" w:type="dxa"/>
            <w:shd w:val="clear" w:color="auto" w:fill="auto"/>
            <w:vAlign w:val="center"/>
          </w:tcPr>
          <w:p w14:paraId="4EE70E00" w14:textId="2ACECF91" w:rsidR="00751A4A" w:rsidRPr="00F7500D" w:rsidRDefault="008E651F" w:rsidP="0010095E">
            <w:pPr>
              <w:pStyle w:val="EPName"/>
            </w:pPr>
            <w:r w:rsidRPr="00F7500D">
              <w:t>Europäisches Parlament</w:t>
            </w:r>
          </w:p>
          <w:p w14:paraId="1110F191" w14:textId="77777777" w:rsidR="00751A4A" w:rsidRPr="00F7500D" w:rsidRDefault="005F1B17" w:rsidP="005F1B17">
            <w:pPr>
              <w:pStyle w:val="EPTerm"/>
              <w:rPr>
                <w:rStyle w:val="HideTWBExt"/>
                <w:noProof w:val="0"/>
                <w:vanish w:val="0"/>
                <w:color w:val="auto"/>
              </w:rPr>
            </w:pPr>
            <w:r w:rsidRPr="00F7500D">
              <w:t>2024</w:t>
            </w:r>
            <w:r w:rsidR="00817416" w:rsidRPr="00F7500D">
              <w:t>-202</w:t>
            </w:r>
            <w:r w:rsidRPr="00F7500D">
              <w:t>9</w:t>
            </w:r>
          </w:p>
        </w:tc>
        <w:tc>
          <w:tcPr>
            <w:tcW w:w="2268" w:type="dxa"/>
            <w:shd w:val="clear" w:color="auto" w:fill="auto"/>
          </w:tcPr>
          <w:p w14:paraId="520FF9CD" w14:textId="77777777" w:rsidR="00751A4A" w:rsidRPr="00F7500D" w:rsidRDefault="00187494" w:rsidP="0010095E">
            <w:pPr>
              <w:pStyle w:val="EPLogo"/>
            </w:pPr>
            <w:r w:rsidRPr="00F7500D">
              <w:rPr>
                <w:noProof/>
                <w:lang w:eastAsia="ja-JP"/>
              </w:rPr>
              <w:drawing>
                <wp:inline distT="0" distB="0" distL="0" distR="0" wp14:anchorId="5AF1DE81" wp14:editId="0BF1E3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F21776" w14:textId="77777777" w:rsidR="00D058B8" w:rsidRPr="00F7500D" w:rsidRDefault="00D058B8" w:rsidP="004C5D52">
      <w:pPr>
        <w:pStyle w:val="LineTop"/>
      </w:pPr>
    </w:p>
    <w:p w14:paraId="067AF7B7" w14:textId="52ED7ADE" w:rsidR="00680577" w:rsidRPr="00F7500D" w:rsidRDefault="008E651F" w:rsidP="00680577">
      <w:pPr>
        <w:pStyle w:val="EPBodyTA1"/>
      </w:pPr>
      <w:r w:rsidRPr="00F7500D">
        <w:t>ANGENOMMENE TEXTE</w:t>
      </w:r>
    </w:p>
    <w:p w14:paraId="367DE60C" w14:textId="77777777" w:rsidR="00D058B8" w:rsidRPr="00F7500D" w:rsidRDefault="00D058B8" w:rsidP="00D058B8">
      <w:pPr>
        <w:pStyle w:val="LineBottom"/>
      </w:pPr>
    </w:p>
    <w:p w14:paraId="09D63281" w14:textId="001B83CE" w:rsidR="008E651F" w:rsidRPr="00F7500D" w:rsidRDefault="008E651F" w:rsidP="008E651F">
      <w:pPr>
        <w:pStyle w:val="ATHeading1"/>
      </w:pPr>
      <w:bookmarkStart w:id="0" w:name="TANumber"/>
      <w:r w:rsidRPr="00F7500D">
        <w:t>P10_</w:t>
      </w:r>
      <w:proofErr w:type="gramStart"/>
      <w:r w:rsidRPr="00F7500D">
        <w:t>TA(</w:t>
      </w:r>
      <w:proofErr w:type="gramEnd"/>
      <w:r w:rsidRPr="00F7500D">
        <w:t>2026)00</w:t>
      </w:r>
      <w:r w:rsidR="00CF053D">
        <w:t>43</w:t>
      </w:r>
      <w:bookmarkEnd w:id="0"/>
    </w:p>
    <w:p w14:paraId="7DE378A2" w14:textId="146A6487" w:rsidR="008E651F" w:rsidRPr="00D078A0" w:rsidRDefault="00D078A0" w:rsidP="008E651F">
      <w:pPr>
        <w:pStyle w:val="ATHeading2"/>
      </w:pPr>
      <w:bookmarkStart w:id="1" w:name="title"/>
      <w:r>
        <w:t>G</w:t>
      </w:r>
      <w:r w:rsidR="008E651F" w:rsidRPr="00D078A0">
        <w:t>enetisch veränderte Baumwolle</w:t>
      </w:r>
      <w:r w:rsidR="00F73A43" w:rsidRPr="00D078A0">
        <w:t xml:space="preserve"> </w:t>
      </w:r>
      <w:r w:rsidR="008E651F" w:rsidRPr="00D078A0">
        <w:t>der Sorte GHB614×LLCotton25</w:t>
      </w:r>
      <w:bookmarkEnd w:id="1"/>
    </w:p>
    <w:p w14:paraId="10A32C04" w14:textId="77777777" w:rsidR="008E651F" w:rsidRPr="00D078A0" w:rsidRDefault="008E651F" w:rsidP="008E651F">
      <w:pPr>
        <w:rPr>
          <w:i/>
          <w:vanish/>
        </w:rPr>
      </w:pPr>
      <w:r w:rsidRPr="00D078A0">
        <w:rPr>
          <w:i/>
        </w:rPr>
        <w:fldChar w:fldCharType="begin"/>
      </w:r>
      <w:r w:rsidRPr="00D078A0">
        <w:rPr>
          <w:i/>
        </w:rPr>
        <w:instrText xml:space="preserve"> TC"(</w:instrText>
      </w:r>
      <w:bookmarkStart w:id="2" w:name="DocNumber"/>
      <w:r w:rsidRPr="00D078A0">
        <w:rPr>
          <w:i/>
        </w:rPr>
        <w:instrText>B10-0109/2026</w:instrText>
      </w:r>
      <w:bookmarkEnd w:id="2"/>
      <w:r w:rsidRPr="00D078A0">
        <w:rPr>
          <w:i/>
        </w:rPr>
        <w:instrText xml:space="preserve">)"\l3 \n&gt; \* MERGEFORMAT </w:instrText>
      </w:r>
      <w:r w:rsidRPr="00D078A0">
        <w:rPr>
          <w:i/>
        </w:rPr>
        <w:fldChar w:fldCharType="end"/>
      </w:r>
    </w:p>
    <w:p w14:paraId="727FF0CD" w14:textId="77777777" w:rsidR="008E651F" w:rsidRPr="00D078A0" w:rsidRDefault="008E651F" w:rsidP="008E651F">
      <w:pPr>
        <w:rPr>
          <w:vanish/>
        </w:rPr>
      </w:pPr>
      <w:bookmarkStart w:id="3" w:name="PE"/>
      <w:r w:rsidRPr="00D078A0">
        <w:rPr>
          <w:vanish/>
        </w:rPr>
        <w:t>PE782.197</w:t>
      </w:r>
      <w:bookmarkEnd w:id="3"/>
    </w:p>
    <w:p w14:paraId="76B24FC3" w14:textId="7CB15C47" w:rsidR="008E651F" w:rsidRPr="00D078A0" w:rsidRDefault="008E651F" w:rsidP="008E651F">
      <w:pPr>
        <w:pStyle w:val="ATHeading3"/>
      </w:pPr>
      <w:bookmarkStart w:id="4" w:name="Sujet"/>
      <w:r w:rsidRPr="00D078A0">
        <w:t xml:space="preserve">Entschließung des Europäischen Parlaments vom </w:t>
      </w:r>
      <w:r w:rsidR="00F73A43" w:rsidRPr="00D078A0">
        <w:t>11</w:t>
      </w:r>
      <w:r w:rsidRPr="00D078A0">
        <w:t xml:space="preserve">. </w:t>
      </w:r>
      <w:r w:rsidR="00F73A43" w:rsidRPr="00D078A0">
        <w:t>Februar</w:t>
      </w:r>
      <w:r w:rsidRPr="00D078A0">
        <w:t xml:space="preserve"> 2026 zu dem Entwurf eines Durchführungsbeschlusses der Kommission zur Erneuerung der Zulassung des Inverkehrbringens von Erzeugnissen, die aus genetisch veränderter Baumwolle der Sorte GHB614 × LLCotton25 bestehen, diese enthalten oder aus dieser gewonnen werden, gemäß der Verordnung (EG) Nr. 1829/2003 des Europäischen Parlaments und des Rates</w:t>
      </w:r>
      <w:bookmarkEnd w:id="4"/>
      <w:r w:rsidRPr="00D078A0">
        <w:t xml:space="preserve"> </w:t>
      </w:r>
      <w:bookmarkStart w:id="5" w:name="References"/>
      <w:r w:rsidRPr="00D078A0">
        <w:t>(D111476/0</w:t>
      </w:r>
      <w:r w:rsidR="00F73A43" w:rsidRPr="00D078A0">
        <w:t>2</w:t>
      </w:r>
      <w:r w:rsidRPr="00D078A0">
        <w:t xml:space="preserve"> - 2026/2519(RSP))</w:t>
      </w:r>
      <w:bookmarkEnd w:id="5"/>
    </w:p>
    <w:p w14:paraId="7C14E888" w14:textId="77777777" w:rsidR="008568F5" w:rsidRPr="00D078A0" w:rsidRDefault="008568F5" w:rsidP="008568F5">
      <w:pPr>
        <w:pStyle w:val="EPComma"/>
      </w:pPr>
      <w:bookmarkStart w:id="6" w:name="TextBodyBegin"/>
      <w:bookmarkEnd w:id="6"/>
      <w:r w:rsidRPr="00D078A0">
        <w:rPr>
          <w:i/>
        </w:rPr>
        <w:t>Das Europäische Parlament</w:t>
      </w:r>
      <w:r w:rsidRPr="00D078A0">
        <w:t>,</w:t>
      </w:r>
    </w:p>
    <w:p w14:paraId="492998AD" w14:textId="61C652BE" w:rsidR="008568F5" w:rsidRPr="00D078A0" w:rsidRDefault="008568F5" w:rsidP="008568F5">
      <w:pPr>
        <w:pStyle w:val="NormalHanging12a"/>
      </w:pPr>
      <w:r w:rsidRPr="00D078A0">
        <w:t>–</w:t>
      </w:r>
      <w:r w:rsidRPr="00D078A0">
        <w:tab/>
        <w:t>unter Hinweis auf den Entwurf eines Durchführungsbeschlusses der Kommission zur Erneuerung der Zulassung des Inverkehrbringens von Erzeugnissen, die aus genetisch veränderter Baumwolle der Sorte GHB614 × LLCotton25 bestehen, diese enthalten oder aus dieser gewonnen werden, gemäß der Verordnung (EG) Nr. 1829/2003 des Europäischen Parlaments und des Rates (D111476/0</w:t>
      </w:r>
      <w:r w:rsidR="00F73A43" w:rsidRPr="00D078A0">
        <w:t>2</w:t>
      </w:r>
      <w:r w:rsidRPr="00D078A0">
        <w:t>),</w:t>
      </w:r>
    </w:p>
    <w:p w14:paraId="5BD2F4A5" w14:textId="77777777" w:rsidR="008568F5" w:rsidRPr="00D078A0" w:rsidRDefault="008568F5" w:rsidP="008568F5">
      <w:pPr>
        <w:pStyle w:val="NormalHanging12a"/>
      </w:pPr>
      <w:r w:rsidRPr="00D078A0">
        <w:t>–</w:t>
      </w:r>
      <w:r w:rsidRPr="00D078A0">
        <w:tab/>
        <w:t>gestützt auf die Verordnung (EG) Nr. 1829/2003 des Europäischen Parlaments und des Rates vom 22. September 2003 über genetisch veränderte Lebensmittel und Futtermittel</w:t>
      </w:r>
      <w:r w:rsidRPr="00D078A0">
        <w:rPr>
          <w:vertAlign w:val="superscript"/>
        </w:rPr>
        <w:footnoteReference w:id="1"/>
      </w:r>
      <w:r w:rsidRPr="00D078A0">
        <w:t>, insbesondere auf Artikel 11 Absatz 3 und Artikel 23 Absatz 3,</w:t>
      </w:r>
    </w:p>
    <w:p w14:paraId="470048F0" w14:textId="7DEE1812" w:rsidR="008568F5" w:rsidRPr="00D078A0" w:rsidRDefault="008568F5" w:rsidP="008568F5">
      <w:pPr>
        <w:pStyle w:val="NormalHanging12a"/>
      </w:pPr>
      <w:r w:rsidRPr="00D078A0">
        <w:t>–</w:t>
      </w:r>
      <w:r w:rsidRPr="00D078A0">
        <w:tab/>
        <w:t xml:space="preserve">unter Hinweis auf die Abstimmung vom 12. Dezember 2025 in dem in Artikel 35 der Verordnung (EG) Nr. 1829/2003 genannten </w:t>
      </w:r>
      <w:bookmarkStart w:id="7" w:name="_Hlk210664905"/>
      <w:r w:rsidRPr="00D078A0">
        <w:t>Ständigen Ausschuss für Pflanzen, Tiere, Lebensmittel und Futtermittel</w:t>
      </w:r>
      <w:bookmarkEnd w:id="7"/>
      <w:r w:rsidRPr="00D078A0">
        <w:t xml:space="preserve">, aus der keine Stellungnahme hervorging, </w:t>
      </w:r>
      <w:r w:rsidR="00F73A43" w:rsidRPr="00D078A0">
        <w:t>und die Abstimmung im Berufungsausschuss vom 27. Januar 2026, aus der ebenfalls keine Stellungnahme hervorging,</w:t>
      </w:r>
    </w:p>
    <w:p w14:paraId="70FB07B6" w14:textId="77777777" w:rsidR="008568F5" w:rsidRPr="00D078A0" w:rsidRDefault="008568F5" w:rsidP="008568F5">
      <w:pPr>
        <w:pStyle w:val="NormalHanging12a"/>
      </w:pPr>
      <w:r w:rsidRPr="00D078A0">
        <w:t>–</w:t>
      </w:r>
      <w:r w:rsidRPr="00D078A0">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D078A0">
        <w:rPr>
          <w:vertAlign w:val="superscript"/>
        </w:rPr>
        <w:footnoteReference w:id="2"/>
      </w:r>
      <w:r w:rsidRPr="00D078A0">
        <w:t>,</w:t>
      </w:r>
    </w:p>
    <w:p w14:paraId="6963B9DD" w14:textId="77777777" w:rsidR="008568F5" w:rsidRPr="00D078A0" w:rsidRDefault="008568F5" w:rsidP="008568F5">
      <w:pPr>
        <w:pStyle w:val="NormalHanging12a"/>
      </w:pPr>
      <w:r w:rsidRPr="00D078A0">
        <w:t>–</w:t>
      </w:r>
      <w:r w:rsidRPr="00D078A0">
        <w:tab/>
        <w:t xml:space="preserve">unter Hinweis auf die am 30. Juni 2025 angenommene und am 7. August 2025 veröffentlichte Stellungnahme der Europäischen Behörde für Lebensmittelsicherheit </w:t>
      </w:r>
      <w:r w:rsidRPr="00D078A0">
        <w:lastRenderedPageBreak/>
        <w:t>(EFSA)</w:t>
      </w:r>
      <w:r w:rsidRPr="00D078A0">
        <w:rPr>
          <w:vertAlign w:val="superscript"/>
        </w:rPr>
        <w:footnoteReference w:id="3"/>
      </w:r>
      <w:r w:rsidRPr="00D078A0">
        <w:t>,</w:t>
      </w:r>
    </w:p>
    <w:p w14:paraId="31DE5117" w14:textId="77777777" w:rsidR="008568F5" w:rsidRPr="00D078A0" w:rsidRDefault="008568F5" w:rsidP="008568F5">
      <w:pPr>
        <w:pStyle w:val="NormalHanging12a"/>
      </w:pPr>
      <w:r w:rsidRPr="00D078A0">
        <w:t>–</w:t>
      </w:r>
      <w:r w:rsidRPr="00D078A0">
        <w:tab/>
        <w:t>unter Hinweis auf seine früheren Entschließungen mit Einwänden gegen die Zulassung genetisch veränderter Organismen (GVO)</w:t>
      </w:r>
      <w:bookmarkStart w:id="9" w:name="_Hlk210666451"/>
      <w:r w:rsidRPr="00D078A0">
        <w:rPr>
          <w:vertAlign w:val="superscript"/>
        </w:rPr>
        <w:footnoteReference w:id="4"/>
      </w:r>
      <w:bookmarkEnd w:id="9"/>
      <w:r w:rsidRPr="00D078A0">
        <w:t xml:space="preserve">, </w:t>
      </w:r>
    </w:p>
    <w:p w14:paraId="38D9B839" w14:textId="77777777" w:rsidR="008568F5" w:rsidRPr="00D078A0" w:rsidRDefault="008568F5" w:rsidP="008568F5">
      <w:pPr>
        <w:pStyle w:val="NormalHanging12a"/>
      </w:pPr>
      <w:r w:rsidRPr="00D078A0">
        <w:lastRenderedPageBreak/>
        <w:t>–</w:t>
      </w:r>
      <w:r w:rsidRPr="00D078A0">
        <w:tab/>
        <w:t>gestützt auf Artikel 115 Absätze 2 und 3 seiner Geschäftsordnung,</w:t>
      </w:r>
    </w:p>
    <w:p w14:paraId="137D2685" w14:textId="77777777" w:rsidR="008568F5" w:rsidRPr="00D078A0" w:rsidRDefault="008568F5" w:rsidP="008568F5">
      <w:pPr>
        <w:pStyle w:val="NormalHanging12a"/>
      </w:pPr>
      <w:r w:rsidRPr="00D078A0">
        <w:t>–</w:t>
      </w:r>
      <w:r w:rsidRPr="00D078A0">
        <w:tab/>
        <w:t>unter Hinweis auf den Entschließungsantrag des Ausschusses für Umwelt, Klima und Lebensmittelsicherheit,</w:t>
      </w:r>
    </w:p>
    <w:p w14:paraId="433B7E8E" w14:textId="77777777" w:rsidR="008568F5" w:rsidRPr="00D078A0" w:rsidRDefault="008568F5" w:rsidP="008568F5">
      <w:pPr>
        <w:pStyle w:val="NormalHanging12a"/>
        <w:ind w:hanging="570"/>
      </w:pPr>
      <w:r w:rsidRPr="00D078A0">
        <w:t>A.</w:t>
      </w:r>
      <w:r w:rsidRPr="00D078A0">
        <w:tab/>
        <w:t>in der Erwägung, dass das Inverkehrbringen von Lebensmitteln und Futtermitteln, die aus genetisch veränderter Baumwolle der Sorte GHB614 × LLCotton25 (im Folgenden „GV-Baumwolle“) bestehen, diese enthalten oder aus dieser gewonnen werden, mit dem Durchführungsbeschluss (EU) 2015/690 der Kommission</w:t>
      </w:r>
      <w:r w:rsidRPr="00D078A0">
        <w:rPr>
          <w:rStyle w:val="FootnoteReference"/>
        </w:rPr>
        <w:footnoteReference w:id="5"/>
      </w:r>
      <w:r w:rsidRPr="00D078A0">
        <w:t xml:space="preserve"> zugelassen wurde; in der Erwägung, dass sich die Genehmigung auch auf das Inverkehrbringen von </w:t>
      </w:r>
      <w:r w:rsidRPr="00D078A0">
        <w:lastRenderedPageBreak/>
        <w:t>Erzeugnissen, die GV-Baumwolle enthalten oder aus ihr bestehen und bei denen es sich nicht um Lebens- oder Futtermittel handelt, für die gleichen Verwendungszwecke wie bei jeder anderen Baumwollsorte – mit Ausnahme des Anbaus – bezog;</w:t>
      </w:r>
    </w:p>
    <w:p w14:paraId="5C72D6F0" w14:textId="77777777" w:rsidR="008568F5" w:rsidRPr="00D078A0" w:rsidRDefault="008568F5" w:rsidP="008568F5">
      <w:pPr>
        <w:pStyle w:val="NormalHanging12a"/>
        <w:ind w:hanging="570"/>
      </w:pPr>
      <w:bookmarkStart w:id="10" w:name="_Hlk218675754"/>
      <w:r w:rsidRPr="00D078A0">
        <w:t>B.</w:t>
      </w:r>
      <w:r w:rsidRPr="00D078A0">
        <w:tab/>
        <w:t xml:space="preserve">in der Erwägung, dass am 22. März 2024 </w:t>
      </w:r>
      <w:r w:rsidRPr="00D078A0">
        <w:rPr>
          <w:snapToGrid w:val="0"/>
        </w:rPr>
        <w:t>BASF SE mit Sitz in Deutschland</w:t>
      </w:r>
      <w:r w:rsidRPr="00D078A0">
        <w:t xml:space="preserve"> im Namen von BASF </w:t>
      </w:r>
      <w:proofErr w:type="spellStart"/>
      <w:r w:rsidRPr="00D078A0">
        <w:t>Agricultural</w:t>
      </w:r>
      <w:proofErr w:type="spellEnd"/>
      <w:r w:rsidRPr="00D078A0">
        <w:t xml:space="preserve"> Solutions Seed US LLC mit Sitz in den Vereinigten Staaten bei der Kommission einen Antrag auf Erneuerung dieser Zulassung gestellt hat;</w:t>
      </w:r>
    </w:p>
    <w:p w14:paraId="3CACAEB9" w14:textId="77777777" w:rsidR="008568F5" w:rsidRPr="00D078A0" w:rsidRDefault="008568F5" w:rsidP="008568F5">
      <w:pPr>
        <w:pStyle w:val="NormalHanging12a"/>
        <w:ind w:hanging="570"/>
      </w:pPr>
      <w:r w:rsidRPr="00D078A0">
        <w:t>C.</w:t>
      </w:r>
      <w:r w:rsidRPr="00D078A0">
        <w:tab/>
        <w:t>in der Erwägung, dass die EFSA am 7. August 2025 im Einklang mit den Artikeln 11 und 23 der Verordnung (EG) Nr. 1829/2003 eine befürwortende wissenschaftliche Stellungnahme zu genetisch verändertem Mais abgegeben hat, in der sie zu dem Schluss kam, dass der Antrag auf Erneuerung keine Nachweise für neue Risiken, eine veränderte Exposition oder wissenschaftliche Unsicherheiten enthielt, die eine Korrektur der Schlussfolgerungen der ursprünglichen, von der EFSA 2014 angenommenen Risikobewertung für GV-Baumwolle erforderlich machen würden</w:t>
      </w:r>
      <w:r w:rsidRPr="00D078A0">
        <w:rPr>
          <w:rStyle w:val="FootnoteReference"/>
        </w:rPr>
        <w:footnoteReference w:id="6"/>
      </w:r>
      <w:r w:rsidRPr="00D078A0">
        <w:t>; in der Erwägung, dass in diesen Stellungnahmen mehrere umfassendere ökologische, sozioökonomische und kumulative Auswirkungen unberücksichtigt blieben, die nach Ansicht der EFSA nicht in ihren Zuständigkeitsbereich fallen;</w:t>
      </w:r>
    </w:p>
    <w:p w14:paraId="47B7BA83" w14:textId="77777777" w:rsidR="008568F5" w:rsidRPr="00D078A0" w:rsidRDefault="008568F5" w:rsidP="008568F5">
      <w:pPr>
        <w:pStyle w:val="NormalHanging12a"/>
      </w:pPr>
      <w:r w:rsidRPr="00D078A0">
        <w:t>D.</w:t>
      </w:r>
      <w:r w:rsidRPr="00D078A0">
        <w:tab/>
        <w:t xml:space="preserve">in der Erwägung, dass GV-Baumwolle mit dem Ziel entwickelt wurde, dass sie gegenüber </w:t>
      </w:r>
      <w:proofErr w:type="spellStart"/>
      <w:r w:rsidRPr="00D078A0">
        <w:t>Glufosinat</w:t>
      </w:r>
      <w:proofErr w:type="spellEnd"/>
      <w:r w:rsidRPr="00D078A0">
        <w:t xml:space="preserve"> und Glyphosat resistent ist; </w:t>
      </w:r>
    </w:p>
    <w:bookmarkEnd w:id="10"/>
    <w:p w14:paraId="6E7AFC1E" w14:textId="77777777" w:rsidR="008568F5" w:rsidRPr="00D078A0" w:rsidRDefault="008568F5" w:rsidP="008568F5">
      <w:pPr>
        <w:pStyle w:val="NormalHanging12a"/>
      </w:pPr>
      <w:r w:rsidRPr="00D078A0">
        <w:t>E.</w:t>
      </w:r>
      <w:r w:rsidRPr="00D078A0">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Baumwolle verwendet werden, umfasste;</w:t>
      </w:r>
    </w:p>
    <w:p w14:paraId="7F270481" w14:textId="77777777" w:rsidR="008568F5" w:rsidRPr="00D078A0" w:rsidRDefault="008568F5" w:rsidP="008568F5">
      <w:pPr>
        <w:pStyle w:val="NormalHanging12a"/>
        <w:rPr>
          <w:color w:val="000000" w:themeColor="text1"/>
          <w:szCs w:val="24"/>
        </w:rPr>
      </w:pPr>
      <w:r w:rsidRPr="00D078A0">
        <w:rPr>
          <w:color w:val="000000" w:themeColor="text1"/>
        </w:rPr>
        <w:t>F.</w:t>
      </w:r>
      <w:r w:rsidRPr="00D078A0">
        <w:rPr>
          <w:color w:val="000000" w:themeColor="text1"/>
        </w:rPr>
        <w:tab/>
      </w:r>
      <w:r w:rsidRPr="00D078A0">
        <w:t xml:space="preserve">in der Erwägung, dass die meisten genetisch veränderten Pflanzen, auch die GV-Baumwolle, genetisch verändert wurden, damit sie gegenüber einem oder mehreren „Komplementärherbiziden“ resistent sind, die beim Anbau der genetisch veränderten Pflanzen eingesetzt werden können, ohne dass die Pflanzen absterben, was bei nicht </w:t>
      </w:r>
      <w:proofErr w:type="spellStart"/>
      <w:r w:rsidRPr="00D078A0">
        <w:t>herbizidresistenten</w:t>
      </w:r>
      <w:proofErr w:type="spellEnd"/>
      <w:r w:rsidRPr="00D078A0">
        <w:t xml:space="preserve"> Pflanzen der Fall wäre; </w:t>
      </w:r>
      <w:r w:rsidRPr="00D078A0">
        <w:rPr>
          <w:color w:val="000000" w:themeColor="text1"/>
        </w:rPr>
        <w:t xml:space="preserve">in der Erwägung, dass aus zahlreichen Studien hervorgeht, dass bei </w:t>
      </w:r>
      <w:proofErr w:type="spellStart"/>
      <w:r w:rsidRPr="00D078A0">
        <w:rPr>
          <w:color w:val="000000" w:themeColor="text1"/>
        </w:rPr>
        <w:t>herbizidtoleranten</w:t>
      </w:r>
      <w:proofErr w:type="spellEnd"/>
      <w:r w:rsidRPr="00D078A0">
        <w:rPr>
          <w:color w:val="000000" w:themeColor="text1"/>
        </w:rPr>
        <w:t xml:space="preserve"> genetisch veränderten Kulturen vermehrt „komplementäre“ Herbizide zum Einsatz kommen, was zum großen Teil dem Auftreten </w:t>
      </w:r>
      <w:proofErr w:type="spellStart"/>
      <w:r w:rsidRPr="00D078A0">
        <w:rPr>
          <w:color w:val="000000" w:themeColor="text1"/>
        </w:rPr>
        <w:t>herbizidtoleranter</w:t>
      </w:r>
      <w:proofErr w:type="spellEnd"/>
      <w:r w:rsidRPr="00D078A0">
        <w:rPr>
          <w:color w:val="000000" w:themeColor="text1"/>
        </w:rPr>
        <w:t xml:space="preserve"> Unkräuter geschuldet ist</w:t>
      </w:r>
      <w:r w:rsidRPr="00D078A0">
        <w:rPr>
          <w:rStyle w:val="FootnoteReference"/>
          <w:color w:val="000000" w:themeColor="text1"/>
          <w:szCs w:val="24"/>
        </w:rPr>
        <w:footnoteReference w:id="7"/>
      </w:r>
      <w:r w:rsidRPr="00D078A0">
        <w:rPr>
          <w:color w:val="000000" w:themeColor="text1"/>
        </w:rPr>
        <w:t>;</w:t>
      </w:r>
    </w:p>
    <w:p w14:paraId="16E4C193" w14:textId="77777777" w:rsidR="008568F5" w:rsidRPr="00D078A0" w:rsidRDefault="008568F5" w:rsidP="008568F5">
      <w:pPr>
        <w:spacing w:after="240"/>
        <w:ind w:left="567" w:hanging="567"/>
        <w:rPr>
          <w:color w:val="000000" w:themeColor="text1"/>
          <w:szCs w:val="24"/>
        </w:rPr>
      </w:pPr>
      <w:r w:rsidRPr="00D078A0">
        <w:lastRenderedPageBreak/>
        <w:t>G.</w:t>
      </w:r>
      <w:r w:rsidRPr="00D078A0">
        <w:tab/>
      </w:r>
      <w:r w:rsidRPr="00D078A0">
        <w:rPr>
          <w:color w:val="000000" w:themeColor="text1"/>
        </w:rPr>
        <w:t xml:space="preserve">in der Erwägung, dass </w:t>
      </w:r>
      <w:proofErr w:type="spellStart"/>
      <w:r w:rsidRPr="00D078A0">
        <w:rPr>
          <w:color w:val="000000" w:themeColor="text1"/>
        </w:rPr>
        <w:t>herbizidtolerante</w:t>
      </w:r>
      <w:proofErr w:type="spellEnd"/>
      <w:r w:rsidRPr="00D078A0">
        <w:rPr>
          <w:color w:val="000000" w:themeColor="text1"/>
        </w:rPr>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sprühen; in der Erwägung, dass der verstärkte Einsatz von Komplementärherbiziden in landwirtschaftlichen Betrieben, die genetisch veränderte Baumwolle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Exposition von Menschen und Tieren hervorrufen werden, und zwar möglicherweise auch im Wege höherer </w:t>
      </w:r>
      <w:proofErr w:type="spellStart"/>
      <w:r w:rsidRPr="00D078A0">
        <w:rPr>
          <w:color w:val="000000" w:themeColor="text1"/>
        </w:rPr>
        <w:t>Herbizidrückstände</w:t>
      </w:r>
      <w:proofErr w:type="spellEnd"/>
      <w:r w:rsidRPr="00D078A0">
        <w:rPr>
          <w:color w:val="000000" w:themeColor="text1"/>
        </w:rPr>
        <w:t xml:space="preserve"> in Lebens- und Futtermitteln</w:t>
      </w:r>
      <w:r w:rsidRPr="00D078A0">
        <w:rPr>
          <w:rStyle w:val="FootnoteReference"/>
          <w:color w:val="000000" w:themeColor="text1"/>
          <w:szCs w:val="24"/>
        </w:rPr>
        <w:footnoteReference w:id="8"/>
      </w:r>
      <w:r w:rsidRPr="00D078A0">
        <w:rPr>
          <w:color w:val="000000" w:themeColor="text1"/>
        </w:rPr>
        <w:t>;</w:t>
      </w:r>
    </w:p>
    <w:p w14:paraId="60E2EFDA" w14:textId="77777777" w:rsidR="008568F5" w:rsidRPr="00D078A0" w:rsidRDefault="008568F5" w:rsidP="008568F5">
      <w:pPr>
        <w:pStyle w:val="NormalWeb"/>
        <w:widowControl w:val="0"/>
        <w:spacing w:before="0" w:beforeAutospacing="0" w:after="240" w:afterAutospacing="0"/>
        <w:ind w:left="567" w:hanging="567"/>
      </w:pPr>
      <w:r w:rsidRPr="00D078A0">
        <w:t>H.</w:t>
      </w:r>
      <w:r w:rsidRPr="00D078A0">
        <w:tab/>
        <w:t xml:space="preserve">in der Erwägung, dass </w:t>
      </w:r>
      <w:proofErr w:type="spellStart"/>
      <w:r w:rsidRPr="00D078A0">
        <w:t>Glufosinat</w:t>
      </w:r>
      <w:proofErr w:type="spellEnd"/>
      <w:r w:rsidRPr="00D078A0">
        <w:t xml:space="preserve"> als reproduktionstoxisch (1B) eingestuft wird und demnach unter die in der Verordnung (EG) Nr. 1107/2009 des Europäischen Parlaments und des Rates</w:t>
      </w:r>
      <w:r w:rsidRPr="00D078A0">
        <w:rPr>
          <w:rStyle w:val="FootnoteReference"/>
        </w:rPr>
        <w:footnoteReference w:id="9"/>
      </w:r>
      <w:r w:rsidRPr="00D078A0">
        <w:t xml:space="preserve"> festgelegten Ausschlusskriterien fällt; in der Erwägung, dass die Genehmigung für die Verwendung von </w:t>
      </w:r>
      <w:proofErr w:type="spellStart"/>
      <w:r w:rsidRPr="00D078A0">
        <w:t>Glufosinat</w:t>
      </w:r>
      <w:proofErr w:type="spellEnd"/>
      <w:r w:rsidRPr="00D078A0">
        <w:t xml:space="preserve"> in der Union am 31. Juli 2018 ausgelaufen ist;</w:t>
      </w:r>
    </w:p>
    <w:p w14:paraId="7D187B06" w14:textId="77777777" w:rsidR="008568F5" w:rsidRPr="00D078A0" w:rsidRDefault="008568F5" w:rsidP="008568F5">
      <w:pPr>
        <w:pStyle w:val="NormalHanging12a"/>
      </w:pPr>
      <w:r w:rsidRPr="00D078A0">
        <w:t>I.</w:t>
      </w:r>
      <w:r w:rsidRPr="00D078A0">
        <w:tab/>
        <w:t xml:space="preserve">in der Erwägung, dass nach wie vor ernsthafte Bedenken hinsichtlich der krebserzeugenden Wirkung von Glyphosat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die </w:t>
      </w:r>
      <w:proofErr w:type="spellStart"/>
      <w:r w:rsidRPr="00D078A0">
        <w:t>Karzinogenität</w:t>
      </w:r>
      <w:proofErr w:type="spellEnd"/>
      <w:r w:rsidRPr="00D078A0">
        <w:t xml:space="preserve"> von Glyphosat in einer Reihe von aktuellen wissenschaftlichen Studien, die einer Peer-Review unterzogen wurden, bestätigt wurde</w:t>
      </w:r>
      <w:r w:rsidRPr="00D078A0">
        <w:rPr>
          <w:rStyle w:val="FootnoteReference"/>
        </w:rPr>
        <w:footnoteReference w:id="10"/>
      </w:r>
      <w:r w:rsidRPr="00D078A0">
        <w:t xml:space="preserve">; </w:t>
      </w:r>
      <w:bookmarkStart w:id="12" w:name="_Hlk218688545"/>
      <w:r w:rsidRPr="00D078A0">
        <w:t>in der Erwägung, dass die Zeitschrift „</w:t>
      </w:r>
      <w:proofErr w:type="spellStart"/>
      <w:r w:rsidRPr="00D078A0">
        <w:t>Regulatory</w:t>
      </w:r>
      <w:proofErr w:type="spellEnd"/>
      <w:r w:rsidRPr="00D078A0">
        <w:t xml:space="preserve"> </w:t>
      </w:r>
      <w:proofErr w:type="spellStart"/>
      <w:r w:rsidRPr="00D078A0">
        <w:t>Toxicology</w:t>
      </w:r>
      <w:proofErr w:type="spellEnd"/>
      <w:r w:rsidRPr="00D078A0">
        <w:t xml:space="preserve"> and </w:t>
      </w:r>
      <w:proofErr w:type="spellStart"/>
      <w:r w:rsidRPr="00D078A0">
        <w:t>Pharmacology</w:t>
      </w:r>
      <w:proofErr w:type="spellEnd"/>
      <w:r w:rsidRPr="00D078A0">
        <w:t>“ (Regulatorische Toxikologie und Pharmakologie) den im Jahr 2000 veröffentlichten Fachartikel mit dem Titel „</w:t>
      </w:r>
      <w:proofErr w:type="spellStart"/>
      <w:r w:rsidRPr="00D078A0">
        <w:t>Safety</w:t>
      </w:r>
      <w:proofErr w:type="spellEnd"/>
      <w:r w:rsidRPr="00D078A0">
        <w:t xml:space="preserve"> Evaluation and Risk Assessment </w:t>
      </w:r>
      <w:proofErr w:type="spellStart"/>
      <w:r w:rsidRPr="00D078A0">
        <w:t>of</w:t>
      </w:r>
      <w:proofErr w:type="spellEnd"/>
      <w:r w:rsidRPr="00D078A0">
        <w:t xml:space="preserve"> </w:t>
      </w:r>
      <w:proofErr w:type="spellStart"/>
      <w:r w:rsidRPr="00D078A0">
        <w:t>the</w:t>
      </w:r>
      <w:proofErr w:type="spellEnd"/>
      <w:r w:rsidRPr="00D078A0">
        <w:t xml:space="preserve"> </w:t>
      </w:r>
      <w:proofErr w:type="spellStart"/>
      <w:r w:rsidRPr="00D078A0">
        <w:t>Herbicide</w:t>
      </w:r>
      <w:proofErr w:type="spellEnd"/>
      <w:r w:rsidRPr="00D078A0">
        <w:t xml:space="preserve"> Roundup and </w:t>
      </w:r>
      <w:proofErr w:type="spellStart"/>
      <w:r w:rsidRPr="00D078A0">
        <w:t>Its</w:t>
      </w:r>
      <w:proofErr w:type="spellEnd"/>
      <w:r w:rsidRPr="00D078A0">
        <w:t xml:space="preserve"> </w:t>
      </w:r>
      <w:proofErr w:type="spellStart"/>
      <w:r w:rsidRPr="00D078A0">
        <w:t>Active</w:t>
      </w:r>
      <w:proofErr w:type="spellEnd"/>
      <w:r w:rsidRPr="00D078A0">
        <w:t xml:space="preserve"> </w:t>
      </w:r>
      <w:proofErr w:type="spellStart"/>
      <w:r w:rsidRPr="00D078A0">
        <w:t>Ingredient</w:t>
      </w:r>
      <w:proofErr w:type="spellEnd"/>
      <w:r w:rsidRPr="00D078A0">
        <w:t xml:space="preserve">, Glyphosate, </w:t>
      </w:r>
      <w:proofErr w:type="spellStart"/>
      <w:r w:rsidRPr="00D078A0">
        <w:t>for</w:t>
      </w:r>
      <w:proofErr w:type="spellEnd"/>
      <w:r w:rsidRPr="00D078A0">
        <w:t xml:space="preserve"> </w:t>
      </w:r>
      <w:proofErr w:type="spellStart"/>
      <w:r w:rsidRPr="00D078A0">
        <w:t>Humans</w:t>
      </w:r>
      <w:proofErr w:type="spellEnd"/>
      <w:r w:rsidRPr="00D078A0">
        <w:t xml:space="preserve">“ (Sicherheitsbewertung und Risikobewertung des Herbizids Roundup und seines Wirkstoffs Glyphosat für den Menschen) offiziell zurückgezogen hat, die in vielen Risikobewertungen zur Verteidigung der Sicherheit von Glyphosat verwendet wurde, da Bedenken hinsichtlich der Urheberschaft, der Stichhaltigkeit der </w:t>
      </w:r>
      <w:r w:rsidRPr="00D078A0">
        <w:lastRenderedPageBreak/>
        <w:t>Forschungsergebnisse im Zusammenhang mit der falschen Darstellung der Beiträge durch die Autoren und den Sponsor der Studie und potenzieller Interessenkonflikte der Autoren geäußert wurden</w:t>
      </w:r>
      <w:r w:rsidRPr="00D078A0">
        <w:rPr>
          <w:rStyle w:val="FootnoteReference"/>
        </w:rPr>
        <w:footnoteReference w:id="11"/>
      </w:r>
      <w:r w:rsidRPr="00D078A0">
        <w:t>;</w:t>
      </w:r>
      <w:bookmarkEnd w:id="12"/>
    </w:p>
    <w:p w14:paraId="2F34868C" w14:textId="77777777" w:rsidR="008568F5" w:rsidRPr="00D078A0" w:rsidRDefault="008568F5" w:rsidP="008568F5">
      <w:pPr>
        <w:pStyle w:val="NormalHanging12a"/>
      </w:pPr>
      <w:r w:rsidRPr="00D078A0">
        <w:t>J.</w:t>
      </w:r>
      <w:r w:rsidRPr="00D078A0">
        <w:tab/>
        <w:t>in der Erwägung, dass eine unabhängige Überwachung und Beobachtung potenzieller nachteiliger Auswirkungen auf die biologische Vielfalt, die Bodengesundheit, Bestäuber und Nichtzielorganismen nach wie vor nicht ausreichend gewährleistet sind;</w:t>
      </w:r>
    </w:p>
    <w:p w14:paraId="0D1A7BF5" w14:textId="77777777" w:rsidR="008568F5" w:rsidRPr="00D078A0" w:rsidRDefault="008568F5" w:rsidP="008568F5">
      <w:pPr>
        <w:spacing w:after="240"/>
        <w:ind w:left="567" w:hanging="567"/>
      </w:pPr>
      <w:r w:rsidRPr="00D078A0">
        <w:t>K.</w:t>
      </w:r>
      <w:r w:rsidRPr="00D078A0">
        <w:tab/>
        <w:t>in der Erwägung, dass der in Artikel 191 des Vertrags über die Arbeitsweise der Europäischen Union verankerte Grundsatz der Vorsorge bei wissenschaftlicher Unsicherheit Anwendung finden sollte;</w:t>
      </w:r>
    </w:p>
    <w:p w14:paraId="4C122A57" w14:textId="77777777" w:rsidR="008568F5" w:rsidRPr="00D078A0" w:rsidRDefault="008568F5" w:rsidP="008568F5">
      <w:pPr>
        <w:spacing w:after="240"/>
        <w:ind w:left="567" w:hanging="567"/>
      </w:pPr>
      <w:r w:rsidRPr="00D078A0">
        <w:t>L.</w:t>
      </w:r>
      <w:r w:rsidRPr="00D078A0">
        <w:tab/>
        <w:t xml:space="preserve">in der Erwägung, dass in der Verordnung (EG) Nr. 1829/2003 festgelegt ist, dass genetisch veränderte Lebensmittel und Futtermittel keine nachteiligen Auswirkungen auf die Gesundheit </w:t>
      </w:r>
      <w:proofErr w:type="gramStart"/>
      <w:r w:rsidRPr="00D078A0">
        <w:t>von Mensch</w:t>
      </w:r>
      <w:proofErr w:type="gramEnd"/>
      <w:r w:rsidRPr="00D078A0">
        <w:t xml:space="preserve"> und Tier oder die Umwelt haben dürfen;</w:t>
      </w:r>
    </w:p>
    <w:p w14:paraId="6FEF1841" w14:textId="77777777" w:rsidR="008568F5" w:rsidRPr="00D078A0" w:rsidRDefault="008568F5" w:rsidP="008568F5">
      <w:pPr>
        <w:pStyle w:val="NormalWeb"/>
        <w:widowControl w:val="0"/>
        <w:spacing w:before="0" w:beforeAutospacing="0" w:after="240" w:afterAutospacing="0"/>
        <w:ind w:left="567" w:hanging="567"/>
      </w:pPr>
      <w:r w:rsidRPr="00D078A0">
        <w:t>M.</w:t>
      </w:r>
      <w:r w:rsidRPr="00D078A0">
        <w:tab/>
        <w:t>in der Erwägung, dass die Erneuerung der Zulassung von GV-Baumwolle durch die Union nicht im Einklang mit den internationalen Verpflichtungen zur Verringerung des Gebrauchs von Pestiziden</w:t>
      </w:r>
      <w:r w:rsidRPr="00D078A0">
        <w:rPr>
          <w:vertAlign w:val="superscript"/>
        </w:rPr>
        <w:footnoteReference w:id="12"/>
      </w:r>
      <w:r w:rsidRPr="00D078A0">
        <w:t xml:space="preserve"> stehen würde, da die Exposition von Menschen, Tieren und der Umwelt gegenüber Glyphosat, </w:t>
      </w:r>
      <w:proofErr w:type="spellStart"/>
      <w:r w:rsidRPr="00D078A0">
        <w:t>Dicamba</w:t>
      </w:r>
      <w:proofErr w:type="spellEnd"/>
      <w:r w:rsidRPr="00D078A0">
        <w:t xml:space="preserve"> und </w:t>
      </w:r>
      <w:proofErr w:type="spellStart"/>
      <w:r w:rsidRPr="00D078A0">
        <w:t>Glufosinat</w:t>
      </w:r>
      <w:proofErr w:type="spellEnd"/>
      <w:r w:rsidRPr="00D078A0">
        <w:t xml:space="preserve"> in Ländern, in denen diese </w:t>
      </w:r>
      <w:proofErr w:type="spellStart"/>
      <w:r w:rsidRPr="00D078A0">
        <w:t>herbizidresistente</w:t>
      </w:r>
      <w:proofErr w:type="spellEnd"/>
      <w:r w:rsidRPr="00D078A0">
        <w:t xml:space="preserve"> genetisch veränderte Kulturpflanze angebaut wird, steigt und die gesundheitlichen Beeinträchtigungen möglicherweise schwerwiegend sind;</w:t>
      </w:r>
    </w:p>
    <w:p w14:paraId="42826ED9" w14:textId="77777777" w:rsidR="008568F5" w:rsidRPr="00D078A0" w:rsidRDefault="008568F5" w:rsidP="008568F5">
      <w:pPr>
        <w:spacing w:after="240"/>
        <w:ind w:left="567" w:hanging="567"/>
      </w:pPr>
      <w:r w:rsidRPr="00D078A0">
        <w:t>N.</w:t>
      </w:r>
      <w:r w:rsidRPr="00D078A0">
        <w:tab/>
        <w:t>in der Erwägung, dass mit dem Durchführungsbeschluss der Kommission weiterhin Einfuhren von Erzeugnissen in die Union ermöglicht würden, die nicht den von den Landwirten in der Union eingehaltenen Standards entsprechen, wodurch diese im Wettbewerb benachteiligt würden;</w:t>
      </w:r>
    </w:p>
    <w:p w14:paraId="20E350C7" w14:textId="77777777" w:rsidR="008568F5" w:rsidRPr="00D078A0" w:rsidRDefault="008568F5" w:rsidP="008568F5">
      <w:pPr>
        <w:spacing w:after="240"/>
        <w:ind w:left="567" w:hanging="567"/>
      </w:pPr>
      <w:r w:rsidRPr="00D078A0">
        <w:t>O.</w:t>
      </w:r>
      <w:r w:rsidRPr="00D078A0">
        <w:tab/>
        <w:t>in der Erwägung, dass die Kommission in den Schlussfolgerungen des strategischen Dialogs zur Zukunft der Landwirtschaft in der EU</w:t>
      </w:r>
      <w:r w:rsidRPr="00D078A0">
        <w:rPr>
          <w:rStyle w:val="FootnoteReference"/>
        </w:rPr>
        <w:footnoteReference w:id="13"/>
      </w:r>
      <w:r w:rsidRPr="00D078A0">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14:paraId="4B9EA2E1" w14:textId="77777777" w:rsidR="008568F5" w:rsidRPr="00D078A0" w:rsidRDefault="008568F5" w:rsidP="008568F5">
      <w:pPr>
        <w:spacing w:after="240"/>
        <w:ind w:left="567" w:hanging="567"/>
      </w:pPr>
      <w:r w:rsidRPr="00D078A0">
        <w:t>P.</w:t>
      </w:r>
      <w:r w:rsidRPr="00D078A0">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1FDB819C" w14:textId="77777777" w:rsidR="008568F5" w:rsidRPr="00D078A0" w:rsidRDefault="008568F5" w:rsidP="008568F5">
      <w:pPr>
        <w:pStyle w:val="NormalWeb"/>
        <w:widowControl w:val="0"/>
        <w:shd w:val="clear" w:color="auto" w:fill="FFFFFF"/>
        <w:spacing w:before="0" w:beforeAutospacing="0" w:after="240" w:afterAutospacing="0"/>
        <w:ind w:left="567" w:hanging="567"/>
        <w:rPr>
          <w:color w:val="000000" w:themeColor="text1"/>
        </w:rPr>
      </w:pPr>
      <w:r w:rsidRPr="00D078A0">
        <w:rPr>
          <w:color w:val="000000" w:themeColor="text1"/>
        </w:rPr>
        <w:t>Q.</w:t>
      </w:r>
      <w:r w:rsidRPr="00D078A0">
        <w:rPr>
          <w:color w:val="000000" w:themeColor="text1"/>
        </w:rPr>
        <w:tab/>
        <w:t xml:space="preserve">in der Erwägung, dass die Kommission trotz der von ihr selbst eingeräumten </w:t>
      </w:r>
      <w:r w:rsidRPr="00D078A0">
        <w:rPr>
          <w:color w:val="000000" w:themeColor="text1"/>
        </w:rPr>
        <w:lastRenderedPageBreak/>
        <w:t>demokratischen Defizite, der fehlenden Unterstützung durch die Mitgliedstaaten und der Einwände des Europäischen Parlaments nach wie vor GVO zulässt;</w:t>
      </w:r>
    </w:p>
    <w:p w14:paraId="4307F86A" w14:textId="77777777" w:rsidR="008568F5" w:rsidRPr="00D078A0" w:rsidRDefault="008568F5" w:rsidP="008568F5">
      <w:pPr>
        <w:spacing w:after="240"/>
        <w:ind w:left="567" w:hanging="567"/>
      </w:pPr>
      <w:r w:rsidRPr="00D078A0">
        <w:t>R.</w:t>
      </w:r>
      <w:r w:rsidRPr="00D078A0">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23D1E3EF" w14:textId="77777777" w:rsidR="008568F5" w:rsidRPr="00D078A0" w:rsidRDefault="008568F5" w:rsidP="008568F5">
      <w:pPr>
        <w:pStyle w:val="NormalHanging12a"/>
        <w:keepNext/>
        <w:keepLines/>
      </w:pPr>
      <w:r w:rsidRPr="00D078A0">
        <w:t>1.</w:t>
      </w:r>
      <w:r w:rsidRPr="00D078A0">
        <w:tab/>
        <w:t>vertritt die Auffassung, dass der Entwurf eines Durchführungsbeschlusses der Kommission über die in der Verordnung (EG) Nr. 1829/2003 vorgesehenen Durchführungsbefugnisse hinausgeht;</w:t>
      </w:r>
    </w:p>
    <w:p w14:paraId="4622111B" w14:textId="77777777" w:rsidR="008568F5" w:rsidRPr="00D078A0" w:rsidRDefault="008568F5" w:rsidP="008568F5">
      <w:pPr>
        <w:pStyle w:val="NormalHanging12a"/>
      </w:pPr>
      <w:bookmarkStart w:id="13" w:name="_Hlk218675825"/>
      <w:r w:rsidRPr="00D078A0">
        <w:t>2.</w:t>
      </w:r>
      <w:r w:rsidRPr="00D078A0">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D078A0">
        <w:rPr>
          <w:vertAlign w:val="superscript"/>
        </w:rPr>
        <w:footnoteReference w:id="14"/>
      </w:r>
      <w:r w:rsidRPr="00D078A0">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w:t>
      </w:r>
    </w:p>
    <w:bookmarkEnd w:id="13"/>
    <w:p w14:paraId="23F70503" w14:textId="77777777" w:rsidR="008568F5" w:rsidRPr="00D078A0" w:rsidRDefault="008568F5" w:rsidP="008568F5">
      <w:pPr>
        <w:pStyle w:val="NormalHanging12a"/>
      </w:pPr>
      <w:r w:rsidRPr="00D078A0">
        <w:t>3.</w:t>
      </w:r>
      <w:r w:rsidRPr="00D078A0">
        <w:tab/>
        <w:t>fordert die Kommission auf, ihren Entwurf eines Durchführungsbeschlusses zurückzuziehen;</w:t>
      </w:r>
    </w:p>
    <w:p w14:paraId="56881383" w14:textId="77777777" w:rsidR="008568F5" w:rsidRPr="00D078A0" w:rsidRDefault="008568F5" w:rsidP="008568F5">
      <w:pPr>
        <w:spacing w:after="240"/>
        <w:ind w:left="567" w:hanging="567"/>
      </w:pPr>
      <w:r w:rsidRPr="00D078A0">
        <w:t>4.</w:t>
      </w:r>
      <w:r w:rsidRPr="00D078A0">
        <w:tab/>
        <w:t>fordert die Kommission auf, die Zulassung von GV-Baumwolle aufgrund fehlender ausreichender Nachweise über die langfristigen Auswirkungen auf die biologische Vielfalt, die Lebensmittelsicherheit, die Lebensgrundlage der Landwirte und die Tiergesundheit im Einklang mit dem Konzept „Eine Gesundheit“ nicht zu erneuern;</w:t>
      </w:r>
    </w:p>
    <w:p w14:paraId="3D61771C" w14:textId="77777777" w:rsidR="008568F5" w:rsidRPr="00D078A0" w:rsidRDefault="008568F5" w:rsidP="008568F5">
      <w:pPr>
        <w:spacing w:after="240"/>
        <w:ind w:left="567" w:hanging="567"/>
      </w:pPr>
      <w:bookmarkStart w:id="14" w:name="_Hlk210900300"/>
      <w:r w:rsidRPr="00D078A0">
        <w:t>5.</w:t>
      </w:r>
      <w:r w:rsidRPr="00D078A0">
        <w:tab/>
        <w:t>fordert die Kommission auf, umgehend einen Gesetzgebungsvorschlag zur Reform des Beschlussfassungsverfahrens in Bezug auf GVO vorzulegen, um auf die wiederholten Einwände des Parlaments und das Fehlen einer Unterstützung durch eine qualifizierte Mehrheit unter den Mitgliedstaaten zu reagieren;</w:t>
      </w:r>
      <w:bookmarkEnd w:id="14"/>
    </w:p>
    <w:p w14:paraId="5F2343F0" w14:textId="77777777" w:rsidR="008568F5" w:rsidRPr="00D078A0" w:rsidRDefault="008568F5" w:rsidP="008568F5">
      <w:pPr>
        <w:spacing w:after="240"/>
        <w:ind w:left="567" w:hanging="567"/>
      </w:pPr>
      <w:bookmarkStart w:id="15" w:name="_Hlk210900241"/>
      <w:r w:rsidRPr="00D078A0">
        <w:t>6.</w:t>
      </w:r>
      <w:r w:rsidRPr="00D078A0">
        <w:tab/>
        <w:t xml:space="preserve">betont in diesem Zusammenhang, dass die Zulassung der Einfuhr von Lebensmitteln, Futtermitteln und Erzeugnissen aus genetisch veränderten Pflanzen, die gegen in der Union verbotene Herbizide wie </w:t>
      </w:r>
      <w:proofErr w:type="spellStart"/>
      <w:r w:rsidRPr="00D078A0">
        <w:t>Glufosinat</w:t>
      </w:r>
      <w:proofErr w:type="spellEnd"/>
      <w:r w:rsidRPr="00D078A0">
        <w:t xml:space="preserve"> resistent gemacht wurden,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Wettbewerbsbedingungen für die Landwirte in der Union schafft;</w:t>
      </w:r>
    </w:p>
    <w:bookmarkEnd w:id="15"/>
    <w:p w14:paraId="64E0C2FE" w14:textId="2D32CAB8" w:rsidR="00E365E1" w:rsidRPr="00F7500D" w:rsidRDefault="008568F5" w:rsidP="00F73A43">
      <w:pPr>
        <w:spacing w:after="240"/>
        <w:ind w:left="567" w:hanging="567"/>
      </w:pPr>
      <w:r w:rsidRPr="00D078A0">
        <w:t>7.</w:t>
      </w:r>
      <w:r w:rsidRPr="00D078A0">
        <w:tab/>
        <w:t xml:space="preserve">beauftragt seine Präsidentin, diese Entschließung dem Rat und der Kommission sowie </w:t>
      </w:r>
      <w:r w:rsidRPr="00D078A0">
        <w:lastRenderedPageBreak/>
        <w:t xml:space="preserve">den Regierungen und Parlamenten der Mitgliedstaaten </w:t>
      </w:r>
      <w:r w:rsidR="00F7500D" w:rsidRPr="00D078A0">
        <w:t>zu übermitteln.</w:t>
      </w:r>
    </w:p>
    <w:sectPr w:rsidR="00E365E1" w:rsidRPr="00F7500D" w:rsidSect="00F750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D2CB6" w14:textId="77777777" w:rsidR="008E651F" w:rsidRPr="00F7500D" w:rsidRDefault="008E651F">
      <w:r w:rsidRPr="00F7500D">
        <w:separator/>
      </w:r>
    </w:p>
  </w:endnote>
  <w:endnote w:type="continuationSeparator" w:id="0">
    <w:p w14:paraId="43C0F131" w14:textId="77777777" w:rsidR="008E651F" w:rsidRPr="00F7500D" w:rsidRDefault="008E651F">
      <w:r w:rsidRPr="00F7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F3698" w14:textId="77777777" w:rsidR="00064002" w:rsidRPr="00F750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C268" w14:textId="77777777" w:rsidR="00064002" w:rsidRPr="00F750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93804" w14:textId="77777777" w:rsidR="00064002" w:rsidRPr="00F750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C2C56" w14:textId="77777777" w:rsidR="008E651F" w:rsidRPr="00F7500D" w:rsidRDefault="008E651F">
      <w:r w:rsidRPr="00F7500D">
        <w:separator/>
      </w:r>
    </w:p>
  </w:footnote>
  <w:footnote w:type="continuationSeparator" w:id="0">
    <w:p w14:paraId="2B7FA374" w14:textId="77777777" w:rsidR="008E651F" w:rsidRPr="00F7500D" w:rsidRDefault="008E651F">
      <w:r w:rsidRPr="00F7500D">
        <w:continuationSeparator/>
      </w:r>
    </w:p>
  </w:footnote>
  <w:footnote w:id="1">
    <w:p w14:paraId="65981E58" w14:textId="44D68D61"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proofErr w:type="spellStart"/>
      <w:r w:rsidRPr="00F7500D">
        <w:rPr>
          <w:sz w:val="24"/>
          <w:lang w:val="de-DE"/>
        </w:rPr>
        <w:t>ABl.</w:t>
      </w:r>
      <w:proofErr w:type="spellEnd"/>
      <w:r w:rsidRPr="00F7500D">
        <w:rPr>
          <w:sz w:val="24"/>
          <w:lang w:val="de-DE"/>
        </w:rPr>
        <w:t xml:space="preserve"> L 268 vom 18.10.2003, S. 1, ELI: </w:t>
      </w:r>
      <w:hyperlink r:id="rId1" w:history="1">
        <w:r w:rsidRPr="00F7500D">
          <w:rPr>
            <w:rStyle w:val="Hyperlink"/>
            <w:sz w:val="24"/>
            <w:lang w:val="de-DE"/>
          </w:rPr>
          <w:t>https://eur-lex.europa.eu/eli/reg/2003/1829/oj</w:t>
        </w:r>
      </w:hyperlink>
      <w:r w:rsidRPr="00F7500D">
        <w:rPr>
          <w:sz w:val="24"/>
          <w:lang w:val="de-DE"/>
        </w:rPr>
        <w:t xml:space="preserve"> .</w:t>
      </w:r>
    </w:p>
  </w:footnote>
  <w:footnote w:id="2">
    <w:p w14:paraId="17D0FF19" w14:textId="75A97C20"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proofErr w:type="spellStart"/>
      <w:r w:rsidRPr="00F7500D">
        <w:rPr>
          <w:sz w:val="24"/>
          <w:lang w:val="de-DE"/>
        </w:rPr>
        <w:t>ABl.</w:t>
      </w:r>
      <w:proofErr w:type="spellEnd"/>
      <w:r w:rsidRPr="00F7500D">
        <w:rPr>
          <w:sz w:val="24"/>
          <w:lang w:val="de-DE"/>
        </w:rPr>
        <w:t xml:space="preserve"> L 55 vom 28.2.2011, S. 13, ELI: </w:t>
      </w:r>
      <w:hyperlink r:id="rId2" w:history="1">
        <w:r w:rsidRPr="00F7500D">
          <w:rPr>
            <w:rStyle w:val="Hyperlink"/>
            <w:sz w:val="24"/>
            <w:lang w:val="de-DE"/>
          </w:rPr>
          <w:t>http://data.europa.eu/eli/reg/2011/182/oj</w:t>
        </w:r>
      </w:hyperlink>
      <w:r w:rsidRPr="00F7500D">
        <w:rPr>
          <w:sz w:val="24"/>
          <w:lang w:val="de-DE"/>
        </w:rPr>
        <w:t>.</w:t>
      </w:r>
    </w:p>
  </w:footnote>
  <w:footnote w:id="3">
    <w:p w14:paraId="47D70F7D" w14:textId="68CE8E86" w:rsidR="008568F5" w:rsidRPr="00F7500D" w:rsidRDefault="008568F5" w:rsidP="00F7500D">
      <w:pPr>
        <w:pStyle w:val="FootnoteText"/>
        <w:ind w:left="567" w:hanging="567"/>
        <w:rPr>
          <w:sz w:val="24"/>
          <w:lang w:val="de-DE"/>
        </w:rPr>
      </w:pPr>
      <w:r w:rsidRPr="00F7500D">
        <w:rPr>
          <w:sz w:val="24"/>
          <w:vertAlign w:val="superscript"/>
          <w:lang w:val="de-DE"/>
        </w:rPr>
        <w:footnoteRef/>
      </w:r>
      <w:bookmarkStart w:id="8" w:name="_Hlk167202528"/>
      <w:r w:rsidR="00F7500D" w:rsidRPr="00F7500D">
        <w:rPr>
          <w:sz w:val="24"/>
          <w:lang w:val="de-DE"/>
        </w:rPr>
        <w:t xml:space="preserve"> </w:t>
      </w:r>
      <w:r w:rsidR="00F7500D" w:rsidRPr="00F7500D">
        <w:rPr>
          <w:sz w:val="24"/>
          <w:lang w:val="de-DE"/>
        </w:rPr>
        <w:tab/>
      </w:r>
      <w:r w:rsidRPr="00F7500D">
        <w:rPr>
          <w:sz w:val="24"/>
          <w:lang w:val="de-DE"/>
        </w:rPr>
        <w:t>Wissenschaftliches Gutachten des Gremiums der EFSA für genetisch veränderte Organismen zur Bewertung von genetisch veränderter Baumwolle der Sorte GHB614 × LLCotton25 zur Erneuerung der Zulassung gemäß der Verordnung (EG) Nr. 1829/2003 (Dossier GMFF-2024-21890), EFSA Journal, 2025;23(8</w:t>
      </w:r>
      <w:proofErr w:type="gramStart"/>
      <w:r w:rsidRPr="00F7500D">
        <w:rPr>
          <w:sz w:val="24"/>
          <w:lang w:val="de-DE"/>
        </w:rPr>
        <w:t>):e</w:t>
      </w:r>
      <w:proofErr w:type="gramEnd"/>
      <w:r w:rsidRPr="00F7500D">
        <w:rPr>
          <w:sz w:val="24"/>
          <w:lang w:val="de-DE"/>
        </w:rPr>
        <w:t>9572</w:t>
      </w:r>
      <w:bookmarkEnd w:id="8"/>
      <w:r w:rsidRPr="00F7500D">
        <w:rPr>
          <w:sz w:val="24"/>
          <w:lang w:val="de-DE"/>
        </w:rPr>
        <w:t xml:space="preserve">, </w:t>
      </w:r>
      <w:hyperlink r:id="rId3" w:history="1">
        <w:r w:rsidRPr="00F7500D">
          <w:rPr>
            <w:rStyle w:val="Hyperlink"/>
            <w:sz w:val="24"/>
            <w:lang w:val="de-DE"/>
          </w:rPr>
          <w:t>https://doi.org/10.2903/j.efsa.2025.9572</w:t>
        </w:r>
      </w:hyperlink>
      <w:r w:rsidRPr="00F7500D">
        <w:rPr>
          <w:sz w:val="24"/>
          <w:lang w:val="de-DE"/>
        </w:rPr>
        <w:t xml:space="preserve">. </w:t>
      </w:r>
    </w:p>
  </w:footnote>
  <w:footnote w:id="4">
    <w:p w14:paraId="207A0B19" w14:textId="504462B2" w:rsidR="008568F5" w:rsidRPr="00F7500D" w:rsidRDefault="008568F5" w:rsidP="00F7500D">
      <w:pPr>
        <w:pStyle w:val="FootnoteText"/>
        <w:ind w:left="567" w:hanging="567"/>
        <w:rPr>
          <w:color w:val="000000" w:themeColor="text1"/>
          <w:sz w:val="24"/>
          <w:vertAlign w:val="superscript"/>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In seiner achten Wahlperiode nahm das Europäische Parlament 36 Entschließungen und in seiner neunten Wahlperiode 38 Entschließungen an, in denen Einwände gegen die Zulassung von GVO erhoben wurden.</w:t>
      </w:r>
      <w:r w:rsidRPr="00F7500D">
        <w:rPr>
          <w:color w:val="000000" w:themeColor="text1"/>
          <w:sz w:val="24"/>
          <w:lang w:val="de-DE"/>
        </w:rPr>
        <w:t xml:space="preserve"> Zudem hat das Parlament in der zehnten Wahlperiode die folgenden Entschließungen angenommen:</w:t>
      </w:r>
    </w:p>
    <w:p w14:paraId="05088C03" w14:textId="77F774AF"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C/2025/1797, 4.4.2025, ELI: </w:t>
      </w:r>
      <w:hyperlink r:id="rId4" w:history="1">
        <w:r w:rsidR="008568F5" w:rsidRPr="00F7500D">
          <w:rPr>
            <w:rStyle w:val="Hyperlink"/>
            <w:sz w:val="24"/>
            <w:lang w:val="de-DE"/>
          </w:rPr>
          <w:t>http://data.europa.eu/eli/C/2025/1797/oj</w:t>
        </w:r>
      </w:hyperlink>
      <w:r w:rsidR="008568F5" w:rsidRPr="00F7500D">
        <w:rPr>
          <w:color w:val="000000" w:themeColor="text1"/>
          <w:sz w:val="24"/>
          <w:lang w:val="de-DE"/>
        </w:rPr>
        <w:t>);</w:t>
      </w:r>
    </w:p>
    <w:p w14:paraId="33EFFEF8" w14:textId="39BFE22D" w:rsidR="008568F5" w:rsidRPr="00F7500D" w:rsidRDefault="00F7500D" w:rsidP="00F7500D">
      <w:pPr>
        <w:pStyle w:val="FootnoteText"/>
        <w:keepN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xml:space="preserve"> C, C/2025/1798, 4.4.2025, ELI: </w:t>
      </w:r>
      <w:hyperlink r:id="rId5" w:history="1">
        <w:r w:rsidR="008568F5" w:rsidRPr="00F7500D">
          <w:rPr>
            <w:rStyle w:val="Hyperlink"/>
            <w:sz w:val="24"/>
            <w:lang w:val="de-DE"/>
          </w:rPr>
          <w:t>http://data.europa.eu/eli/C/2025/1798/oj</w:t>
        </w:r>
      </w:hyperlink>
      <w:r w:rsidR="008568F5" w:rsidRPr="00F7500D">
        <w:rPr>
          <w:color w:val="000000" w:themeColor="text1"/>
          <w:sz w:val="24"/>
          <w:lang w:val="de-DE"/>
        </w:rPr>
        <w:t>);</w:t>
      </w:r>
    </w:p>
    <w:p w14:paraId="19154C8F" w14:textId="7A1F2347"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C/2025/1799, 4.4.2025, ELI: </w:t>
      </w:r>
      <w:hyperlink r:id="rId6" w:history="1">
        <w:r w:rsidR="008568F5" w:rsidRPr="00F7500D">
          <w:rPr>
            <w:rStyle w:val="Hyperlink"/>
            <w:sz w:val="24"/>
            <w:lang w:val="de-DE"/>
          </w:rPr>
          <w:t>http://data.europa.eu/eli/C/2025/1799/oj</w:t>
        </w:r>
      </w:hyperlink>
      <w:r w:rsidR="008568F5" w:rsidRPr="00F7500D">
        <w:rPr>
          <w:color w:val="000000" w:themeColor="text1"/>
          <w:sz w:val="24"/>
          <w:lang w:val="de-DE"/>
        </w:rPr>
        <w:t>);</w:t>
      </w:r>
    </w:p>
    <w:p w14:paraId="6126C2F8" w14:textId="70420605"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C/2025/1800, 4.4.2025, ELI: </w:t>
      </w:r>
      <w:hyperlink r:id="rId7" w:history="1">
        <w:r w:rsidR="008568F5" w:rsidRPr="00F7500D">
          <w:rPr>
            <w:rStyle w:val="Hyperlink"/>
            <w:sz w:val="24"/>
            <w:lang w:val="de-DE"/>
          </w:rPr>
          <w:t>http://data.europa.eu/eli/C/2025/1800/oj</w:t>
        </w:r>
      </w:hyperlink>
      <w:r w:rsidR="008568F5" w:rsidRPr="00F7500D">
        <w:rPr>
          <w:color w:val="000000" w:themeColor="text1"/>
          <w:sz w:val="24"/>
          <w:lang w:val="de-DE"/>
        </w:rPr>
        <w:t>);</w:t>
      </w:r>
    </w:p>
    <w:p w14:paraId="271286B4" w14:textId="54E27239"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C/2025/1801, 4.4.2025, ELI: </w:t>
      </w:r>
      <w:hyperlink r:id="rId8" w:history="1">
        <w:r w:rsidR="008568F5" w:rsidRPr="00F7500D">
          <w:rPr>
            <w:rStyle w:val="Hyperlink"/>
            <w:sz w:val="24"/>
            <w:lang w:val="de-DE"/>
          </w:rPr>
          <w:t>http://data.europa.eu/eli/C/2025/1801/oj</w:t>
        </w:r>
      </w:hyperlink>
      <w:r w:rsidR="008568F5" w:rsidRPr="00F7500D">
        <w:rPr>
          <w:color w:val="000000" w:themeColor="text1"/>
          <w:sz w:val="24"/>
          <w:lang w:val="de-DE"/>
        </w:rPr>
        <w:t>);</w:t>
      </w:r>
    </w:p>
    <w:p w14:paraId="0CC65C5E" w14:textId="0027C8DF"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(EU) 2024/1826 der Kommission zur Zulassung des Inverkehrbringens von Erzeugnissen, die genetisch veränderten Mais der Sorte DP23211 enthalten, aus ihm bestehen oder aus ihm hergestellt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C/2025/1802, 4.4.2025, ELI: </w:t>
      </w:r>
      <w:hyperlink r:id="rId9" w:history="1">
        <w:r w:rsidR="008568F5" w:rsidRPr="00F7500D">
          <w:rPr>
            <w:rStyle w:val="Hyperlink"/>
            <w:sz w:val="24"/>
            <w:lang w:val="de-DE"/>
          </w:rPr>
          <w:t>http://data.europa.eu/eli/C/2025/1802/oj</w:t>
        </w:r>
      </w:hyperlink>
      <w:r w:rsidR="008568F5" w:rsidRPr="00F7500D">
        <w:rPr>
          <w:color w:val="000000" w:themeColor="text1"/>
          <w:sz w:val="24"/>
          <w:lang w:val="de-DE"/>
        </w:rPr>
        <w:t>);</w:t>
      </w:r>
    </w:p>
    <w:p w14:paraId="30D245BC" w14:textId="0AAB4A67"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C/2025/1803, 4.4.2025, ELI: </w:t>
      </w:r>
      <w:hyperlink r:id="rId10" w:history="1">
        <w:r w:rsidR="008568F5" w:rsidRPr="00F7500D">
          <w:rPr>
            <w:rStyle w:val="Hyperlink"/>
            <w:sz w:val="24"/>
            <w:lang w:val="de-DE"/>
          </w:rPr>
          <w:t>http://data.europa.eu/eli/C/2025/1803/oj</w:t>
        </w:r>
      </w:hyperlink>
      <w:r w:rsidR="008568F5" w:rsidRPr="00F7500D">
        <w:rPr>
          <w:color w:val="000000" w:themeColor="text1"/>
          <w:sz w:val="24"/>
          <w:lang w:val="de-DE"/>
        </w:rPr>
        <w:t>);</w:t>
      </w:r>
    </w:p>
    <w:p w14:paraId="0DCA10FF" w14:textId="307A5D67" w:rsidR="008568F5" w:rsidRPr="00F7500D" w:rsidRDefault="00F7500D" w:rsidP="00F7500D">
      <w:pPr>
        <w:pStyle w:val="FootnoteText"/>
        <w:ind w:left="567" w:hanging="567"/>
        <w:rPr>
          <w:color w:val="000000" w:themeColor="text1"/>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008568F5" w:rsidRPr="00F7500D">
        <w:rPr>
          <w:color w:val="000000" w:themeColor="text1"/>
          <w:sz w:val="24"/>
          <w:lang w:val="de-DE"/>
        </w:rPr>
        <w:t>ABl.</w:t>
      </w:r>
      <w:proofErr w:type="spellEnd"/>
      <w:r w:rsidR="008568F5" w:rsidRPr="00F7500D">
        <w:rPr>
          <w:color w:val="000000" w:themeColor="text1"/>
          <w:sz w:val="24"/>
          <w:lang w:val="de-DE"/>
        </w:rPr>
        <w:t> C, C/2025/1804, 4.4.2025, ELI: </w:t>
      </w:r>
      <w:hyperlink r:id="rId11" w:history="1">
        <w:r w:rsidR="008568F5" w:rsidRPr="00F7500D">
          <w:rPr>
            <w:rStyle w:val="Hyperlink"/>
            <w:sz w:val="24"/>
            <w:lang w:val="de-DE"/>
          </w:rPr>
          <w:t>http://data.europa.eu/eli/C/2025/1804/oj</w:t>
        </w:r>
      </w:hyperlink>
      <w:r w:rsidR="008568F5" w:rsidRPr="00F7500D">
        <w:rPr>
          <w:color w:val="000000" w:themeColor="text1"/>
          <w:sz w:val="24"/>
          <w:lang w:val="de-DE"/>
        </w:rPr>
        <w:t>);</w:t>
      </w:r>
    </w:p>
    <w:p w14:paraId="1BFAB5FE" w14:textId="6DBC0481" w:rsidR="008568F5" w:rsidRPr="00F7500D" w:rsidRDefault="00F7500D" w:rsidP="00F7500D">
      <w:pPr>
        <w:pStyle w:val="FootnoteText"/>
        <w:ind w:left="567" w:hanging="567"/>
        <w:rPr>
          <w:sz w:val="24"/>
          <w:vertAlign w:val="superscript"/>
          <w:lang w:val="de-DE"/>
        </w:rPr>
      </w:pPr>
      <w:r w:rsidRPr="00F7500D">
        <w:rPr>
          <w:color w:val="000000" w:themeColor="text1"/>
          <w:sz w:val="24"/>
          <w:lang w:val="de-DE"/>
        </w:rPr>
        <w:t xml:space="preserve"> </w:t>
      </w:r>
      <w:r w:rsidRPr="00F7500D">
        <w:rPr>
          <w:color w:val="000000" w:themeColor="text1"/>
          <w:sz w:val="24"/>
          <w:lang w:val="de-DE"/>
        </w:rPr>
        <w:tab/>
      </w:r>
      <w:r w:rsidR="008568F5" w:rsidRPr="00F7500D">
        <w:rPr>
          <w:color w:val="000000" w:themeColor="text1"/>
          <w:sz w:val="24"/>
          <w:lang w:val="de-DE"/>
        </w:rPr>
        <w:t>–</w:t>
      </w:r>
      <w:r w:rsidR="008568F5" w:rsidRPr="00F7500D">
        <w:rPr>
          <w:color w:val="000000" w:themeColor="text1"/>
          <w:sz w:val="24"/>
          <w:lang w:val="de-DE"/>
        </w:rPr>
        <w:tab/>
      </w:r>
      <w:r w:rsidR="008568F5" w:rsidRPr="00F7500D">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proofErr w:type="spellStart"/>
      <w:r w:rsidR="008568F5" w:rsidRPr="00F7500D">
        <w:rPr>
          <w:sz w:val="24"/>
          <w:lang w:val="de-DE"/>
        </w:rPr>
        <w:t>ABl.</w:t>
      </w:r>
      <w:proofErr w:type="spellEnd"/>
      <w:r w:rsidR="008568F5" w:rsidRPr="00F7500D">
        <w:rPr>
          <w:sz w:val="24"/>
          <w:lang w:val="de-DE"/>
        </w:rPr>
        <w:t> C, C/2025/2246, 29.4.2025, ELI: </w:t>
      </w:r>
      <w:hyperlink r:id="rId12" w:tooltip="Ermöglicht den Zugang zu diesem Dokument über die entsprechende ELI-URL." w:history="1">
        <w:r w:rsidR="008568F5" w:rsidRPr="00F7500D">
          <w:rPr>
            <w:rStyle w:val="Hyperlink"/>
            <w:sz w:val="24"/>
            <w:lang w:val="de-DE"/>
          </w:rPr>
          <w:t>http://data.europa.eu/eli/C/2025/2246/oj</w:t>
        </w:r>
      </w:hyperlink>
      <w:r w:rsidR="008568F5" w:rsidRPr="00F7500D">
        <w:rPr>
          <w:sz w:val="24"/>
          <w:lang w:val="de-DE"/>
        </w:rPr>
        <w:t>);</w:t>
      </w:r>
    </w:p>
    <w:p w14:paraId="7C24A351" w14:textId="33B7DD1A"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proofErr w:type="spellStart"/>
      <w:r w:rsidR="008568F5" w:rsidRPr="00F7500D">
        <w:rPr>
          <w:sz w:val="24"/>
          <w:lang w:val="de-DE"/>
        </w:rPr>
        <w:t>ABl.</w:t>
      </w:r>
      <w:proofErr w:type="spellEnd"/>
      <w:r w:rsidR="008568F5" w:rsidRPr="00F7500D">
        <w:rPr>
          <w:sz w:val="24"/>
          <w:lang w:val="de-DE"/>
        </w:rPr>
        <w:t> C, C/2025/2247, 29.4.2025, ELI: </w:t>
      </w:r>
      <w:hyperlink r:id="rId13" w:history="1">
        <w:r w:rsidR="008568F5" w:rsidRPr="00F7500D">
          <w:rPr>
            <w:rStyle w:val="Hyperlink"/>
            <w:sz w:val="24"/>
            <w:lang w:val="de-DE"/>
          </w:rPr>
          <w:t>http://data.europa.eu/eli/C/2025/2247/oj</w:t>
        </w:r>
      </w:hyperlink>
      <w:r w:rsidR="008568F5" w:rsidRPr="00F7500D">
        <w:rPr>
          <w:sz w:val="24"/>
          <w:lang w:val="de-DE"/>
        </w:rPr>
        <w:t>);</w:t>
      </w:r>
    </w:p>
    <w:p w14:paraId="249A56A9" w14:textId="125A6EDE"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2025)0106);</w:t>
      </w:r>
    </w:p>
    <w:p w14:paraId="4FFB4B2A" w14:textId="2ED0532C"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2025)0222);</w:t>
      </w:r>
    </w:p>
    <w:p w14:paraId="767F65D1" w14:textId="5F7E5EA7"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2025)0288);</w:t>
      </w:r>
    </w:p>
    <w:p w14:paraId="107201C8" w14:textId="489112B7" w:rsidR="008568F5" w:rsidRPr="00F7500D" w:rsidRDefault="00F7500D" w:rsidP="00F7500D">
      <w:pPr>
        <w:pStyle w:val="FootnoteText"/>
        <w:keepN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2025)0289);</w:t>
      </w:r>
    </w:p>
    <w:p w14:paraId="00BB1D11" w14:textId="50D616E6"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hergestellt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2025)0290);</w:t>
      </w:r>
    </w:p>
    <w:p w14:paraId="2556CCA0" w14:textId="25241BC6"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w:t>
      </w:r>
      <w:r w:rsidR="008568F5" w:rsidRPr="00F7500D">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gewonnen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2025)0291);</w:t>
      </w:r>
    </w:p>
    <w:p w14:paraId="0DF4D97D" w14:textId="3B8648C4"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hergestellt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2025)0292);</w:t>
      </w:r>
    </w:p>
    <w:p w14:paraId="05485AB5" w14:textId="37FF0E4E" w:rsidR="008568F5" w:rsidRPr="00F7500D" w:rsidRDefault="00F7500D" w:rsidP="00F7500D">
      <w:pPr>
        <w:pStyle w:val="FootnoteText"/>
        <w:ind w:left="567" w:hanging="567"/>
        <w:rPr>
          <w:sz w:val="24"/>
          <w:vertAlign w:val="superscript"/>
          <w:lang w:val="de-DE"/>
        </w:rPr>
      </w:pPr>
      <w:r w:rsidRPr="00F7500D">
        <w:rPr>
          <w:sz w:val="24"/>
          <w:lang w:val="de-DE"/>
        </w:rPr>
        <w:t xml:space="preserve"> </w:t>
      </w:r>
      <w:r w:rsidRPr="00F7500D">
        <w:rPr>
          <w:sz w:val="24"/>
          <w:lang w:val="de-DE"/>
        </w:rPr>
        <w:tab/>
      </w:r>
      <w:r w:rsidR="008568F5" w:rsidRPr="00F7500D">
        <w:rPr>
          <w:sz w:val="24"/>
          <w:lang w:val="de-DE"/>
        </w:rPr>
        <w:t>Entschließung des Europäischen Parlaments vom 16. Dezember 2025 zu dem Entwurf eines Durchführungsbeschlusses der Kommission über die Erneuerung der Zulassung des Inverkehrbringens von Erzeugnissen, die genetisch veränderten Mais der Sorte NK603 enthalten, aus ihm bestehen oder aus ihm hergestellt werden,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w:t>
      </w:r>
      <w:proofErr w:type="gramStart"/>
      <w:r w:rsidR="008568F5" w:rsidRPr="00F7500D">
        <w:rPr>
          <w:sz w:val="24"/>
          <w:lang w:val="de-DE"/>
        </w:rPr>
        <w:t>TA(</w:t>
      </w:r>
      <w:proofErr w:type="gramEnd"/>
      <w:r w:rsidR="008568F5" w:rsidRPr="00F7500D">
        <w:rPr>
          <w:sz w:val="24"/>
          <w:lang w:val="de-DE"/>
        </w:rPr>
        <w:t>2025)0327);</w:t>
      </w:r>
    </w:p>
    <w:p w14:paraId="43CC75C2" w14:textId="492D96E8" w:rsidR="008568F5" w:rsidRPr="00F7500D" w:rsidRDefault="00F7500D" w:rsidP="00F7500D">
      <w:pPr>
        <w:pStyle w:val="FootnoteText"/>
        <w:ind w:left="567" w:hanging="567"/>
        <w:rPr>
          <w:sz w:val="24"/>
          <w:lang w:val="de-DE"/>
        </w:rPr>
      </w:pPr>
      <w:r w:rsidRPr="00F7500D">
        <w:rPr>
          <w:sz w:val="24"/>
          <w:lang w:val="de-DE"/>
        </w:rPr>
        <w:t xml:space="preserve"> </w:t>
      </w:r>
      <w:r w:rsidRPr="00F7500D">
        <w:rPr>
          <w:sz w:val="24"/>
          <w:lang w:val="de-DE"/>
        </w:rPr>
        <w:tab/>
      </w:r>
      <w:r w:rsidR="008568F5" w:rsidRPr="00F7500D">
        <w:rPr>
          <w:sz w:val="24"/>
          <w:lang w:val="de-DE"/>
        </w:rPr>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w:t>
      </w:r>
      <w:r w:rsidR="00F73A43" w:rsidRPr="00F73A43">
        <w:rPr>
          <w:sz w:val="24"/>
          <w:lang w:val="de-DE"/>
        </w:rPr>
        <w:t xml:space="preserve">Angenommene Texte, </w:t>
      </w:r>
      <w:r w:rsidR="008568F5" w:rsidRPr="00F7500D">
        <w:rPr>
          <w:sz w:val="24"/>
          <w:lang w:val="de-DE"/>
        </w:rPr>
        <w:t>P10_TA(2025)0328).</w:t>
      </w:r>
    </w:p>
  </w:footnote>
  <w:footnote w:id="5">
    <w:p w14:paraId="15CE64D0" w14:textId="45C0C6D9"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Durchführungsbeschluss (EU) 2015/690 der Kommission vom 24. April 2015 über die Zulassung des Inverkehrbringens von Erzeugnissen, die genetisch veränderte Baumwolle der Sorte GHB614 × LLCotton25 (BCS-GHØØ2-5xACS-GHØØ1-3) enthalten, aus ihr bestehen oder aus ihr gewonnen werden, gemäß der Verordnung (EG) Nr. 1829/2003 des Europäischen Parlaments und des Rates (</w:t>
      </w:r>
      <w:proofErr w:type="spellStart"/>
      <w:r w:rsidRPr="00F7500D">
        <w:rPr>
          <w:sz w:val="24"/>
          <w:lang w:val="de-DE"/>
        </w:rPr>
        <w:t>ABl.</w:t>
      </w:r>
      <w:proofErr w:type="spellEnd"/>
      <w:r w:rsidRPr="00F7500D">
        <w:rPr>
          <w:sz w:val="24"/>
          <w:lang w:val="de-DE"/>
        </w:rPr>
        <w:t> L 112 vom 30.4.2015, S. 35, ELI: </w:t>
      </w:r>
      <w:hyperlink r:id="rId14" w:history="1">
        <w:r w:rsidRPr="00F7500D">
          <w:rPr>
            <w:rStyle w:val="Hyperlink"/>
            <w:sz w:val="24"/>
            <w:lang w:val="de-DE"/>
          </w:rPr>
          <w:t>http://data.europa.eu/eli/dec_impl/2015/690/oj</w:t>
        </w:r>
      </w:hyperlink>
      <w:r w:rsidRPr="00F7500D">
        <w:rPr>
          <w:sz w:val="24"/>
          <w:lang w:val="de-DE"/>
        </w:rPr>
        <w:t>).</w:t>
      </w:r>
    </w:p>
  </w:footnote>
  <w:footnote w:id="6">
    <w:p w14:paraId="29FE4CBE" w14:textId="3210E832"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 xml:space="preserve">Wissenschaftliches Gutachten des Gremiums der EFSA für genetisch veränderte Organismen zu dem Antrag (EFSA-GMO-NL-2010-77) auf Genehmigung des Inverkehrbringens von </w:t>
      </w:r>
      <w:proofErr w:type="spellStart"/>
      <w:r w:rsidRPr="00F7500D">
        <w:rPr>
          <w:sz w:val="24"/>
          <w:lang w:val="de-DE"/>
        </w:rPr>
        <w:t>herbizidtoleranter</w:t>
      </w:r>
      <w:proofErr w:type="spellEnd"/>
      <w:r w:rsidRPr="00F7500D">
        <w:rPr>
          <w:sz w:val="24"/>
          <w:lang w:val="de-DE"/>
        </w:rPr>
        <w:t xml:space="preserve"> genetisch veränderter Baumwolle der Sorte GHB614 × LLCotton25 zur Verwendung als Lebens- und Futtermittel, Einfuhr und Verarbeitung gemäß der Verordnung (EG) Nr. 1829/2003 von Bayer CropScience AG, EFSA Journal, 2014;12(5):3680, </w:t>
      </w:r>
      <w:hyperlink r:id="rId15" w:history="1">
        <w:r w:rsidRPr="00F7500D">
          <w:rPr>
            <w:rStyle w:val="Hyperlink"/>
            <w:sz w:val="24"/>
            <w:lang w:val="de-DE"/>
          </w:rPr>
          <w:t>https://doi.org/10.2903/j.efsa.2014.3680</w:t>
        </w:r>
      </w:hyperlink>
      <w:r w:rsidRPr="00F7500D">
        <w:rPr>
          <w:sz w:val="24"/>
          <w:lang w:val="de-DE"/>
        </w:rPr>
        <w:t xml:space="preserve">. </w:t>
      </w:r>
    </w:p>
  </w:footnote>
  <w:footnote w:id="7">
    <w:p w14:paraId="1BD2CBF3" w14:textId="62D03B02"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shd w:val="clear" w:color="auto" w:fill="FFFFFF"/>
          <w:lang w:val="de-DE"/>
        </w:rPr>
        <w:t xml:space="preserve"> </w:t>
      </w:r>
      <w:r w:rsidR="00F7500D" w:rsidRPr="00F7500D">
        <w:rPr>
          <w:sz w:val="24"/>
          <w:shd w:val="clear" w:color="auto" w:fill="FFFFFF"/>
          <w:lang w:val="de-DE"/>
        </w:rPr>
        <w:tab/>
      </w:r>
      <w:r w:rsidRPr="00F7500D">
        <w:rPr>
          <w:sz w:val="24"/>
          <w:shd w:val="clear" w:color="auto" w:fill="FFFFFF"/>
          <w:lang w:val="de-DE"/>
        </w:rPr>
        <w:t>Siehe z. B. Bonny, S., „</w:t>
      </w:r>
      <w:proofErr w:type="spellStart"/>
      <w:r w:rsidRPr="00F7500D">
        <w:rPr>
          <w:sz w:val="24"/>
          <w:shd w:val="clear" w:color="auto" w:fill="FFFFFF"/>
          <w:lang w:val="de-DE"/>
        </w:rPr>
        <w:t>Genetically</w:t>
      </w:r>
      <w:proofErr w:type="spellEnd"/>
      <w:r w:rsidRPr="00F7500D">
        <w:rPr>
          <w:sz w:val="24"/>
          <w:shd w:val="clear" w:color="auto" w:fill="FFFFFF"/>
          <w:lang w:val="de-DE"/>
        </w:rPr>
        <w:t xml:space="preserve"> </w:t>
      </w:r>
      <w:proofErr w:type="spellStart"/>
      <w:r w:rsidRPr="00F7500D">
        <w:rPr>
          <w:sz w:val="24"/>
          <w:shd w:val="clear" w:color="auto" w:fill="FFFFFF"/>
          <w:lang w:val="de-DE"/>
        </w:rPr>
        <w:t>Modified</w:t>
      </w:r>
      <w:proofErr w:type="spellEnd"/>
      <w:r w:rsidRPr="00F7500D">
        <w:rPr>
          <w:sz w:val="24"/>
          <w:shd w:val="clear" w:color="auto" w:fill="FFFFFF"/>
          <w:lang w:val="de-DE"/>
        </w:rPr>
        <w:t xml:space="preserve"> </w:t>
      </w:r>
      <w:proofErr w:type="spellStart"/>
      <w:r w:rsidRPr="00F7500D">
        <w:rPr>
          <w:sz w:val="24"/>
          <w:shd w:val="clear" w:color="auto" w:fill="FFFFFF"/>
          <w:lang w:val="de-DE"/>
        </w:rPr>
        <w:t>Herbicide</w:t>
      </w:r>
      <w:proofErr w:type="spellEnd"/>
      <w:r w:rsidRPr="00F7500D">
        <w:rPr>
          <w:sz w:val="24"/>
          <w:shd w:val="clear" w:color="auto" w:fill="FFFFFF"/>
          <w:lang w:val="de-DE"/>
        </w:rPr>
        <w:t xml:space="preserve">-Tolerant </w:t>
      </w:r>
      <w:proofErr w:type="spellStart"/>
      <w:r w:rsidRPr="00F7500D">
        <w:rPr>
          <w:sz w:val="24"/>
          <w:shd w:val="clear" w:color="auto" w:fill="FFFFFF"/>
          <w:lang w:val="de-DE"/>
        </w:rPr>
        <w:t>Crops</w:t>
      </w:r>
      <w:proofErr w:type="spellEnd"/>
      <w:r w:rsidRPr="00F7500D">
        <w:rPr>
          <w:sz w:val="24"/>
          <w:shd w:val="clear" w:color="auto" w:fill="FFFFFF"/>
          <w:lang w:val="de-DE"/>
        </w:rPr>
        <w:t xml:space="preserve">, Weeds, and </w:t>
      </w:r>
      <w:proofErr w:type="spellStart"/>
      <w:r w:rsidRPr="00F7500D">
        <w:rPr>
          <w:sz w:val="24"/>
          <w:shd w:val="clear" w:color="auto" w:fill="FFFFFF"/>
          <w:lang w:val="de-DE"/>
        </w:rPr>
        <w:t>Herbicides</w:t>
      </w:r>
      <w:proofErr w:type="spellEnd"/>
      <w:r w:rsidRPr="00F7500D">
        <w:rPr>
          <w:sz w:val="24"/>
          <w:shd w:val="clear" w:color="auto" w:fill="FFFFFF"/>
          <w:lang w:val="de-DE"/>
        </w:rPr>
        <w:t xml:space="preserve">: </w:t>
      </w:r>
      <w:proofErr w:type="spellStart"/>
      <w:r w:rsidRPr="00F7500D">
        <w:rPr>
          <w:sz w:val="24"/>
          <w:shd w:val="clear" w:color="auto" w:fill="FFFFFF"/>
          <w:lang w:val="de-DE"/>
        </w:rPr>
        <w:t>Overview</w:t>
      </w:r>
      <w:proofErr w:type="spellEnd"/>
      <w:r w:rsidRPr="00F7500D">
        <w:rPr>
          <w:sz w:val="24"/>
          <w:shd w:val="clear" w:color="auto" w:fill="FFFFFF"/>
          <w:lang w:val="de-DE"/>
        </w:rPr>
        <w:t xml:space="preserve"> and Impact“ (Genetisch veränderte </w:t>
      </w:r>
      <w:proofErr w:type="spellStart"/>
      <w:r w:rsidRPr="00F7500D">
        <w:rPr>
          <w:sz w:val="24"/>
          <w:shd w:val="clear" w:color="auto" w:fill="FFFFFF"/>
          <w:lang w:val="de-DE"/>
        </w:rPr>
        <w:t>herbizidresistente</w:t>
      </w:r>
      <w:proofErr w:type="spellEnd"/>
      <w:r w:rsidRPr="00F7500D">
        <w:rPr>
          <w:sz w:val="24"/>
          <w:shd w:val="clear" w:color="auto" w:fill="FFFFFF"/>
          <w:lang w:val="de-DE"/>
        </w:rPr>
        <w:t xml:space="preserve"> Kulturen, Unkräuter und Herbizide: Überblick und Auswirkungen), Environmental Management, Januar 2016, 57(1), S. 31-48, </w:t>
      </w:r>
      <w:hyperlink r:id="rId16" w:history="1">
        <w:r w:rsidRPr="00F7500D">
          <w:rPr>
            <w:rStyle w:val="Hyperlink"/>
            <w:sz w:val="24"/>
            <w:shd w:val="clear" w:color="auto" w:fill="FFFFFF"/>
            <w:lang w:val="de-DE"/>
          </w:rPr>
          <w:t>https://doi.org/10.1007/s00267-015-0589-7</w:t>
        </w:r>
      </w:hyperlink>
      <w:r w:rsidRPr="00F7500D">
        <w:rPr>
          <w:sz w:val="24"/>
          <w:shd w:val="clear" w:color="auto" w:fill="FFFFFF"/>
          <w:lang w:val="de-DE"/>
        </w:rPr>
        <w:t xml:space="preserve">, und </w:t>
      </w:r>
      <w:proofErr w:type="spellStart"/>
      <w:r w:rsidRPr="00F7500D">
        <w:rPr>
          <w:sz w:val="24"/>
          <w:shd w:val="clear" w:color="auto" w:fill="FFFFFF"/>
          <w:lang w:val="de-DE"/>
        </w:rPr>
        <w:t>Benbrook</w:t>
      </w:r>
      <w:proofErr w:type="spellEnd"/>
      <w:r w:rsidRPr="00F7500D">
        <w:rPr>
          <w:sz w:val="24"/>
          <w:shd w:val="clear" w:color="auto" w:fill="FFFFFF"/>
          <w:lang w:val="de-DE"/>
        </w:rPr>
        <w:t xml:space="preserve">, C. M.: „Impacts </w:t>
      </w:r>
      <w:proofErr w:type="spellStart"/>
      <w:r w:rsidRPr="00F7500D">
        <w:rPr>
          <w:sz w:val="24"/>
          <w:shd w:val="clear" w:color="auto" w:fill="FFFFFF"/>
          <w:lang w:val="de-DE"/>
        </w:rPr>
        <w:t>of</w:t>
      </w:r>
      <w:proofErr w:type="spellEnd"/>
      <w:r w:rsidRPr="00F7500D">
        <w:rPr>
          <w:sz w:val="24"/>
          <w:shd w:val="clear" w:color="auto" w:fill="FFFFFF"/>
          <w:lang w:val="de-DE"/>
        </w:rPr>
        <w:t xml:space="preserve"> </w:t>
      </w:r>
      <w:proofErr w:type="spellStart"/>
      <w:r w:rsidRPr="00F7500D">
        <w:rPr>
          <w:sz w:val="24"/>
          <w:shd w:val="clear" w:color="auto" w:fill="FFFFFF"/>
          <w:lang w:val="de-DE"/>
        </w:rPr>
        <w:t>genetically</w:t>
      </w:r>
      <w:proofErr w:type="spellEnd"/>
      <w:r w:rsidRPr="00F7500D">
        <w:rPr>
          <w:sz w:val="24"/>
          <w:shd w:val="clear" w:color="auto" w:fill="FFFFFF"/>
          <w:lang w:val="de-DE"/>
        </w:rPr>
        <w:t xml:space="preserve"> </w:t>
      </w:r>
      <w:proofErr w:type="spellStart"/>
      <w:r w:rsidRPr="00F7500D">
        <w:rPr>
          <w:sz w:val="24"/>
          <w:shd w:val="clear" w:color="auto" w:fill="FFFFFF"/>
          <w:lang w:val="de-DE"/>
        </w:rPr>
        <w:t>engineered</w:t>
      </w:r>
      <w:proofErr w:type="spellEnd"/>
      <w:r w:rsidRPr="00F7500D">
        <w:rPr>
          <w:sz w:val="24"/>
          <w:shd w:val="clear" w:color="auto" w:fill="FFFFFF"/>
          <w:lang w:val="de-DE"/>
        </w:rPr>
        <w:t xml:space="preserve"> </w:t>
      </w:r>
      <w:proofErr w:type="spellStart"/>
      <w:r w:rsidRPr="00F7500D">
        <w:rPr>
          <w:sz w:val="24"/>
          <w:shd w:val="clear" w:color="auto" w:fill="FFFFFF"/>
          <w:lang w:val="de-DE"/>
        </w:rPr>
        <w:t>crops</w:t>
      </w:r>
      <w:proofErr w:type="spellEnd"/>
      <w:r w:rsidRPr="00F7500D">
        <w:rPr>
          <w:sz w:val="24"/>
          <w:shd w:val="clear" w:color="auto" w:fill="FFFFFF"/>
          <w:lang w:val="de-DE"/>
        </w:rPr>
        <w:t xml:space="preserve"> on </w:t>
      </w:r>
      <w:proofErr w:type="spellStart"/>
      <w:r w:rsidRPr="00F7500D">
        <w:rPr>
          <w:sz w:val="24"/>
          <w:shd w:val="clear" w:color="auto" w:fill="FFFFFF"/>
          <w:lang w:val="de-DE"/>
        </w:rPr>
        <w:t>pesticide</w:t>
      </w:r>
      <w:proofErr w:type="spellEnd"/>
      <w:r w:rsidRPr="00F7500D">
        <w:rPr>
          <w:sz w:val="24"/>
          <w:shd w:val="clear" w:color="auto" w:fill="FFFFFF"/>
          <w:lang w:val="de-DE"/>
        </w:rPr>
        <w:t xml:space="preserve"> </w:t>
      </w:r>
      <w:proofErr w:type="spellStart"/>
      <w:r w:rsidRPr="00F7500D">
        <w:rPr>
          <w:sz w:val="24"/>
          <w:shd w:val="clear" w:color="auto" w:fill="FFFFFF"/>
          <w:lang w:val="de-DE"/>
        </w:rPr>
        <w:t>use</w:t>
      </w:r>
      <w:proofErr w:type="spellEnd"/>
      <w:r w:rsidRPr="00F7500D">
        <w:rPr>
          <w:sz w:val="24"/>
          <w:shd w:val="clear" w:color="auto" w:fill="FFFFFF"/>
          <w:lang w:val="de-DE"/>
        </w:rPr>
        <w:t xml:space="preserve"> in </w:t>
      </w:r>
      <w:proofErr w:type="spellStart"/>
      <w:r w:rsidRPr="00F7500D">
        <w:rPr>
          <w:sz w:val="24"/>
          <w:shd w:val="clear" w:color="auto" w:fill="FFFFFF"/>
          <w:lang w:val="de-DE"/>
        </w:rPr>
        <w:t>the</w:t>
      </w:r>
      <w:proofErr w:type="spellEnd"/>
      <w:r w:rsidRPr="00F7500D">
        <w:rPr>
          <w:sz w:val="24"/>
          <w:shd w:val="clear" w:color="auto" w:fill="FFFFFF"/>
          <w:lang w:val="de-DE"/>
        </w:rPr>
        <w:t xml:space="preserve"> U.S. – </w:t>
      </w:r>
      <w:proofErr w:type="spellStart"/>
      <w:r w:rsidRPr="00F7500D">
        <w:rPr>
          <w:sz w:val="24"/>
          <w:shd w:val="clear" w:color="auto" w:fill="FFFFFF"/>
          <w:lang w:val="de-DE"/>
        </w:rPr>
        <w:t>the</w:t>
      </w:r>
      <w:proofErr w:type="spellEnd"/>
      <w:r w:rsidRPr="00F7500D">
        <w:rPr>
          <w:sz w:val="24"/>
          <w:shd w:val="clear" w:color="auto" w:fill="FFFFFF"/>
          <w:lang w:val="de-DE"/>
        </w:rPr>
        <w:t xml:space="preserve"> </w:t>
      </w:r>
      <w:proofErr w:type="spellStart"/>
      <w:r w:rsidRPr="00F7500D">
        <w:rPr>
          <w:sz w:val="24"/>
          <w:shd w:val="clear" w:color="auto" w:fill="FFFFFF"/>
          <w:lang w:val="de-DE"/>
        </w:rPr>
        <w:t>first</w:t>
      </w:r>
      <w:proofErr w:type="spellEnd"/>
      <w:r w:rsidRPr="00F7500D">
        <w:rPr>
          <w:sz w:val="24"/>
          <w:shd w:val="clear" w:color="auto" w:fill="FFFFFF"/>
          <w:lang w:val="de-DE"/>
        </w:rPr>
        <w:t xml:space="preserve"> </w:t>
      </w:r>
      <w:proofErr w:type="spellStart"/>
      <w:r w:rsidRPr="00F7500D">
        <w:rPr>
          <w:sz w:val="24"/>
          <w:shd w:val="clear" w:color="auto" w:fill="FFFFFF"/>
          <w:lang w:val="de-DE"/>
        </w:rPr>
        <w:t>sixteen</w:t>
      </w:r>
      <w:proofErr w:type="spellEnd"/>
      <w:r w:rsidRPr="00F7500D">
        <w:rPr>
          <w:sz w:val="24"/>
          <w:shd w:val="clear" w:color="auto" w:fill="FFFFFF"/>
          <w:lang w:val="de-DE"/>
        </w:rPr>
        <w:t xml:space="preserve"> </w:t>
      </w:r>
      <w:proofErr w:type="spellStart"/>
      <w:r w:rsidRPr="00F7500D">
        <w:rPr>
          <w:sz w:val="24"/>
          <w:shd w:val="clear" w:color="auto" w:fill="FFFFFF"/>
          <w:lang w:val="de-DE"/>
        </w:rPr>
        <w:t>years</w:t>
      </w:r>
      <w:proofErr w:type="spellEnd"/>
      <w:r w:rsidRPr="00F7500D">
        <w:rPr>
          <w:sz w:val="24"/>
          <w:shd w:val="clear" w:color="auto" w:fill="FFFFFF"/>
          <w:lang w:val="de-DE"/>
        </w:rPr>
        <w:t xml:space="preserve">“ (Auswirkungen von genetisch veränderten Nutzpflanzen auf den Pestizideinsatz in den USA – die ersten sechzehn Jahre), Environmental Sciences Europe, 28. September 2012, Band 24(1), </w:t>
      </w:r>
      <w:hyperlink r:id="rId17" w:history="1">
        <w:r w:rsidRPr="00F7500D">
          <w:rPr>
            <w:rStyle w:val="Hyperlink"/>
            <w:sz w:val="24"/>
            <w:shd w:val="clear" w:color="auto" w:fill="FFFFFF"/>
            <w:lang w:val="de-DE"/>
          </w:rPr>
          <w:t>https://doi.org/10.1186/2190-4715-24-24</w:t>
        </w:r>
      </w:hyperlink>
      <w:r w:rsidRPr="00F7500D">
        <w:rPr>
          <w:sz w:val="24"/>
          <w:shd w:val="clear" w:color="auto" w:fill="FFFFFF"/>
          <w:lang w:val="de-DE"/>
        </w:rPr>
        <w:t xml:space="preserve">. </w:t>
      </w:r>
    </w:p>
  </w:footnote>
  <w:footnote w:id="8">
    <w:p w14:paraId="00E6E23A" w14:textId="7161D57A"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 xml:space="preserve">Siehe z. B. </w:t>
      </w:r>
      <w:hyperlink r:id="rId18" w:history="1">
        <w:r w:rsidRPr="00F7500D">
          <w:rPr>
            <w:rStyle w:val="Hyperlink"/>
            <w:sz w:val="24"/>
            <w:lang w:val="de-DE"/>
          </w:rPr>
          <w:t>https://doi.org/10.1002/ps.8105</w:t>
        </w:r>
      </w:hyperlink>
      <w:r w:rsidRPr="00F7500D">
        <w:rPr>
          <w:sz w:val="24"/>
          <w:lang w:val="de-DE"/>
        </w:rPr>
        <w:t xml:space="preserve"> und </w:t>
      </w:r>
      <w:bookmarkStart w:id="11" w:name="_Hlk219205442"/>
      <w:r w:rsidRPr="00F7500D">
        <w:rPr>
          <w:sz w:val="24"/>
          <w:lang w:val="de-DE"/>
        </w:rPr>
        <w:fldChar w:fldCharType="begin"/>
      </w:r>
      <w:r w:rsidRPr="00F7500D">
        <w:rPr>
          <w:sz w:val="24"/>
          <w:lang w:val="de-DE"/>
        </w:rPr>
        <w:instrText>HYPERLINK "https://doi.org/10.1016/j.geoforum.2009.03.009"</w:instrText>
      </w:r>
      <w:r w:rsidRPr="00F7500D">
        <w:rPr>
          <w:sz w:val="24"/>
          <w:lang w:val="de-DE"/>
        </w:rPr>
      </w:r>
      <w:r w:rsidRPr="00F7500D">
        <w:rPr>
          <w:sz w:val="24"/>
          <w:lang w:val="de-DE"/>
        </w:rPr>
        <w:fldChar w:fldCharType="separate"/>
      </w:r>
      <w:r w:rsidRPr="00F7500D">
        <w:rPr>
          <w:rStyle w:val="Hyperlink"/>
          <w:sz w:val="24"/>
          <w:lang w:val="de-DE"/>
        </w:rPr>
        <w:t>https://doi.org/10.1016/j.geoforum.2009.03.009</w:t>
      </w:r>
      <w:r w:rsidRPr="00F7500D">
        <w:rPr>
          <w:sz w:val="24"/>
          <w:lang w:val="de-DE"/>
        </w:rPr>
        <w:fldChar w:fldCharType="end"/>
      </w:r>
      <w:bookmarkEnd w:id="11"/>
      <w:r w:rsidRPr="00F7500D">
        <w:rPr>
          <w:sz w:val="24"/>
          <w:lang w:val="de-DE"/>
        </w:rPr>
        <w:t>.</w:t>
      </w:r>
    </w:p>
  </w:footnote>
  <w:footnote w:id="9">
    <w:p w14:paraId="34818058" w14:textId="5BFCE7C6"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F7500D">
        <w:rPr>
          <w:sz w:val="24"/>
          <w:lang w:val="de-DE"/>
        </w:rPr>
        <w:t>ABl.</w:t>
      </w:r>
      <w:proofErr w:type="spellEnd"/>
      <w:r w:rsidRPr="00F7500D">
        <w:rPr>
          <w:sz w:val="24"/>
          <w:lang w:val="de-DE"/>
        </w:rPr>
        <w:t xml:space="preserve"> L 309 vom 24.11.2009, S. 1, ELI: </w:t>
      </w:r>
      <w:hyperlink r:id="rId19" w:tooltip="Ermöglicht den Zugang zu diesem Dokument über die entsprechende ELI-URL." w:history="1">
        <w:r w:rsidRPr="00F7500D">
          <w:rPr>
            <w:rStyle w:val="Hyperlink"/>
            <w:sz w:val="24"/>
            <w:lang w:val="de-DE"/>
          </w:rPr>
          <w:t>http://data.europa.eu/eli/reg/2009/1107/oj</w:t>
        </w:r>
      </w:hyperlink>
      <w:r w:rsidRPr="00F7500D">
        <w:rPr>
          <w:sz w:val="24"/>
          <w:lang w:val="de-DE"/>
        </w:rPr>
        <w:t>).</w:t>
      </w:r>
    </w:p>
  </w:footnote>
  <w:footnote w:id="10">
    <w:p w14:paraId="67258F6D" w14:textId="6CD62908"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Siehe z. B.</w:t>
      </w:r>
      <w:r w:rsidRPr="00F7500D">
        <w:rPr>
          <w:sz w:val="24"/>
          <w:lang w:val="de-DE"/>
        </w:rPr>
        <w:br/>
      </w:r>
      <w:hyperlink r:id="rId20" w:history="1">
        <w:r w:rsidRPr="00F7500D">
          <w:rPr>
            <w:rStyle w:val="Hyperlink"/>
            <w:sz w:val="24"/>
            <w:lang w:val="de-DE"/>
          </w:rPr>
          <w:t>https://doi.org/10.1016/j.mrrev.2019.02.001</w:t>
        </w:r>
      </w:hyperlink>
      <w:r w:rsidRPr="00F7500D">
        <w:rPr>
          <w:sz w:val="24"/>
          <w:lang w:val="de-DE"/>
        </w:rPr>
        <w:t>,</w:t>
      </w:r>
      <w:r w:rsidRPr="00F7500D">
        <w:rPr>
          <w:sz w:val="24"/>
          <w:lang w:val="de-DE"/>
        </w:rPr>
        <w:br/>
      </w:r>
      <w:hyperlink r:id="rId21" w:history="1">
        <w:r w:rsidRPr="00F7500D">
          <w:rPr>
            <w:rStyle w:val="Hyperlink"/>
            <w:sz w:val="24"/>
            <w:lang w:val="de-DE"/>
          </w:rPr>
          <w:t>https://doi.org/10.1093/ije/dyz017</w:t>
        </w:r>
      </w:hyperlink>
      <w:r w:rsidRPr="00F7500D">
        <w:rPr>
          <w:sz w:val="24"/>
          <w:lang w:val="de-DE"/>
        </w:rPr>
        <w:t>,</w:t>
      </w:r>
      <w:r w:rsidRPr="00F7500D">
        <w:rPr>
          <w:sz w:val="24"/>
          <w:lang w:val="de-DE"/>
        </w:rPr>
        <w:br/>
      </w:r>
      <w:hyperlink r:id="rId22" w:history="1">
        <w:r w:rsidRPr="00F7500D">
          <w:rPr>
            <w:rStyle w:val="Hyperlink"/>
            <w:sz w:val="24"/>
            <w:lang w:val="de-DE"/>
          </w:rPr>
          <w:t>https://doi.org/10.1371/journal.pone.0219610</w:t>
        </w:r>
      </w:hyperlink>
      <w:r w:rsidRPr="00F7500D">
        <w:rPr>
          <w:sz w:val="24"/>
          <w:lang w:val="de-DE"/>
        </w:rPr>
        <w:t xml:space="preserve"> und</w:t>
      </w:r>
      <w:r w:rsidRPr="00F7500D">
        <w:rPr>
          <w:sz w:val="24"/>
          <w:lang w:val="de-DE"/>
        </w:rPr>
        <w:br/>
      </w:r>
      <w:hyperlink r:id="rId23" w:history="1">
        <w:r w:rsidRPr="00F7500D">
          <w:rPr>
            <w:rStyle w:val="Hyperlink"/>
            <w:sz w:val="24"/>
            <w:lang w:val="de-DE"/>
          </w:rPr>
          <w:t>https://doi.org/10.1186/s13045-019-0767-9</w:t>
        </w:r>
      </w:hyperlink>
      <w:r w:rsidRPr="00F7500D">
        <w:rPr>
          <w:sz w:val="24"/>
          <w:lang w:val="de-DE"/>
        </w:rPr>
        <w:t>.</w:t>
      </w:r>
    </w:p>
  </w:footnote>
  <w:footnote w:id="11">
    <w:p w14:paraId="26FC3DAD" w14:textId="2FD2778B"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hyperlink r:id="rId24" w:tgtFrame="_blank" w:tooltip="Permanenter Link unter Verwendung eines digitalen Objektidentifikators" w:history="1">
        <w:r w:rsidRPr="00F7500D">
          <w:rPr>
            <w:rStyle w:val="Hyperlink"/>
            <w:sz w:val="24"/>
            <w:lang w:val="de-DE"/>
          </w:rPr>
          <w:t>https://doi.org/10.1006/rtph.1999.1371</w:t>
        </w:r>
      </w:hyperlink>
      <w:r w:rsidRPr="00F7500D">
        <w:rPr>
          <w:sz w:val="24"/>
          <w:lang w:val="de-DE"/>
        </w:rPr>
        <w:t>.</w:t>
      </w:r>
    </w:p>
  </w:footnote>
  <w:footnote w:id="12">
    <w:p w14:paraId="35D6D563" w14:textId="56681A42"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color w:val="000000" w:themeColor="text1"/>
          <w:sz w:val="24"/>
          <w:lang w:val="de-DE"/>
        </w:rPr>
        <w:t xml:space="preserve"> </w:t>
      </w:r>
      <w:r w:rsidR="00F7500D" w:rsidRPr="00F7500D">
        <w:rPr>
          <w:color w:val="000000" w:themeColor="text1"/>
          <w:sz w:val="24"/>
          <w:lang w:val="de-DE"/>
        </w:rPr>
        <w:tab/>
      </w:r>
      <w:r w:rsidRPr="00F7500D">
        <w:rPr>
          <w:color w:val="000000" w:themeColor="text1"/>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proofErr w:type="gramStart"/>
      <w:r w:rsidRPr="00F7500D">
        <w:rPr>
          <w:color w:val="000000" w:themeColor="text1"/>
          <w:sz w:val="24"/>
          <w:lang w:val="de-DE"/>
        </w:rPr>
        <w:t>2030</w:t>
      </w:r>
      <w:proofErr w:type="gramEnd"/>
      <w:r w:rsidRPr="00F7500D">
        <w:rPr>
          <w:color w:val="000000" w:themeColor="text1"/>
          <w:sz w:val="24"/>
          <w:lang w:val="de-DE"/>
        </w:rPr>
        <w:t xml:space="preserve"> um mindestens 50 % zu verringern (siehe </w:t>
      </w:r>
      <w:hyperlink r:id="rId25" w:history="1">
        <w:r w:rsidRPr="00F7500D">
          <w:rPr>
            <w:rStyle w:val="Hyperlink"/>
            <w:sz w:val="24"/>
            <w:lang w:val="de-DE"/>
          </w:rPr>
          <w:t>https://ec.europa.eu/commission/presscorner/detail/en/ip_22_7834</w:t>
        </w:r>
      </w:hyperlink>
      <w:r w:rsidRPr="00F7500D">
        <w:rPr>
          <w:sz w:val="24"/>
          <w:lang w:val="de-DE"/>
        </w:rPr>
        <w:t xml:space="preserve">). </w:t>
      </w:r>
    </w:p>
  </w:footnote>
  <w:footnote w:id="13">
    <w:p w14:paraId="0DC51202" w14:textId="2EACAE60"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hyperlink r:id="rId26" w:history="1">
        <w:r w:rsidRPr="00F7500D">
          <w:rPr>
            <w:rStyle w:val="Hyperlink"/>
            <w:sz w:val="24"/>
            <w:lang w:val="de-DE"/>
          </w:rPr>
          <w:t>https://commission.europa.eu/strategy-and-policy/priorities-2019-2024/european-green-deal/agriculture-and-green-deal/strategic-dialogue-future-eu-agriculture_de</w:t>
        </w:r>
      </w:hyperlink>
      <w:r w:rsidRPr="00F7500D">
        <w:rPr>
          <w:sz w:val="24"/>
          <w:lang w:val="de-DE"/>
        </w:rPr>
        <w:t xml:space="preserve">. </w:t>
      </w:r>
    </w:p>
  </w:footnote>
  <w:footnote w:id="14">
    <w:p w14:paraId="5C507E70" w14:textId="51B082F7" w:rsidR="008568F5" w:rsidRPr="00F7500D" w:rsidRDefault="008568F5" w:rsidP="00F7500D">
      <w:pPr>
        <w:pStyle w:val="FootnoteText"/>
        <w:ind w:left="567" w:hanging="567"/>
        <w:rPr>
          <w:sz w:val="24"/>
          <w:lang w:val="de-DE"/>
        </w:rPr>
      </w:pPr>
      <w:r w:rsidRPr="00F7500D">
        <w:rPr>
          <w:rStyle w:val="FootnoteReference"/>
          <w:sz w:val="24"/>
          <w:lang w:val="de-DE"/>
        </w:rPr>
        <w:footnoteRef/>
      </w:r>
      <w:r w:rsidR="00F7500D" w:rsidRPr="00F7500D">
        <w:rPr>
          <w:sz w:val="24"/>
          <w:lang w:val="de-DE"/>
        </w:rPr>
        <w:t xml:space="preserve"> </w:t>
      </w:r>
      <w:r w:rsidR="00F7500D" w:rsidRPr="00F7500D">
        <w:rPr>
          <w:sz w:val="24"/>
          <w:lang w:val="de-DE"/>
        </w:rPr>
        <w:tab/>
      </w:r>
      <w:r w:rsidRPr="00F7500D">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F7500D">
        <w:rPr>
          <w:sz w:val="24"/>
          <w:lang w:val="de-DE"/>
        </w:rPr>
        <w:t>ABl.</w:t>
      </w:r>
      <w:proofErr w:type="spellEnd"/>
      <w:r w:rsidRPr="00F7500D">
        <w:rPr>
          <w:sz w:val="24"/>
          <w:lang w:val="de-DE"/>
        </w:rPr>
        <w:t xml:space="preserve"> L 31 vom 1.2.2002, S. 1, ELI:</w:t>
      </w:r>
      <w:r w:rsidRPr="00F7500D">
        <w:rPr>
          <w:color w:val="000000" w:themeColor="text1"/>
          <w:sz w:val="24"/>
          <w:lang w:val="de-DE"/>
        </w:rPr>
        <w:t> </w:t>
      </w:r>
      <w:hyperlink r:id="rId27" w:tgtFrame="Gives access to this document through its ELI URI." w:history="1">
        <w:r w:rsidRPr="00F7500D">
          <w:rPr>
            <w:rStyle w:val="Hyperlink"/>
            <w:color w:val="0070C0"/>
            <w:sz w:val="24"/>
            <w:lang w:val="de-DE"/>
          </w:rPr>
          <w:t>http://data.europa.eu/eli/reg/2002/178/oj</w:t>
        </w:r>
      </w:hyperlink>
      <w:r w:rsidRPr="00F7500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7EDE4" w14:textId="77777777" w:rsidR="00064002" w:rsidRPr="00F750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32D5" w14:textId="77777777" w:rsidR="00064002" w:rsidRPr="00F750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EFA8C" w14:textId="77777777" w:rsidR="00064002" w:rsidRPr="00F750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0476439">
    <w:abstractNumId w:val="9"/>
  </w:num>
  <w:num w:numId="2" w16cid:durableId="1440757267">
    <w:abstractNumId w:val="9"/>
  </w:num>
  <w:num w:numId="3" w16cid:durableId="704985508">
    <w:abstractNumId w:val="7"/>
  </w:num>
  <w:num w:numId="4" w16cid:durableId="1902670886">
    <w:abstractNumId w:val="7"/>
  </w:num>
  <w:num w:numId="5" w16cid:durableId="1110927977">
    <w:abstractNumId w:val="6"/>
  </w:num>
  <w:num w:numId="6" w16cid:durableId="577599796">
    <w:abstractNumId w:val="6"/>
  </w:num>
  <w:num w:numId="7" w16cid:durableId="1660845070">
    <w:abstractNumId w:val="5"/>
  </w:num>
  <w:num w:numId="8" w16cid:durableId="749734761">
    <w:abstractNumId w:val="5"/>
  </w:num>
  <w:num w:numId="9" w16cid:durableId="700010592">
    <w:abstractNumId w:val="4"/>
  </w:num>
  <w:num w:numId="10" w16cid:durableId="1153834168">
    <w:abstractNumId w:val="4"/>
  </w:num>
  <w:num w:numId="11" w16cid:durableId="1492910224">
    <w:abstractNumId w:val="8"/>
  </w:num>
  <w:num w:numId="12" w16cid:durableId="15087777">
    <w:abstractNumId w:val="8"/>
  </w:num>
  <w:num w:numId="13" w16cid:durableId="737870164">
    <w:abstractNumId w:val="3"/>
  </w:num>
  <w:num w:numId="14" w16cid:durableId="151142932">
    <w:abstractNumId w:val="3"/>
  </w:num>
  <w:num w:numId="15" w16cid:durableId="172695776">
    <w:abstractNumId w:val="2"/>
  </w:num>
  <w:num w:numId="16" w16cid:durableId="2037074307">
    <w:abstractNumId w:val="2"/>
  </w:num>
  <w:num w:numId="17" w16cid:durableId="1399747448">
    <w:abstractNumId w:val="1"/>
  </w:num>
  <w:num w:numId="18" w16cid:durableId="144856866">
    <w:abstractNumId w:val="1"/>
  </w:num>
  <w:num w:numId="19" w16cid:durableId="60368709">
    <w:abstractNumId w:val="0"/>
  </w:num>
  <w:num w:numId="20" w16cid:durableId="492183772">
    <w:abstractNumId w:val="0"/>
  </w:num>
  <w:num w:numId="21" w16cid:durableId="1015036644">
    <w:abstractNumId w:val="9"/>
  </w:num>
  <w:num w:numId="22" w16cid:durableId="1973554845">
    <w:abstractNumId w:val="7"/>
  </w:num>
  <w:num w:numId="23" w16cid:durableId="1019553038">
    <w:abstractNumId w:val="6"/>
  </w:num>
  <w:num w:numId="24" w16cid:durableId="2026980213">
    <w:abstractNumId w:val="5"/>
  </w:num>
  <w:num w:numId="25" w16cid:durableId="80567692">
    <w:abstractNumId w:val="4"/>
  </w:num>
  <w:num w:numId="26" w16cid:durableId="1607810745">
    <w:abstractNumId w:val="8"/>
  </w:num>
  <w:num w:numId="27" w16cid:durableId="1254433469">
    <w:abstractNumId w:val="3"/>
  </w:num>
  <w:num w:numId="28" w16cid:durableId="1299729105">
    <w:abstractNumId w:val="2"/>
  </w:num>
  <w:num w:numId="29" w16cid:durableId="614362874">
    <w:abstractNumId w:val="1"/>
  </w:num>
  <w:num w:numId="30" w16cid:durableId="254440418">
    <w:abstractNumId w:val="0"/>
  </w:num>
  <w:num w:numId="31" w16cid:durableId="2108572340">
    <w:abstractNumId w:val="9"/>
  </w:num>
  <w:num w:numId="32" w16cid:durableId="527380265">
    <w:abstractNumId w:val="7"/>
  </w:num>
  <w:num w:numId="33" w16cid:durableId="1234925846">
    <w:abstractNumId w:val="6"/>
  </w:num>
  <w:num w:numId="34" w16cid:durableId="394670342">
    <w:abstractNumId w:val="5"/>
  </w:num>
  <w:num w:numId="35" w16cid:durableId="3628631">
    <w:abstractNumId w:val="4"/>
  </w:num>
  <w:num w:numId="36" w16cid:durableId="407381976">
    <w:abstractNumId w:val="8"/>
  </w:num>
  <w:num w:numId="37" w16cid:durableId="1365905289">
    <w:abstractNumId w:val="3"/>
  </w:num>
  <w:num w:numId="38" w16cid:durableId="2021617625">
    <w:abstractNumId w:val="2"/>
  </w:num>
  <w:num w:numId="39" w16cid:durableId="425544355">
    <w:abstractNumId w:val="1"/>
  </w:num>
  <w:num w:numId="40" w16cid:durableId="337463202">
    <w:abstractNumId w:val="0"/>
  </w:num>
  <w:num w:numId="41" w16cid:durableId="1948737623">
    <w:abstractNumId w:val="10"/>
  </w:num>
  <w:num w:numId="42" w16cid:durableId="488906862">
    <w:abstractNumId w:val="10"/>
  </w:num>
  <w:num w:numId="43" w16cid:durableId="1737049389">
    <w:abstractNumId w:val="10"/>
  </w:num>
  <w:num w:numId="44" w16cid:durableId="5676907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DE"/>
    <w:docVar w:name="dvnumam" w:val="0"/>
    <w:docVar w:name="dvpe" w:val="782.197"/>
    <w:docVar w:name="dvtitre" w:val="Entschließung des Europäischen Parlaments vom XX. XXX 2026 zu dem Entwurf eines Durchführungsbeschlusses der Kommission zur Erneuerung der Zulassung des Inverkehrbringens von Erzeugnissen, die aus genetisch veränderter Baumwolle der Sorte GHB614 × LLCotton25 bestehen, diese enthalten oder aus dieser gewonnen werden, gemäß der Verordnung (EG) Nr. 1829/2003 des Europäischen Parlaments und des Rates(D111476/01 - 2026/2519(RSP))"/>
  </w:docVars>
  <w:rsids>
    <w:rsidRoot w:val="008E65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DE0"/>
    <w:rsid w:val="006631B6"/>
    <w:rsid w:val="00680577"/>
    <w:rsid w:val="006F74FA"/>
    <w:rsid w:val="00731ADD"/>
    <w:rsid w:val="00734777"/>
    <w:rsid w:val="00747932"/>
    <w:rsid w:val="00751A4A"/>
    <w:rsid w:val="00756632"/>
    <w:rsid w:val="00762C74"/>
    <w:rsid w:val="00786EC0"/>
    <w:rsid w:val="007D0394"/>
    <w:rsid w:val="007D1690"/>
    <w:rsid w:val="007E22AD"/>
    <w:rsid w:val="00817416"/>
    <w:rsid w:val="00842779"/>
    <w:rsid w:val="008568F5"/>
    <w:rsid w:val="00865F67"/>
    <w:rsid w:val="00881A7B"/>
    <w:rsid w:val="008840E5"/>
    <w:rsid w:val="00887B3E"/>
    <w:rsid w:val="008C2AC6"/>
    <w:rsid w:val="008E651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53D"/>
    <w:rsid w:val="00CF071A"/>
    <w:rsid w:val="00D058B8"/>
    <w:rsid w:val="00D078A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A43"/>
    <w:rsid w:val="00F74202"/>
    <w:rsid w:val="00F7500D"/>
    <w:rsid w:val="00F807B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24CCF"/>
  <w15:chartTrackingRefBased/>
  <w15:docId w15:val="{142973F1-75FE-4B54-9AB3-1982B268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568F5"/>
    <w:pPr>
      <w:spacing w:before="480" w:after="240"/>
    </w:pPr>
  </w:style>
  <w:style w:type="paragraph" w:customStyle="1" w:styleId="NormalHanging12a">
    <w:name w:val="NormalHanging12a"/>
    <w:basedOn w:val="Normal"/>
    <w:uiPriority w:val="99"/>
    <w:qFormat/>
    <w:rsid w:val="008568F5"/>
    <w:pPr>
      <w:spacing w:after="240"/>
      <w:ind w:left="567" w:hanging="567"/>
    </w:pPr>
  </w:style>
  <w:style w:type="character" w:styleId="Hyperlink">
    <w:name w:val="Hyperlink"/>
    <w:basedOn w:val="DefaultParagraphFont"/>
    <w:uiPriority w:val="99"/>
    <w:rsid w:val="008568F5"/>
    <w:rPr>
      <w:color w:val="0563C1" w:themeColor="hyperlink"/>
      <w:u w:val="single"/>
    </w:rPr>
  </w:style>
  <w:style w:type="paragraph" w:styleId="NormalWeb">
    <w:name w:val="Normal (Web)"/>
    <w:basedOn w:val="Normal"/>
    <w:uiPriority w:val="99"/>
    <w:unhideWhenUsed/>
    <w:rsid w:val="008568F5"/>
    <w:pPr>
      <w:widowControl/>
      <w:spacing w:before="100" w:beforeAutospacing="1" w:after="100" w:afterAutospacing="1"/>
    </w:pPr>
    <w:rPr>
      <w:szCs w:val="24"/>
    </w:rPr>
  </w:style>
  <w:style w:type="paragraph" w:styleId="Revision">
    <w:name w:val="Revision"/>
    <w:hidden/>
    <w:uiPriority w:val="99"/>
    <w:semiHidden/>
    <w:rsid w:val="00F73A4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de"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en/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1751</Words>
  <Characters>11691</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2026-02-11T11:46:00Z</dcterms:created>
  <dcterms:modified xsi:type="dcterms:W3CDTF">2026-02-11T11:46:00Z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B10-0109/2026</vt:lpwstr>
  </property>
  <property fmtid="{D5CDD505-2E9C-101B-9397-08002B2CF9AE}" pid="4" name="&lt;Type&gt;">
    <vt:lpwstr>RR</vt:lpwstr>
  </property>
</Properties>
</file>