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6D10" w14:paraId="74FF11B5" w14:textId="77777777" w:rsidTr="0010095E">
        <w:trPr>
          <w:trHeight w:hRule="exact" w:val="1418"/>
        </w:trPr>
        <w:tc>
          <w:tcPr>
            <w:tcW w:w="6804" w:type="dxa"/>
            <w:shd w:val="clear" w:color="auto" w:fill="auto"/>
            <w:vAlign w:val="center"/>
          </w:tcPr>
          <w:p w14:paraId="3132C6D3" w14:textId="77777777" w:rsidR="00751A4A" w:rsidRPr="000D6D10" w:rsidRDefault="003A29BE" w:rsidP="0010095E">
            <w:pPr>
              <w:pStyle w:val="EPName"/>
            </w:pPr>
            <w:r w:rsidRPr="000D6D10">
              <w:t>Ευρωπαϊκό Κοινοβούλιο</w:t>
            </w:r>
          </w:p>
          <w:p w14:paraId="04024B26" w14:textId="77777777" w:rsidR="00751A4A" w:rsidRPr="000D6D10" w:rsidRDefault="005F1B17" w:rsidP="005F1B17">
            <w:pPr>
              <w:pStyle w:val="EPTerm"/>
              <w:rPr>
                <w:rStyle w:val="HideTWBExt"/>
                <w:noProof w:val="0"/>
                <w:vanish w:val="0"/>
                <w:color w:val="auto"/>
              </w:rPr>
            </w:pPr>
            <w:r w:rsidRPr="000D6D10">
              <w:t>2024</w:t>
            </w:r>
            <w:r w:rsidR="00817416" w:rsidRPr="000D6D10">
              <w:t>-202</w:t>
            </w:r>
            <w:r w:rsidRPr="000D6D10">
              <w:t>9</w:t>
            </w:r>
          </w:p>
        </w:tc>
        <w:tc>
          <w:tcPr>
            <w:tcW w:w="2268" w:type="dxa"/>
            <w:shd w:val="clear" w:color="auto" w:fill="auto"/>
          </w:tcPr>
          <w:p w14:paraId="670990A6" w14:textId="77777777" w:rsidR="00751A4A" w:rsidRPr="000D6D10" w:rsidRDefault="00187494" w:rsidP="0010095E">
            <w:pPr>
              <w:pStyle w:val="EPLogo"/>
            </w:pPr>
            <w:r w:rsidRPr="000D6D10">
              <w:rPr>
                <w:noProof/>
                <w:lang w:eastAsia="ja-JP"/>
              </w:rPr>
              <w:drawing>
                <wp:inline distT="0" distB="0" distL="0" distR="0" wp14:anchorId="70E9BF46" wp14:editId="525BE4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57520C" w14:textId="77777777" w:rsidR="00D058B8" w:rsidRPr="000D6D10" w:rsidRDefault="00D058B8" w:rsidP="004C5D52">
      <w:pPr>
        <w:pStyle w:val="LineTop"/>
      </w:pPr>
    </w:p>
    <w:p w14:paraId="48F39BF5" w14:textId="77777777" w:rsidR="00680577" w:rsidRPr="000D6D10" w:rsidRDefault="003A29BE" w:rsidP="00680577">
      <w:pPr>
        <w:pStyle w:val="EPBodyTA1"/>
      </w:pPr>
      <w:r w:rsidRPr="000D6D10">
        <w:t>ΚΕΙΜΕΝΑ ΠΟΥ ΕΓΚΡΙΘΗΚΑΝ</w:t>
      </w:r>
    </w:p>
    <w:p w14:paraId="44B2DABF" w14:textId="77777777" w:rsidR="00D058B8" w:rsidRPr="000D6D10" w:rsidRDefault="00D058B8" w:rsidP="00D058B8">
      <w:pPr>
        <w:pStyle w:val="LineBottom"/>
      </w:pPr>
    </w:p>
    <w:p w14:paraId="1C7EBBF0" w14:textId="3C88127E" w:rsidR="003A29BE" w:rsidRPr="000D6D10" w:rsidRDefault="003A29BE" w:rsidP="003A29BE">
      <w:pPr>
        <w:pStyle w:val="ATHeading1"/>
      </w:pPr>
      <w:bookmarkStart w:id="0" w:name="TANumber"/>
      <w:r w:rsidRPr="000D6D10">
        <w:t>P10_TA(2026)00</w:t>
      </w:r>
      <w:r w:rsidR="00A21473">
        <w:t>43</w:t>
      </w:r>
      <w:bookmarkEnd w:id="0"/>
    </w:p>
    <w:p w14:paraId="44FCA4E7" w14:textId="2F59706C" w:rsidR="003A29BE" w:rsidRPr="000D6D10" w:rsidRDefault="00DA29EC" w:rsidP="003A29BE">
      <w:pPr>
        <w:pStyle w:val="ATHeading2"/>
      </w:pPr>
      <w:bookmarkStart w:id="1" w:name="title"/>
      <w:r w:rsidRPr="000D6D10">
        <w:t>Γενετικώς τροποποιημένο βαμβάκι GHB614 × LLCotton25</w:t>
      </w:r>
      <w:bookmarkEnd w:id="1"/>
    </w:p>
    <w:p w14:paraId="2B4F0D08" w14:textId="77777777" w:rsidR="003A29BE" w:rsidRPr="000D6D10" w:rsidRDefault="003A29BE" w:rsidP="003A29BE">
      <w:pPr>
        <w:rPr>
          <w:i/>
          <w:vanish/>
        </w:rPr>
      </w:pPr>
      <w:r w:rsidRPr="000D6D10">
        <w:rPr>
          <w:i/>
        </w:rPr>
        <w:fldChar w:fldCharType="begin"/>
      </w:r>
      <w:r w:rsidRPr="000D6D10">
        <w:rPr>
          <w:i/>
        </w:rPr>
        <w:instrText xml:space="preserve"> TC"(</w:instrText>
      </w:r>
      <w:bookmarkStart w:id="2" w:name="DocNumber"/>
      <w:r w:rsidRPr="000D6D10">
        <w:rPr>
          <w:i/>
        </w:rPr>
        <w:instrText>B10-0109/2026</w:instrText>
      </w:r>
      <w:bookmarkEnd w:id="2"/>
      <w:r w:rsidRPr="000D6D10">
        <w:rPr>
          <w:i/>
        </w:rPr>
        <w:instrText xml:space="preserve">)"\l3 \n&gt; \* MERGEFORMAT </w:instrText>
      </w:r>
      <w:r w:rsidRPr="000D6D10">
        <w:rPr>
          <w:i/>
        </w:rPr>
        <w:fldChar w:fldCharType="end"/>
      </w:r>
    </w:p>
    <w:p w14:paraId="12B3C0F4" w14:textId="77777777" w:rsidR="003A29BE" w:rsidRPr="000D6D10" w:rsidRDefault="003A29BE" w:rsidP="003A29BE">
      <w:pPr>
        <w:rPr>
          <w:vanish/>
        </w:rPr>
      </w:pPr>
      <w:bookmarkStart w:id="3" w:name="PE"/>
      <w:r w:rsidRPr="000D6D10">
        <w:rPr>
          <w:vanish/>
        </w:rPr>
        <w:t>PE782.197</w:t>
      </w:r>
      <w:bookmarkEnd w:id="3"/>
    </w:p>
    <w:p w14:paraId="14FE0A57" w14:textId="53FCCD2A" w:rsidR="003A29BE" w:rsidRPr="000D6D10" w:rsidRDefault="003A29BE" w:rsidP="003A29BE">
      <w:pPr>
        <w:pStyle w:val="ATHeading3"/>
      </w:pPr>
      <w:bookmarkStart w:id="4" w:name="Sujet"/>
      <w:r w:rsidRPr="000D6D10">
        <w:t xml:space="preserve">Ψήφισμα του Ευρωπαϊκού Κοινοβουλίου της </w:t>
      </w:r>
      <w:r w:rsidR="00DA29EC">
        <w:t>11ης Φεβρουαρίου</w:t>
      </w:r>
      <w:r w:rsidR="00DA29EC" w:rsidRPr="000D6D10">
        <w:t xml:space="preserve"> </w:t>
      </w:r>
      <w:r w:rsidRPr="000D6D10">
        <w:t>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GHB614 × LLCotton25, σύμφωνα με τον κανονισμό (ΕΚ) αριθ. 1829/2003 του Ευρωπαϊκού Κοινοβουλίου και του Συμβουλίου</w:t>
      </w:r>
      <w:bookmarkEnd w:id="4"/>
      <w:r w:rsidRPr="000D6D10">
        <w:t xml:space="preserve"> </w:t>
      </w:r>
      <w:bookmarkStart w:id="5" w:name="References"/>
      <w:r w:rsidRPr="000D6D10">
        <w:t>(D111476/0</w:t>
      </w:r>
      <w:r w:rsidR="00DA29EC">
        <w:t>2</w:t>
      </w:r>
      <w:r w:rsidRPr="000D6D10">
        <w:t xml:space="preserve"> - 2026/2519(RSP))</w:t>
      </w:r>
      <w:bookmarkEnd w:id="5"/>
    </w:p>
    <w:p w14:paraId="76F1C8EC" w14:textId="77777777" w:rsidR="00D567D0" w:rsidRPr="000D6D10" w:rsidRDefault="00D567D0" w:rsidP="00D567D0">
      <w:pPr>
        <w:pStyle w:val="EPComma"/>
      </w:pPr>
      <w:bookmarkStart w:id="6" w:name="TextBodyBegin"/>
      <w:bookmarkEnd w:id="6"/>
      <w:r w:rsidRPr="000D6D10">
        <w:rPr>
          <w:i/>
        </w:rPr>
        <w:t>Το Ευρωπαϊκό Κοινοβούλιο</w:t>
      </w:r>
      <w:r w:rsidRPr="000D6D10">
        <w:t>,</w:t>
      </w:r>
    </w:p>
    <w:p w14:paraId="34B5EA84" w14:textId="53834ECF" w:rsidR="00D567D0" w:rsidRPr="000D6D10" w:rsidRDefault="00D567D0" w:rsidP="00960DEA">
      <w:pPr>
        <w:pStyle w:val="NormalHanging12a"/>
        <w:widowControl/>
      </w:pPr>
      <w:r w:rsidRPr="000D6D10">
        <w:t>–</w:t>
      </w:r>
      <w:r w:rsidRPr="000D6D10">
        <w:tab/>
        <w:t>έχοντας υπόψη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GHB614 × LLCotton25, σύμφωνα με τον κανονισμό (ΕΚ) αριθ. 1829/2003 του Ευρωπαϊκού Κοινοβουλίου και του Συμβουλίου (D111476/0</w:t>
      </w:r>
      <w:r w:rsidR="00DA29EC">
        <w:t>2</w:t>
      </w:r>
      <w:r w:rsidRPr="000D6D10">
        <w:t>),</w:t>
      </w:r>
    </w:p>
    <w:p w14:paraId="41F28945" w14:textId="77777777" w:rsidR="00D567D0" w:rsidRPr="000D6D10" w:rsidRDefault="00D567D0" w:rsidP="00960DEA">
      <w:pPr>
        <w:pStyle w:val="NormalHanging12a"/>
        <w:widowControl/>
      </w:pPr>
      <w:r w:rsidRPr="000D6D10">
        <w:t>–</w:t>
      </w:r>
      <w:r w:rsidRPr="000D6D10">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0D6D10">
        <w:rPr>
          <w:vertAlign w:val="superscript"/>
        </w:rPr>
        <w:footnoteReference w:id="1"/>
      </w:r>
      <w:r w:rsidRPr="000D6D10">
        <w:t>, και ειδικότερα το άρθρο 11 παράγραφος 3 και το άρθρο 23 παράγραφος 3,</w:t>
      </w:r>
    </w:p>
    <w:p w14:paraId="1088E234" w14:textId="4AA04BC6" w:rsidR="00D567D0" w:rsidRPr="000D6D10" w:rsidRDefault="00D567D0" w:rsidP="00960DEA">
      <w:pPr>
        <w:pStyle w:val="NormalHanging12a"/>
        <w:widowControl/>
      </w:pPr>
      <w:r w:rsidRPr="000D6D10">
        <w:t>–</w:t>
      </w:r>
      <w:r w:rsidRPr="000D6D10">
        <w:tab/>
        <w:t xml:space="preserve">έχοντας υπόψη την ψηφοφορία στη </w:t>
      </w:r>
      <w:bookmarkStart w:id="7" w:name="_Hlk210664905"/>
      <w:r w:rsidRPr="000D6D10">
        <w:t>Μόνιμη Επιτροπή Φυτών, Ζώων, Τροφίμων και Ζωοτροφών</w:t>
      </w:r>
      <w:bookmarkEnd w:id="7"/>
      <w:r w:rsidRPr="000D6D10">
        <w:t xml:space="preserve"> κατά το άρθρο 35 του κανονισμού (ΕΚ) αριθ. 1829/2003, </w:t>
      </w:r>
      <w:r w:rsidR="00811015">
        <w:t xml:space="preserve">η οποία πραγματοποιήθηκε στις </w:t>
      </w:r>
      <w:r w:rsidRPr="000D6D10">
        <w:t xml:space="preserve">12 Δεκεμβρίου 2025 </w:t>
      </w:r>
      <w:r w:rsidR="00811015">
        <w:t xml:space="preserve">και </w:t>
      </w:r>
      <w:r w:rsidRPr="000D6D10">
        <w:t xml:space="preserve">κατά την οποία δεν εκδόθηκε </w:t>
      </w:r>
      <w:r w:rsidR="00811015">
        <w:t>γνωμοδότηση</w:t>
      </w:r>
      <w:r w:rsidRPr="000D6D10">
        <w:t>,</w:t>
      </w:r>
      <w:r w:rsidR="00DA29EC">
        <w:t xml:space="preserve"> </w:t>
      </w:r>
      <w:r w:rsidR="00DA29EC" w:rsidRPr="00DA29EC">
        <w:t xml:space="preserve">και την ψηφοφορία στην επιτροπή προσφυγών στις </w:t>
      </w:r>
      <w:r w:rsidR="00DA29EC">
        <w:t>27 Ιανουαρίου 2026</w:t>
      </w:r>
      <w:r w:rsidR="00DA29EC" w:rsidRPr="00DA29EC">
        <w:t>, που κατέληξε επίσης σε μη έκδοση γνωμοδότησης,</w:t>
      </w:r>
      <w:r w:rsidRPr="000D6D10">
        <w:t xml:space="preserve"> </w:t>
      </w:r>
    </w:p>
    <w:p w14:paraId="6E5A98F7" w14:textId="0287B6D6" w:rsidR="00D567D0" w:rsidRPr="000D6D10" w:rsidRDefault="00D567D0" w:rsidP="00960DEA">
      <w:pPr>
        <w:pStyle w:val="NormalHanging12a"/>
        <w:widowControl/>
      </w:pPr>
      <w:r w:rsidRPr="000D6D10">
        <w:t>–</w:t>
      </w:r>
      <w:r w:rsidRPr="000D6D10">
        <w:tab/>
        <w:t>έχοντας υπόψη το άρθρο 11 του κανονισμού (ΕE) αριθ.</w:t>
      </w:r>
      <w:r w:rsidR="00C6596B">
        <w:t xml:space="preserve"> </w:t>
      </w:r>
      <w:r w:rsidRPr="000D6D10">
        <w:t>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0D6D10">
        <w:rPr>
          <w:vertAlign w:val="superscript"/>
        </w:rPr>
        <w:footnoteReference w:id="2"/>
      </w:r>
      <w:r w:rsidRPr="000D6D10">
        <w:t>,</w:t>
      </w:r>
    </w:p>
    <w:p w14:paraId="24AB1ECA" w14:textId="77777777" w:rsidR="00D567D0" w:rsidRPr="000D6D10" w:rsidRDefault="00D567D0" w:rsidP="00960DEA">
      <w:pPr>
        <w:pStyle w:val="NormalHanging12a"/>
        <w:widowControl/>
      </w:pPr>
      <w:r w:rsidRPr="000D6D10">
        <w:lastRenderedPageBreak/>
        <w:t>–</w:t>
      </w:r>
      <w:r w:rsidRPr="000D6D10">
        <w:tab/>
        <w:t>έχοντας υπόψη τη γνώμη που εκδόθηκε από την Ευρωπαϊκή Αρχή για την Ασφάλεια των Τροφίμων (EFSA) στις 30 Ιουνίου 2025 και δημοσιεύθηκε στις 7 Αυγούστου 2025</w:t>
      </w:r>
      <w:r w:rsidRPr="000D6D10">
        <w:rPr>
          <w:vertAlign w:val="superscript"/>
        </w:rPr>
        <w:footnoteReference w:id="3"/>
      </w:r>
      <w:r w:rsidRPr="000D6D10">
        <w:t>,</w:t>
      </w:r>
    </w:p>
    <w:p w14:paraId="53C8E3F4" w14:textId="2B7DE34B" w:rsidR="00D567D0" w:rsidRPr="000D6D10" w:rsidRDefault="00D567D0" w:rsidP="00960DEA">
      <w:pPr>
        <w:pStyle w:val="NormalHanging12a"/>
        <w:widowControl/>
      </w:pPr>
      <w:r w:rsidRPr="000D6D10">
        <w:t>–</w:t>
      </w:r>
      <w:r w:rsidRPr="000D6D10">
        <w:tab/>
        <w:t>έχοντας υπόψη τα προηγούμενα ψηφίσματά του που διατύπωναν αντίρρηση στην έγκριση γενετικώς τροποποιημένων οργανισμών (ΓΤΟ)</w:t>
      </w:r>
      <w:bookmarkStart w:id="9" w:name="_Hlk210666451"/>
      <w:r w:rsidRPr="000D6D10">
        <w:rPr>
          <w:vertAlign w:val="superscript"/>
        </w:rPr>
        <w:footnoteReference w:id="4"/>
      </w:r>
      <w:bookmarkEnd w:id="9"/>
      <w:r w:rsidRPr="000D6D10">
        <w:t xml:space="preserve">, </w:t>
      </w:r>
    </w:p>
    <w:p w14:paraId="5CDDE6CC" w14:textId="77777777" w:rsidR="00D567D0" w:rsidRPr="000D6D10" w:rsidRDefault="00D567D0" w:rsidP="00960DEA">
      <w:pPr>
        <w:pStyle w:val="NormalHanging12a"/>
        <w:widowControl/>
      </w:pPr>
      <w:r w:rsidRPr="000D6D10">
        <w:lastRenderedPageBreak/>
        <w:t>–</w:t>
      </w:r>
      <w:r w:rsidRPr="000D6D10">
        <w:tab/>
        <w:t>έχοντας υπόψη το άρθρο 115 παράγραφοι 2 και 3 του Κανονισμού,</w:t>
      </w:r>
    </w:p>
    <w:p w14:paraId="47EC142C" w14:textId="77777777" w:rsidR="00D567D0" w:rsidRPr="000D6D10" w:rsidRDefault="00D567D0" w:rsidP="00960DEA">
      <w:pPr>
        <w:pStyle w:val="NormalHanging12a"/>
        <w:widowControl/>
      </w:pPr>
      <w:r w:rsidRPr="000D6D10">
        <w:t>–</w:t>
      </w:r>
      <w:r w:rsidRPr="000D6D10">
        <w:tab/>
        <w:t>έχοντας υπόψη την πρόταση ψηφίσματος της Επιτροπής Περιβάλλοντος, Κλίματος και Ασφάλειας των Τροφίμων,</w:t>
      </w:r>
    </w:p>
    <w:p w14:paraId="46CEC3AF" w14:textId="17858CE4" w:rsidR="00D567D0" w:rsidRPr="000D6D10" w:rsidRDefault="00D567D0" w:rsidP="00960DEA">
      <w:pPr>
        <w:pStyle w:val="NormalHanging12a"/>
        <w:widowControl/>
      </w:pPr>
      <w:r w:rsidRPr="000D6D10">
        <w:t>Α.</w:t>
      </w:r>
      <w:r w:rsidRPr="000D6D10">
        <w:tab/>
        <w:t>λαμβάνοντας υπόψη ότι η εκτελεστική απόφαση (EE) 2015/690</w:t>
      </w:r>
      <w:r w:rsidRPr="000D6D10">
        <w:rPr>
          <w:rStyle w:val="FootnoteReference"/>
        </w:rPr>
        <w:footnoteReference w:id="5"/>
      </w:r>
      <w:r w:rsidRPr="000D6D10">
        <w:t xml:space="preserve"> της Επιτροπής ενέκρινε τη διάθεση στην αγορά τροφίμων και ζωοτροφών που περιέχουν, αποτελούνται ή παράγονται από γενετικώς τροποποιημένο βαμβάκι GHB614 × LLCotton25 (ΓΤ βαμβάκι)· Το πεδίο εφαρμογής της εν λόγω έγκρισης κάλυπτε επίσης τη διάθεση στην αγορά άλλων προϊόντων εκτός των τροφίμων και των </w:t>
      </w:r>
      <w:r w:rsidRPr="000D6D10">
        <w:lastRenderedPageBreak/>
        <w:t>ζωοτροφών που περιέχουν ή αποτελούνται από ΓΤ βαμβάκι, για τις ίδιες χρήσεις όπως κάθε άλλου βαμβακιού, εξαιρουμένης της καλλιέργειας·</w:t>
      </w:r>
    </w:p>
    <w:p w14:paraId="0535F967" w14:textId="77777777" w:rsidR="00D567D0" w:rsidRPr="000D6D10" w:rsidRDefault="00D567D0" w:rsidP="00960DEA">
      <w:pPr>
        <w:pStyle w:val="NormalHanging12a"/>
        <w:widowControl/>
      </w:pPr>
      <w:bookmarkStart w:id="10" w:name="_Hlk218675754"/>
      <w:r w:rsidRPr="000D6D10">
        <w:t>Β.</w:t>
      </w:r>
      <w:r w:rsidRPr="000D6D10">
        <w:tab/>
        <w:t xml:space="preserve">λαμβάνοντας υπόψη ότι στις 22 Μαρτίου 2024 η εταιρεία </w:t>
      </w:r>
      <w:r w:rsidRPr="000D6D10">
        <w:rPr>
          <w:snapToGrid w:val="0"/>
        </w:rPr>
        <w:t>BASF SE με έδρα τη Γερμανία</w:t>
      </w:r>
      <w:r w:rsidRPr="000D6D10">
        <w:t xml:space="preserve"> υπέβαλε στην Επιτροπή, εξ ονόματος της BASF Agricultural </w:t>
      </w:r>
      <w:proofErr w:type="spellStart"/>
      <w:r w:rsidRPr="000D6D10">
        <w:t>Solutions</w:t>
      </w:r>
      <w:proofErr w:type="spellEnd"/>
      <w:r w:rsidRPr="000D6D10">
        <w:t xml:space="preserve"> </w:t>
      </w:r>
      <w:proofErr w:type="spellStart"/>
      <w:r w:rsidRPr="000D6D10">
        <w:t>Seed</w:t>
      </w:r>
      <w:proofErr w:type="spellEnd"/>
      <w:r w:rsidRPr="000D6D10">
        <w:t xml:space="preserve"> US LLC με έδρα τις Ηνωμένες Πολιτείες, αίτηση για την ανανέωση της εν λόγω έγκρισης·</w:t>
      </w:r>
    </w:p>
    <w:p w14:paraId="02AD9C52" w14:textId="77777777" w:rsidR="00D567D0" w:rsidRPr="000D6D10" w:rsidRDefault="00D567D0" w:rsidP="00960DEA">
      <w:pPr>
        <w:pStyle w:val="NormalHanging12a"/>
        <w:widowControl/>
      </w:pPr>
      <w:r w:rsidRPr="000D6D10">
        <w:t>Γ.</w:t>
      </w:r>
      <w:r w:rsidRPr="000D6D10">
        <w:tab/>
        <w:t>λαμβάνοντας υπόψη ότι στις 7 Αυγούστου 2025 η EFSA εξέδωσε ευνοϊκή επιστημονική γνώμη σχετικά με το ΓΤ βαμβάκι, σύμφωνα με τα άρθρα 11 και 23 του κανονισμού (ΕΚ) αριθ. 1829/2003, όπου κατέληγε στο συμπέρασμα ότι η αίτηση ανανέωσης δεν περιείχε στοιχεία σχετικά με την ύπαρξη νέων κινδύνων, τροποποιημένης έκθεσης ή επιστημονικών αβεβαιοτήτων που θα μπορούσαν να αλλάξουν τα πορίσματα της αρχικής εκτίμησης κινδύνου που είχε εκδώσει η EFSA το 2014 όσον αφορά το ΓΤ βαμβάκι</w:t>
      </w:r>
      <w:r w:rsidRPr="000D6D10">
        <w:rPr>
          <w:rStyle w:val="FootnoteReference"/>
        </w:rPr>
        <w:footnoteReference w:id="6"/>
      </w:r>
      <w:r w:rsidRPr="000D6D10">
        <w:t>· λαμβάνοντας υπόψη ότι η εν λόγω γνώμη δεν εξέτασε αρκετές ευρύτερες περιβαλλοντικές, κοινωνικοοικονομικές και σωρευτικές επιπτώσεις που η EFSA θεωρεί ότι δεν εμπίπτουν στην αρμοδιότητά της·</w:t>
      </w:r>
    </w:p>
    <w:p w14:paraId="5952963B" w14:textId="77777777" w:rsidR="00D567D0" w:rsidRPr="000D6D10" w:rsidRDefault="00D567D0" w:rsidP="00960DEA">
      <w:pPr>
        <w:pStyle w:val="NormalHanging12a"/>
        <w:widowControl/>
      </w:pPr>
      <w:r w:rsidRPr="000D6D10">
        <w:t>Δ.</w:t>
      </w:r>
      <w:r w:rsidRPr="000D6D10">
        <w:tab/>
        <w:t xml:space="preserve">λαμβάνοντας υπόψη ότι το ΓΤ βαμβάκι αναπτύχθηκε για να προσδώσει αντοχή στο </w:t>
      </w:r>
      <w:proofErr w:type="spellStart"/>
      <w:r w:rsidRPr="000D6D10">
        <w:t>γλουφοσινικό</w:t>
      </w:r>
      <w:proofErr w:type="spellEnd"/>
      <w:r w:rsidRPr="000D6D10">
        <w:t xml:space="preserve"> και στη </w:t>
      </w:r>
      <w:proofErr w:type="spellStart"/>
      <w:r w:rsidRPr="000D6D10">
        <w:t>γλυφοσάτη</w:t>
      </w:r>
      <w:proofErr w:type="spellEnd"/>
      <w:r w:rsidRPr="000D6D10">
        <w:t xml:space="preserve">· </w:t>
      </w:r>
    </w:p>
    <w:bookmarkEnd w:id="10"/>
    <w:p w14:paraId="505A483A" w14:textId="77777777" w:rsidR="00D567D0" w:rsidRPr="000D6D10" w:rsidRDefault="00D567D0" w:rsidP="00960DEA">
      <w:pPr>
        <w:pStyle w:val="NormalHanging12a"/>
        <w:widowControl/>
      </w:pPr>
      <w:r w:rsidRPr="000D6D10">
        <w:t>Ε.</w:t>
      </w:r>
      <w:r w:rsidRPr="000D6D10">
        <w:tab/>
        <w:t>λαμβάνοντας υπόψη ότι οι εκτιμήσεις κινδύνου που διενήργησε η EFSA δεν περιλάμβαναν μακροπρόθεσμες τοξικολογικές μελέτες ή λεπτομερή ανάλυση των σωρευτικών και συνδυαστικών επιπτώσεων, συμπεριλαμβανομένων πιθανών αλληλεπιδράσεων με κατάλοιπα φυτοφαρμάκων που χρησιμοποιούνται συνήθως στην καλλιέργεια βαμβακιού·</w:t>
      </w:r>
    </w:p>
    <w:p w14:paraId="3291AE0A" w14:textId="77777777" w:rsidR="00D567D0" w:rsidRPr="000D6D10" w:rsidRDefault="00D567D0" w:rsidP="00960DEA">
      <w:pPr>
        <w:pStyle w:val="NormalHanging12a"/>
        <w:widowControl/>
        <w:rPr>
          <w:color w:val="000000" w:themeColor="text1"/>
          <w:szCs w:val="24"/>
        </w:rPr>
      </w:pPr>
      <w:r w:rsidRPr="000D6D10">
        <w:rPr>
          <w:color w:val="000000" w:themeColor="text1"/>
        </w:rPr>
        <w:t>ΣΤ.</w:t>
      </w:r>
      <w:r w:rsidRPr="000D6D10">
        <w:rPr>
          <w:color w:val="000000" w:themeColor="text1"/>
        </w:rPr>
        <w:tab/>
      </w:r>
      <w:r w:rsidRPr="000D6D10">
        <w:t xml:space="preserve">λαμβάνοντας υπόψη ότι στη συντριπτική τους πλειονότητα οι γενετικώς τροποποιημένες καλλιέργειες, συμπεριλαμβανομένου του ΓΤ βαμβακιού,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ΓΤ καλλιέργειας, χωρίς να πεθάνει η καλλιέργεια, όπως θα συνέβαινε στην περίπτωση μιας καλλιέργειας που δεν είναι ανθεκτική στα ζιζανιοκτόνα· </w:t>
      </w:r>
      <w:r w:rsidRPr="000D6D10">
        <w:rPr>
          <w:color w:val="000000" w:themeColor="text1"/>
        </w:rPr>
        <w:t xml:space="preserve">λαμβάνοντας υπόψη ότι διάφορες μελέτες καταδεικνύουν ότι η καλλιέργεια γενετικώς τροποποιημένων φυτών που είναι ανθεκτικά στα ζιζανιοκτόνα </w:t>
      </w:r>
      <w:r w:rsidRPr="000D6D10">
        <w:rPr>
          <w:color w:val="000000" w:themeColor="text1"/>
        </w:rPr>
        <w:lastRenderedPageBreak/>
        <w:t>οδηγεί σε μεγαλύτερη χρήση συμπληρωματικών ζιζανιοκτόνων, κυρίως λόγω της εμφάνισης ζιζανίων ανθεκτικών στα ζιζανιοκτόνα</w:t>
      </w:r>
      <w:r w:rsidRPr="000D6D10">
        <w:rPr>
          <w:rStyle w:val="FootnoteReference"/>
          <w:color w:val="000000" w:themeColor="text1"/>
          <w:szCs w:val="24"/>
        </w:rPr>
        <w:footnoteReference w:id="7"/>
      </w:r>
      <w:r w:rsidRPr="000D6D10">
        <w:rPr>
          <w:color w:val="000000" w:themeColor="text1"/>
        </w:rPr>
        <w:t>·</w:t>
      </w:r>
    </w:p>
    <w:p w14:paraId="19CE8EBA" w14:textId="77777777" w:rsidR="00D567D0" w:rsidRPr="000D6D10" w:rsidRDefault="00D567D0" w:rsidP="00960DEA">
      <w:pPr>
        <w:widowControl/>
        <w:spacing w:after="240"/>
        <w:ind w:left="567" w:hanging="567"/>
        <w:rPr>
          <w:color w:val="000000" w:themeColor="text1"/>
          <w:szCs w:val="24"/>
        </w:rPr>
      </w:pPr>
      <w:r w:rsidRPr="000D6D10">
        <w:t>Ζ.</w:t>
      </w:r>
      <w:r w:rsidRPr="000D6D10">
        <w:tab/>
        <w:t>λαμβάνοντας υπόψη ότι οι ανθεκτικές στα ζιζανιοκτόνα ΓΤ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ΓΤ σπόρους, η οποία μπορεί να δικαιολογηθεί μόνον εάν οι γεωργοί που αγοράζουν τέτοιους σπόρους ψεκάζουν επίσης με τα συμπληρωματικά ζιζανιοκτόνα·</w:t>
      </w:r>
      <w:r w:rsidRPr="000D6D10">
        <w:rPr>
          <w:color w:val="000000" w:themeColor="text1"/>
        </w:rPr>
        <w:t xml:space="preserve"> λαμβάνοντας υπόψη ότι η αυξημένη εξάρτηση από συμπληρωματικά ζιζανιοκτόνα σε γεωργικές εκμεταλλεύσεις ΓΤ βαμβακιού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λαμβάνοντας υπόψη ότι, κατά συνέπεια, οι δυσμενείς επιπτώσεις που 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r w:rsidRPr="000D6D10">
        <w:rPr>
          <w:rStyle w:val="FootnoteReference"/>
          <w:color w:val="000000" w:themeColor="text1"/>
          <w:szCs w:val="24"/>
        </w:rPr>
        <w:footnoteReference w:id="8"/>
      </w:r>
      <w:r w:rsidRPr="000D6D10">
        <w:rPr>
          <w:color w:val="000000" w:themeColor="text1"/>
        </w:rPr>
        <w:t>·</w:t>
      </w:r>
    </w:p>
    <w:p w14:paraId="244627ED" w14:textId="77777777" w:rsidR="00D567D0" w:rsidRPr="000D6D10" w:rsidRDefault="00D567D0" w:rsidP="00960DEA">
      <w:pPr>
        <w:pStyle w:val="NormalWeb"/>
        <w:spacing w:before="0" w:beforeAutospacing="0" w:after="240" w:afterAutospacing="0"/>
        <w:ind w:left="567" w:hanging="567"/>
      </w:pPr>
      <w:r w:rsidRPr="000D6D10">
        <w:t>Η.</w:t>
      </w:r>
      <w:r w:rsidRPr="000D6D10">
        <w:tab/>
        <w:t xml:space="preserve">λαμβάνοντας υπόψη ότι το </w:t>
      </w:r>
      <w:proofErr w:type="spellStart"/>
      <w:r w:rsidRPr="000D6D10">
        <w:t>γλουφοσινικό</w:t>
      </w:r>
      <w:proofErr w:type="spellEnd"/>
      <w:r w:rsidRPr="000D6D10">
        <w:t xml:space="preserve"> έχει ταξινομηθεί ως τοξική για την αναπαραγωγή ουσία κατηγορίας 1B και πληροί, επομένως, τα κριτήρια αποκλεισμού που ορίζονται στον κανονισμό (ΕΚ) αριθ. 1107/2009 του Ευρωπαϊκού Κοινοβουλίου και του Συμβουλίου</w:t>
      </w:r>
      <w:r w:rsidRPr="000D6D10">
        <w:rPr>
          <w:rStyle w:val="FootnoteReference"/>
        </w:rPr>
        <w:footnoteReference w:id="9"/>
      </w:r>
      <w:r w:rsidRPr="000D6D10">
        <w:t xml:space="preserve">· λαμβάνοντας υπόψη ότι η έγκριση του </w:t>
      </w:r>
      <w:proofErr w:type="spellStart"/>
      <w:r w:rsidRPr="000D6D10">
        <w:t>γλουφοσινικού</w:t>
      </w:r>
      <w:proofErr w:type="spellEnd"/>
      <w:r w:rsidRPr="000D6D10">
        <w:t xml:space="preserve"> για χρήση στην Ένωση έληξε στις 31 Ιουλίου 2018·</w:t>
      </w:r>
    </w:p>
    <w:p w14:paraId="327664F9" w14:textId="77777777" w:rsidR="00D567D0" w:rsidRPr="000D6D10" w:rsidRDefault="00D567D0" w:rsidP="00960DEA">
      <w:pPr>
        <w:pStyle w:val="NormalHanging12a"/>
        <w:widowControl/>
      </w:pPr>
      <w:r w:rsidRPr="000D6D10">
        <w:t>Θ.</w:t>
      </w:r>
      <w:r w:rsidRPr="000D6D10">
        <w:tab/>
        <w:t xml:space="preserve">λαμβάνοντας υπόψη ότι εξακολουθούν να υφίστανται σοβαρά ερωτήματα όσον αφορά την ικανότητα καρκινογένεσης της γλυφοσάτης· λαμβάνοντας υπόψη ότι τον Νοέμβριο του 2015 η EFSA κατέληξε στο συμπέρασμα ότι δεν είναι πιθανό η </w:t>
      </w:r>
      <w:proofErr w:type="spellStart"/>
      <w:r w:rsidRPr="000D6D10">
        <w:t>γλυφοσάτη</w:t>
      </w:r>
      <w:proofErr w:type="spellEnd"/>
      <w:r w:rsidRPr="000D6D10">
        <w:t xml:space="preserve"> να είναι καρκινογόνος ουσία και τον Μάρτιο του 2017 ο Ευρωπαϊκός Οργανισμός Χημικών Προϊόντων κατέληξε στο συμπέρασμα ότι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τη </w:t>
      </w:r>
      <w:proofErr w:type="spellStart"/>
      <w:r w:rsidRPr="000D6D10">
        <w:t>γλυφοσάτη</w:t>
      </w:r>
      <w:proofErr w:type="spellEnd"/>
      <w:r w:rsidRPr="000D6D10">
        <w:t xml:space="preserve"> στις πιθανώς καρκινογόνους για τον άνθρωπο ουσίες· λαμβάνοντας υπόψη ότι σειρά από πρόσφατες επιστημονικές μελέτες αξιολογηθείσες από ομοτίμους </w:t>
      </w:r>
      <w:r w:rsidRPr="000D6D10">
        <w:lastRenderedPageBreak/>
        <w:t>επιβεβαιώνουν το καρκινογόνο δυναμικό της γλυφοσάτης</w:t>
      </w:r>
      <w:r w:rsidRPr="000D6D10">
        <w:rPr>
          <w:rStyle w:val="FootnoteReference"/>
        </w:rPr>
        <w:footnoteReference w:id="10"/>
      </w:r>
      <w:r w:rsidRPr="000D6D10">
        <w:t xml:space="preserve">· </w:t>
      </w:r>
      <w:bookmarkStart w:id="12" w:name="_Hlk218688545"/>
      <w:r w:rsidRPr="000D6D10">
        <w:t xml:space="preserve">λαμβάνοντας υπόψη ότι το περιοδικό </w:t>
      </w:r>
      <w:proofErr w:type="spellStart"/>
      <w:r w:rsidRPr="000D6D10">
        <w:rPr>
          <w:i/>
          <w:iCs/>
        </w:rPr>
        <w:t>Regulatory</w:t>
      </w:r>
      <w:proofErr w:type="spellEnd"/>
      <w:r w:rsidRPr="000D6D10">
        <w:rPr>
          <w:i/>
          <w:iCs/>
        </w:rPr>
        <w:t xml:space="preserve"> </w:t>
      </w:r>
      <w:proofErr w:type="spellStart"/>
      <w:r w:rsidRPr="000D6D10">
        <w:rPr>
          <w:i/>
          <w:iCs/>
        </w:rPr>
        <w:t>Toxicology</w:t>
      </w:r>
      <w:proofErr w:type="spellEnd"/>
      <w:r w:rsidRPr="000D6D10">
        <w:rPr>
          <w:i/>
          <w:iCs/>
        </w:rPr>
        <w:t xml:space="preserve"> and </w:t>
      </w:r>
      <w:proofErr w:type="spellStart"/>
      <w:r w:rsidRPr="000D6D10">
        <w:rPr>
          <w:i/>
          <w:iCs/>
        </w:rPr>
        <w:t>Pharmacology</w:t>
      </w:r>
      <w:proofErr w:type="spellEnd"/>
      <w:r w:rsidRPr="000D6D10">
        <w:t xml:space="preserve"> ανακάλεσε επίσημα το επιστημονικό έγγραφο </w:t>
      </w:r>
      <w:r w:rsidRPr="000D6D10">
        <w:rPr>
          <w:shd w:val="clear" w:color="auto" w:fill="FFFFFF"/>
        </w:rPr>
        <w:t>«</w:t>
      </w:r>
      <w:proofErr w:type="spellStart"/>
      <w:r w:rsidRPr="000D6D10">
        <w:t>Safety</w:t>
      </w:r>
      <w:proofErr w:type="spellEnd"/>
      <w:r w:rsidRPr="000D6D10">
        <w:t xml:space="preserve"> </w:t>
      </w:r>
      <w:proofErr w:type="spellStart"/>
      <w:r w:rsidRPr="000D6D10">
        <w:t>Evaluation</w:t>
      </w:r>
      <w:proofErr w:type="spellEnd"/>
      <w:r w:rsidRPr="000D6D10">
        <w:t xml:space="preserve"> and </w:t>
      </w:r>
      <w:proofErr w:type="spellStart"/>
      <w:r w:rsidRPr="000D6D10">
        <w:t>Risk</w:t>
      </w:r>
      <w:proofErr w:type="spellEnd"/>
      <w:r w:rsidRPr="000D6D10">
        <w:t xml:space="preserve"> </w:t>
      </w:r>
      <w:proofErr w:type="spellStart"/>
      <w:r w:rsidRPr="000D6D10">
        <w:t>Assessment</w:t>
      </w:r>
      <w:proofErr w:type="spellEnd"/>
      <w:r w:rsidRPr="000D6D10">
        <w:t xml:space="preserve"> of the </w:t>
      </w:r>
      <w:proofErr w:type="spellStart"/>
      <w:r w:rsidRPr="000D6D10">
        <w:t>Herbicide</w:t>
      </w:r>
      <w:proofErr w:type="spellEnd"/>
      <w:r w:rsidRPr="000D6D10">
        <w:t xml:space="preserve"> </w:t>
      </w:r>
      <w:proofErr w:type="spellStart"/>
      <w:r w:rsidRPr="000D6D10">
        <w:t>Roundup</w:t>
      </w:r>
      <w:proofErr w:type="spellEnd"/>
      <w:r w:rsidRPr="000D6D10">
        <w:t xml:space="preserve"> and </w:t>
      </w:r>
      <w:proofErr w:type="spellStart"/>
      <w:r w:rsidRPr="000D6D10">
        <w:t>Its</w:t>
      </w:r>
      <w:proofErr w:type="spellEnd"/>
      <w:r w:rsidRPr="000D6D10">
        <w:t xml:space="preserve"> </w:t>
      </w:r>
      <w:proofErr w:type="spellStart"/>
      <w:r w:rsidRPr="000D6D10">
        <w:t>Active</w:t>
      </w:r>
      <w:proofErr w:type="spellEnd"/>
      <w:r w:rsidRPr="000D6D10">
        <w:t xml:space="preserve"> </w:t>
      </w:r>
      <w:proofErr w:type="spellStart"/>
      <w:r w:rsidRPr="000D6D10">
        <w:t>Ingredient</w:t>
      </w:r>
      <w:proofErr w:type="spellEnd"/>
      <w:r w:rsidRPr="000D6D10">
        <w:t xml:space="preserve">, </w:t>
      </w:r>
      <w:proofErr w:type="spellStart"/>
      <w:r w:rsidRPr="000D6D10">
        <w:t>Glyphosate</w:t>
      </w:r>
      <w:proofErr w:type="spellEnd"/>
      <w:r w:rsidRPr="000D6D10">
        <w:t xml:space="preserve">, for </w:t>
      </w:r>
      <w:proofErr w:type="spellStart"/>
      <w:r w:rsidRPr="000D6D10">
        <w:t>Humans</w:t>
      </w:r>
      <w:proofErr w:type="spellEnd"/>
      <w:r w:rsidRPr="000D6D10">
        <w:rPr>
          <w:shd w:val="clear" w:color="auto" w:fill="FFFFFF"/>
        </w:rPr>
        <w:t>»</w:t>
      </w:r>
      <w:r w:rsidRPr="000D6D10">
        <w:t xml:space="preserve"> (Αξιολόγηση ασφάλειας και εκτίμηση κινδύνου του ζιζανιοκτόνου </w:t>
      </w:r>
      <w:proofErr w:type="spellStart"/>
      <w:r w:rsidRPr="000D6D10">
        <w:t>Roundup</w:t>
      </w:r>
      <w:proofErr w:type="spellEnd"/>
      <w:r w:rsidRPr="000D6D10">
        <w:t xml:space="preserve"> και του δραστικού του συστατικού </w:t>
      </w:r>
      <w:proofErr w:type="spellStart"/>
      <w:r w:rsidRPr="000D6D10">
        <w:t>γλυφοσάτη</w:t>
      </w:r>
      <w:proofErr w:type="spellEnd"/>
      <w:r w:rsidRPr="000D6D10">
        <w:t xml:space="preserve"> για τους ανθρώπους), το οποίο δημοσιεύτηκε το 2000 και χρησιμοποιήθηκε για να υπερασπιστεί την ασφάλεια της γλυφοσάτης σε πολλές εκτιμήσεις κινδύνου, καθώς </w:t>
      </w:r>
      <w:r w:rsidRPr="000D6D10">
        <w:rPr>
          <w:shd w:val="clear" w:color="auto" w:fill="FFFFFF"/>
        </w:rPr>
        <w:t>«</w:t>
      </w:r>
      <w:r w:rsidRPr="000D6D10">
        <w:t>εκφράστηκαν ανησυχίες σχετικά με τους συγγραφείς του, την εγκυρότητα των ερευνητικών πορισμάτων λόγω ανακριβειών στην παρουσίαση των συνεισφορών από τους συγγραφείς, τον χορηγό της μελέτης και σχετικά με πιθανές συγκρούσεις συμφερόντων των συγγραφέων</w:t>
      </w:r>
      <w:r w:rsidRPr="000D6D10">
        <w:rPr>
          <w:rStyle w:val="FootnoteReference"/>
        </w:rPr>
        <w:footnoteReference w:id="11"/>
      </w:r>
      <w:r w:rsidRPr="000D6D10">
        <w:t>·</w:t>
      </w:r>
      <w:bookmarkEnd w:id="12"/>
    </w:p>
    <w:p w14:paraId="030C6EF1" w14:textId="77777777" w:rsidR="00D567D0" w:rsidRPr="000D6D10" w:rsidRDefault="00D567D0" w:rsidP="00960DEA">
      <w:pPr>
        <w:pStyle w:val="NormalHanging12a"/>
        <w:widowControl/>
      </w:pPr>
      <w:r w:rsidRPr="000D6D10">
        <w:t>Ι.</w:t>
      </w:r>
      <w:r w:rsidRPr="000D6D10">
        <w:tab/>
        <w:t>λαμβάνοντας υπόψη ότι η ανεξάρτητη παρακολούθηση και επιτήρηση των δυνητικών δυσμενών επιπτώσεων στη βιοποικιλότητα, την υγεία του εδάφους, τους επικονιαστές και τους μη στοχευόμενους οργανισμούς εξακολουθεί να μην διασφαλίζεται επαρκώς·</w:t>
      </w:r>
    </w:p>
    <w:p w14:paraId="0F08B5CC" w14:textId="77777777" w:rsidR="00D567D0" w:rsidRPr="000D6D10" w:rsidRDefault="00D567D0" w:rsidP="00960DEA">
      <w:pPr>
        <w:widowControl/>
        <w:spacing w:after="240"/>
        <w:ind w:left="567" w:hanging="567"/>
      </w:pPr>
      <w:r w:rsidRPr="000D6D10">
        <w:t>ΙΑ.</w:t>
      </w:r>
      <w:r w:rsidRPr="000D6D10">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σε περιπτώσεις επιστημονικής αβεβαιότητας·</w:t>
      </w:r>
    </w:p>
    <w:p w14:paraId="5C3306F6" w14:textId="77777777" w:rsidR="00D567D0" w:rsidRPr="000D6D10" w:rsidRDefault="00D567D0" w:rsidP="00960DEA">
      <w:pPr>
        <w:widowControl/>
        <w:spacing w:after="240"/>
        <w:ind w:left="567" w:hanging="567"/>
      </w:pPr>
      <w:r w:rsidRPr="000D6D10">
        <w:t>ΙΒ.</w:t>
      </w:r>
      <w:r w:rsidRPr="000D6D10">
        <w:tab/>
        <w:t>λαμβάνοντας υπόψη ότι ο κανονισμός (ΕΚ) αριθ. 1829/2003 ορίζει ότι τα ΓΤ τρόφιμα και ζωοτροφές δεν πρέπει να έχουν δυσμενείς επιπτώσεις στην υγεία του ανθρώπου, στην υγεία των ζώων ή στο περιβάλλον·</w:t>
      </w:r>
    </w:p>
    <w:p w14:paraId="2C9EF086" w14:textId="77777777" w:rsidR="00D567D0" w:rsidRPr="000D6D10" w:rsidRDefault="00D567D0" w:rsidP="00960DEA">
      <w:pPr>
        <w:pStyle w:val="NormalWeb"/>
        <w:spacing w:before="0" w:beforeAutospacing="0" w:after="240" w:afterAutospacing="0"/>
        <w:ind w:left="567" w:hanging="567"/>
      </w:pPr>
      <w:r w:rsidRPr="000D6D10">
        <w:t>ΙΓ.</w:t>
      </w:r>
      <w:r w:rsidRPr="000D6D10">
        <w:tab/>
        <w:t>λαμβάνοντας υπόψη ότι η ανανέωση της έγκρισης του ΓΤ βαμβακιού από την Ένωση δεν θα είναι σύμφωνη με τις διεθνείς δεσμεύσεις για τη μείωση των φυτοφαρμάκων</w:t>
      </w:r>
      <w:r w:rsidRPr="000D6D10">
        <w:rPr>
          <w:vertAlign w:val="superscript"/>
        </w:rPr>
        <w:footnoteReference w:id="12"/>
      </w:r>
      <w:r w:rsidRPr="000D6D10">
        <w:t xml:space="preserve">, δεδομένης της αυξημένης έκθεσης του ανθρώπου, των ζώων και του περιβάλλοντος στη </w:t>
      </w:r>
      <w:proofErr w:type="spellStart"/>
      <w:r w:rsidRPr="000D6D10">
        <w:t>γλυφοσάτη</w:t>
      </w:r>
      <w:proofErr w:type="spellEnd"/>
      <w:r w:rsidRPr="000D6D10">
        <w:t xml:space="preserve"> και στο </w:t>
      </w:r>
      <w:proofErr w:type="spellStart"/>
      <w:r w:rsidRPr="000D6D10">
        <w:t>γλουφοσινικό</w:t>
      </w:r>
      <w:proofErr w:type="spellEnd"/>
      <w:r w:rsidRPr="000D6D10">
        <w:t xml:space="preserve"> σε χώρες με ΓΤ καλλιέργειες ανθεκτικές σε ζιζανιοκτόνα, καθώς και των δυνητικά σοβαρών σχετικών προβλημάτων υγείας·</w:t>
      </w:r>
    </w:p>
    <w:p w14:paraId="687E0065" w14:textId="77777777" w:rsidR="00D567D0" w:rsidRPr="000D6D10" w:rsidRDefault="00D567D0" w:rsidP="00960DEA">
      <w:pPr>
        <w:widowControl/>
        <w:spacing w:after="240"/>
        <w:ind w:left="567" w:hanging="567"/>
      </w:pPr>
      <w:r w:rsidRPr="000D6D10">
        <w:t>ΙΔ.</w:t>
      </w:r>
      <w:r w:rsidRPr="000D6D10">
        <w:tab/>
        <w:t>λαμβάνοντας υπόψη ότι η εκτελεστική απόφαση της Επιτροπής θα συνεχίσει να επιτρέπει εισαγωγές στην Ένωση που δεν συμμορφώνονται με τα πρότυπα που τηρούν οι γεωργοί της Ένωσης, με αποτέλεσμα αυτοί να περιέρχονται σε μειονεκτική θέση στον ανταγωνισμό·</w:t>
      </w:r>
    </w:p>
    <w:p w14:paraId="44E219FA" w14:textId="77777777" w:rsidR="00D567D0" w:rsidRPr="000D6D10" w:rsidRDefault="00D567D0" w:rsidP="00960DEA">
      <w:pPr>
        <w:widowControl/>
        <w:spacing w:after="240"/>
        <w:ind w:left="567" w:hanging="567"/>
      </w:pPr>
      <w:r w:rsidRPr="000D6D10">
        <w:t>ΙΕ.</w:t>
      </w:r>
      <w:r w:rsidRPr="000D6D10">
        <w:tab/>
        <w:t>λαμβάνοντας υπόψη ότι στα συμπεράσματα του στρατηγικού διαλόγου για το μέλλον της γεωργίας της ΕΕ</w:t>
      </w:r>
      <w:r w:rsidRPr="000D6D10">
        <w:rPr>
          <w:rStyle w:val="FootnoteReference"/>
        </w:rPr>
        <w:footnoteReference w:id="13"/>
      </w:r>
      <w:r w:rsidRPr="000D6D10">
        <w:t xml:space="preserve"> απευθύνεται έκκληση στην Επιτροπή να επαναξιολογήσει την προσέγγισή της όσον αφορά την πρόσβαση των εισαγωγών και των εξαγωγών γεωργικών ειδών διατροφής στην αγορά, δεδομένης της πρόκλησης που τίθεται από τα αποκλίνοντα πρότυπα της Ένωσης και των εμπορικών εταίρων της· λαμβάνοντας </w:t>
      </w:r>
      <w:r w:rsidRPr="000D6D10">
        <w:lastRenderedPageBreak/>
        <w:t>υπόψη ότι μία από τις κύριες απαιτήσεις των γεωργών κατά τις διαδηλώσεις του 2023, του 2024 και του 2025 ήταν δικαιότερες εμπορικές σχέσεις σε παγκόσμιο επίπεδο, οι οποίες να συνάδουν με τους στόχους για ένα υγιές περιβάλλον·</w:t>
      </w:r>
    </w:p>
    <w:p w14:paraId="310B6C41" w14:textId="77777777" w:rsidR="00D567D0" w:rsidRPr="000D6D10" w:rsidRDefault="00D567D0" w:rsidP="00960DEA">
      <w:pPr>
        <w:widowControl/>
        <w:spacing w:after="240"/>
        <w:ind w:left="567" w:hanging="567"/>
      </w:pPr>
      <w:r w:rsidRPr="000D6D10">
        <w:t>ΙΣΤ.</w:t>
      </w:r>
      <w:r w:rsidRPr="000D6D10">
        <w:tab/>
        <w:t>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δημοκρατικό έλλειμμα·</w:t>
      </w:r>
    </w:p>
    <w:p w14:paraId="1E44CAB0" w14:textId="77777777" w:rsidR="00D567D0" w:rsidRPr="000D6D10" w:rsidRDefault="00D567D0" w:rsidP="00960DEA">
      <w:pPr>
        <w:pStyle w:val="NormalWeb"/>
        <w:shd w:val="clear" w:color="auto" w:fill="FFFFFF"/>
        <w:spacing w:before="0" w:beforeAutospacing="0" w:after="240" w:afterAutospacing="0"/>
        <w:ind w:left="567" w:hanging="567"/>
        <w:rPr>
          <w:color w:val="000000" w:themeColor="text1"/>
        </w:rPr>
      </w:pPr>
      <w:r w:rsidRPr="000D6D10">
        <w:rPr>
          <w:color w:val="000000" w:themeColor="text1"/>
        </w:rPr>
        <w:t>ΙΖ.</w:t>
      </w:r>
      <w:r w:rsidRPr="000D6D10">
        <w:rPr>
          <w:color w:val="000000" w:themeColor="text1"/>
        </w:rPr>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αντιρρήσεις του Κοινοβουλίου·</w:t>
      </w:r>
    </w:p>
    <w:p w14:paraId="502089F1" w14:textId="77777777" w:rsidR="00D567D0" w:rsidRPr="000D6D10" w:rsidRDefault="00D567D0" w:rsidP="00960DEA">
      <w:pPr>
        <w:widowControl/>
        <w:spacing w:after="240"/>
        <w:ind w:left="567" w:hanging="567"/>
      </w:pPr>
      <w:r w:rsidRPr="000D6D10">
        <w:t>ΙΗ.</w:t>
      </w:r>
      <w:r w:rsidRPr="000D6D10">
        <w:tab/>
        <w:t>λαμβάνοντας υπόψη ότι η προσέγγιση «Μία υγεία» απαιτεί να λαμβάνεται υπόψη η αλληλεξάρτηση μεταξύ της υγείας των ανθρώπων, των ζώων, των φυτών και του περιβάλλοντος κατά την αξιολόγηση της μακροπρόθεσμης βιωσιμότητας και ασφάλειας των ΓΤΟ·</w:t>
      </w:r>
    </w:p>
    <w:p w14:paraId="0B58D1BF" w14:textId="77777777" w:rsidR="00D567D0" w:rsidRPr="000D6D10" w:rsidRDefault="00D567D0" w:rsidP="00960DEA">
      <w:pPr>
        <w:pStyle w:val="NormalHanging12a"/>
        <w:widowControl/>
      </w:pPr>
      <w:r w:rsidRPr="000D6D10">
        <w:t>1.</w:t>
      </w:r>
      <w:r w:rsidRPr="000D6D10">
        <w:tab/>
        <w:t>εκτιμά ότι το σχέδιο εκτελεστικής απόφασης της Επιτροπής υπερβαίνει τις εκτελεστικές αρμοδιότητες που προβλέπει ο κανονισμός (ΕΚ) αριθ. 1829/2003·</w:t>
      </w:r>
    </w:p>
    <w:p w14:paraId="69735524" w14:textId="77777777" w:rsidR="00D567D0" w:rsidRPr="000D6D10" w:rsidRDefault="00D567D0" w:rsidP="00960DEA">
      <w:pPr>
        <w:pStyle w:val="NormalHanging12a"/>
        <w:widowControl/>
      </w:pPr>
      <w:bookmarkStart w:id="13" w:name="_Hlk218675825"/>
      <w:r w:rsidRPr="000D6D10">
        <w:t>2.</w:t>
      </w:r>
      <w:r w:rsidRPr="000D6D10">
        <w:tab/>
        <w:t>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Pr="000D6D10">
        <w:rPr>
          <w:vertAlign w:val="superscript"/>
        </w:rPr>
        <w:footnoteReference w:id="14"/>
      </w:r>
      <w:r w:rsidRPr="000D6D10">
        <w:t xml:space="preserve">, να αποτελέσει τη βάση για την εξασφάλιση υψηλού επιπέδου προστασίας της ζωής και της υγείας του ανθρώπου, της υγείας και της ορθής μεταχείρισης των ζώων, του περιβάλλοντος και των συμφερόντων των καταναλωτών σε σχέση με τα ΓΤ τρόφιμα και τις ΓΤ ζωοτροφές, εξασφαλίζοντας παράλληλα την αποτελεσματική λειτουργία της εσωτερικής αγοράς· </w:t>
      </w:r>
    </w:p>
    <w:bookmarkEnd w:id="13"/>
    <w:p w14:paraId="08962E3B" w14:textId="77777777" w:rsidR="00D567D0" w:rsidRPr="000D6D10" w:rsidRDefault="00D567D0" w:rsidP="00960DEA">
      <w:pPr>
        <w:pStyle w:val="NormalHanging12a"/>
        <w:widowControl/>
      </w:pPr>
      <w:r w:rsidRPr="000D6D10">
        <w:t>3.</w:t>
      </w:r>
      <w:r w:rsidRPr="000D6D10">
        <w:tab/>
        <w:t>ζητεί από την Επιτροπή να αποσύρει το σχέδιο εκτελεστικής απόφασής της·</w:t>
      </w:r>
    </w:p>
    <w:p w14:paraId="04785358" w14:textId="77777777" w:rsidR="00D567D0" w:rsidRPr="000D6D10" w:rsidRDefault="00D567D0" w:rsidP="00960DEA">
      <w:pPr>
        <w:widowControl/>
        <w:spacing w:after="240"/>
        <w:ind w:left="567" w:hanging="567"/>
      </w:pPr>
      <w:r w:rsidRPr="000D6D10">
        <w:t>4.</w:t>
      </w:r>
      <w:r w:rsidRPr="000D6D10">
        <w:tab/>
        <w:t>καλεί την Επιτροπή να μην ανανεώσει την έγκριση του ΓΤ βαμβακιού λόγω της έλλειψης επαρκών στοιχείων σχετικά με τις μακροχρόνιες επιπτώσεις στη βιοποικιλότητα, στην ασφάλεια των τροφίμων, στα μέσα διαβίωσης των γεωργών και στην υγεία των ζώων, σύμφωνα με την προσέγγιση «Μία υγεία»·</w:t>
      </w:r>
    </w:p>
    <w:p w14:paraId="17221C81" w14:textId="77777777" w:rsidR="00D567D0" w:rsidRPr="000D6D10" w:rsidRDefault="00D567D0" w:rsidP="00960DEA">
      <w:pPr>
        <w:widowControl/>
        <w:spacing w:after="240"/>
        <w:ind w:left="567" w:hanging="567"/>
      </w:pPr>
      <w:bookmarkStart w:id="14" w:name="_Hlk210900300"/>
      <w:r w:rsidRPr="000D6D10">
        <w:t>5.</w:t>
      </w:r>
      <w:r w:rsidRPr="000D6D10">
        <w:tab/>
        <w:t>ζητεί από την Επιτροπή να υποβάλει, χωρίς καθυστέρηση, νομοθετική πρόταση για τη μεταρρύθμιση της διαδικασίας λήψης αποφάσεων σχετικά με τους ΓΤΟ, προκειμένου να δοθεί απάντηση στις συνεχείς αντιρρήσεις του Κοινοβουλίου και στην έλλειψη στήριξης από ειδική πλειοψηφία των κρατών μελών</w:t>
      </w:r>
      <w:bookmarkEnd w:id="14"/>
      <w:r w:rsidRPr="000D6D10">
        <w:t>·</w:t>
      </w:r>
    </w:p>
    <w:p w14:paraId="12AC49EC" w14:textId="77777777" w:rsidR="00D567D0" w:rsidRPr="000D6D10" w:rsidRDefault="00D567D0" w:rsidP="00960DEA">
      <w:pPr>
        <w:widowControl/>
        <w:spacing w:after="240"/>
        <w:ind w:left="567" w:hanging="567"/>
      </w:pPr>
      <w:bookmarkStart w:id="15" w:name="_Hlk210900241"/>
      <w:r w:rsidRPr="000D6D10">
        <w:t>6.</w:t>
      </w:r>
      <w:r w:rsidRPr="000D6D10">
        <w:tab/>
        <w:t xml:space="preserve">επισημαίνει, εν προκειμένω, ότι η έγκριση της εισαγωγής για χρήση σε τρόφιμα, ζωοτροφές ή προϊόντα οποιουδήποτε ΓΤ φυτού έχει καταστεί ανθεκτικό σε </w:t>
      </w:r>
      <w:r w:rsidRPr="000D6D10">
        <w:lastRenderedPageBreak/>
        <w:t xml:space="preserve">ζιζανιοκτόνα που απαγορεύονται στην Ένωση, όπως το </w:t>
      </w:r>
      <w:proofErr w:type="spellStart"/>
      <w:r w:rsidRPr="000D6D10">
        <w:t>γλουφοσινικό</w:t>
      </w:r>
      <w:proofErr w:type="spellEnd"/>
      <w:r w:rsidRPr="000D6D10">
        <w:t xml:space="preserve">, δεν συνάδει με τις διεθνείς δεσμεύσεις της Ένωσης στο πλαίσιο, μεταξύ άλλων, της Σύμβασης των Ηνωμένων Εθνών για τη βιολογική ποικιλότητα και των Στόχων Βιώσιμης Ανάπτυξης των Ηνωμένων Εθνών, συμπεριλαμβανομένου του πλαισίου </w:t>
      </w:r>
      <w:proofErr w:type="spellStart"/>
      <w:r w:rsidRPr="000D6D10">
        <w:t>Κουνμίνγκ</w:t>
      </w:r>
      <w:proofErr w:type="spellEnd"/>
      <w:r w:rsidRPr="000D6D10">
        <w:t>-Μόντρεαλ, και δημιουργεί άνισους όρους ανταγωνισμού για τους γεωργούς της Ένωσης·</w:t>
      </w:r>
    </w:p>
    <w:bookmarkEnd w:id="15"/>
    <w:p w14:paraId="769C9A07" w14:textId="1FC11F71" w:rsidR="000D6D10" w:rsidRPr="000D6D10" w:rsidRDefault="00D567D0" w:rsidP="00960DEA">
      <w:pPr>
        <w:pStyle w:val="NormalHanging12a"/>
        <w:widowControl/>
      </w:pPr>
      <w:r w:rsidRPr="000D6D10">
        <w:t>7.</w:t>
      </w:r>
      <w:r w:rsidRPr="000D6D10">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10D2C105" w14:textId="05EC80CB" w:rsidR="00E365E1" w:rsidRPr="000D6D10" w:rsidRDefault="00E365E1" w:rsidP="00960DEA">
      <w:pPr>
        <w:widowControl/>
        <w:spacing w:after="240"/>
        <w:ind w:left="567" w:hanging="567"/>
      </w:pPr>
    </w:p>
    <w:sectPr w:rsidR="00E365E1" w:rsidRPr="000D6D10" w:rsidSect="000D6D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BCA25" w14:textId="77777777" w:rsidR="003A29BE" w:rsidRPr="000D6D10" w:rsidRDefault="003A29BE">
      <w:r w:rsidRPr="000D6D10">
        <w:separator/>
      </w:r>
    </w:p>
  </w:endnote>
  <w:endnote w:type="continuationSeparator" w:id="0">
    <w:p w14:paraId="078A24F7" w14:textId="77777777" w:rsidR="003A29BE" w:rsidRPr="000D6D10" w:rsidRDefault="003A29BE">
      <w:r w:rsidRPr="000D6D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95B3B" w14:textId="77777777" w:rsidR="00064002" w:rsidRPr="000D6D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E27EE" w14:textId="77777777" w:rsidR="00064002" w:rsidRPr="000D6D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299AB" w14:textId="77777777" w:rsidR="00064002" w:rsidRPr="000D6D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17246" w14:textId="77777777" w:rsidR="003A29BE" w:rsidRPr="000D6D10" w:rsidRDefault="003A29BE">
      <w:r w:rsidRPr="000D6D10">
        <w:separator/>
      </w:r>
    </w:p>
  </w:footnote>
  <w:footnote w:type="continuationSeparator" w:id="0">
    <w:p w14:paraId="49447796" w14:textId="77777777" w:rsidR="003A29BE" w:rsidRPr="000D6D10" w:rsidRDefault="003A29BE">
      <w:r w:rsidRPr="000D6D10">
        <w:continuationSeparator/>
      </w:r>
    </w:p>
  </w:footnote>
  <w:footnote w:id="1">
    <w:p w14:paraId="29FD73C6" w14:textId="635FCA3E"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r w:rsidRPr="00DA29EC">
        <w:rPr>
          <w:sz w:val="24"/>
          <w:szCs w:val="24"/>
          <w:lang w:val="el-GR"/>
        </w:rPr>
        <w:t>ΕΕ L 268 της 18.10.2003, σ. 1, ELI: </w:t>
      </w:r>
      <w:hyperlink r:id="rId1" w:history="1">
        <w:r w:rsidRPr="00DA29EC">
          <w:rPr>
            <w:rStyle w:val="Hyperlink"/>
            <w:sz w:val="24"/>
            <w:szCs w:val="24"/>
            <w:lang w:val="el-GR"/>
          </w:rPr>
          <w:t>http://data.europa.eu/eli/reg/2003/1829/oj</w:t>
        </w:r>
      </w:hyperlink>
      <w:r w:rsidRPr="00DA29EC">
        <w:rPr>
          <w:sz w:val="24"/>
          <w:szCs w:val="24"/>
          <w:lang w:val="el-GR"/>
        </w:rPr>
        <w:t xml:space="preserve"> </w:t>
      </w:r>
      <w:r w:rsidRPr="00DA29EC">
        <w:rPr>
          <w:rStyle w:val="Hyperlink"/>
          <w:sz w:val="24"/>
          <w:szCs w:val="24"/>
          <w:lang w:val="el-GR"/>
        </w:rPr>
        <w:t>.</w:t>
      </w:r>
    </w:p>
  </w:footnote>
  <w:footnote w:id="2">
    <w:p w14:paraId="7B4F34F0" w14:textId="5D48760D"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r w:rsidRPr="00DA29EC">
        <w:rPr>
          <w:sz w:val="24"/>
          <w:szCs w:val="24"/>
          <w:lang w:val="el-GR"/>
        </w:rPr>
        <w:t>ΕΕ L 55 της 28.2.2011, σ. 13, ELI: </w:t>
      </w:r>
      <w:hyperlink r:id="rId2" w:history="1">
        <w:r w:rsidRPr="00DA29EC">
          <w:rPr>
            <w:rStyle w:val="Hyperlink"/>
            <w:sz w:val="24"/>
            <w:szCs w:val="24"/>
            <w:lang w:val="el-GR"/>
          </w:rPr>
          <w:t>http://data.europa.eu/eli/reg/2011/182/oj</w:t>
        </w:r>
      </w:hyperlink>
      <w:r w:rsidRPr="00DA29EC">
        <w:rPr>
          <w:sz w:val="24"/>
          <w:szCs w:val="24"/>
          <w:lang w:val="el-GR"/>
        </w:rPr>
        <w:t>.</w:t>
      </w:r>
    </w:p>
  </w:footnote>
  <w:footnote w:id="3">
    <w:p w14:paraId="28AEDC5E" w14:textId="5CA370AB" w:rsidR="00D567D0" w:rsidRPr="00DA29EC" w:rsidRDefault="00D567D0" w:rsidP="000D6D10">
      <w:pPr>
        <w:pStyle w:val="FootnoteText"/>
        <w:ind w:left="567" w:hanging="567"/>
        <w:rPr>
          <w:sz w:val="24"/>
          <w:szCs w:val="24"/>
          <w:lang w:val="el-GR"/>
        </w:rPr>
      </w:pPr>
      <w:r w:rsidRPr="00DA29EC">
        <w:rPr>
          <w:sz w:val="24"/>
          <w:szCs w:val="24"/>
          <w:vertAlign w:val="superscript"/>
          <w:lang w:val="el-GR"/>
        </w:rPr>
        <w:footnoteRef/>
      </w:r>
      <w:bookmarkStart w:id="8" w:name="_Hlk167202528"/>
      <w:r w:rsidR="000D6D10" w:rsidRPr="00DA29EC">
        <w:rPr>
          <w:sz w:val="24"/>
          <w:szCs w:val="24"/>
          <w:lang w:val="el-GR"/>
        </w:rPr>
        <w:t xml:space="preserve"> </w:t>
      </w:r>
      <w:r w:rsidR="000D6D10" w:rsidRPr="00DA29EC">
        <w:rPr>
          <w:sz w:val="24"/>
          <w:szCs w:val="24"/>
          <w:lang w:val="el-GR"/>
        </w:rPr>
        <w:tab/>
      </w:r>
      <w:r w:rsidRPr="00DA29EC">
        <w:rPr>
          <w:sz w:val="24"/>
          <w:szCs w:val="24"/>
          <w:lang w:val="el-GR"/>
        </w:rPr>
        <w:t xml:space="preserve">Επιστημονική γνώμη της ομάδας της EFSA για τους γενετικώς τροποποιημένους οργανισμούς σχετικά με την αξιολόγηση του γενετικώς τροποποιημένου βαμβακιού GHB614 × LLCotton25 για ανανέωση της έγκρισης βάσει του κανονισμού (ΕΚ) αριθ. 1829/2003 (αίτηση GMFF-2024-21890), </w:t>
      </w:r>
      <w:r w:rsidRPr="00DA29EC">
        <w:rPr>
          <w:i/>
          <w:sz w:val="24"/>
          <w:szCs w:val="24"/>
          <w:lang w:val="el-GR"/>
        </w:rPr>
        <w:t>EFSA Journal</w:t>
      </w:r>
      <w:r w:rsidRPr="00DA29EC">
        <w:rPr>
          <w:sz w:val="24"/>
          <w:szCs w:val="24"/>
          <w:lang w:val="el-GR"/>
        </w:rPr>
        <w:t xml:space="preserve"> 2025, 23(8):e9572,</w:t>
      </w:r>
      <w:bookmarkEnd w:id="8"/>
      <w:r w:rsidRPr="00DA29EC">
        <w:rPr>
          <w:sz w:val="24"/>
          <w:szCs w:val="24"/>
          <w:lang w:val="el-GR"/>
        </w:rPr>
        <w:t xml:space="preserve"> </w:t>
      </w:r>
      <w:hyperlink r:id="rId3" w:history="1">
        <w:r w:rsidRPr="00DA29EC">
          <w:rPr>
            <w:rStyle w:val="Hyperlink"/>
            <w:sz w:val="24"/>
            <w:szCs w:val="24"/>
            <w:lang w:val="el-GR"/>
          </w:rPr>
          <w:t>https://doi.org/10.2903/j.efsa.2025.9572</w:t>
        </w:r>
      </w:hyperlink>
      <w:r w:rsidRPr="00DA29EC">
        <w:rPr>
          <w:sz w:val="24"/>
          <w:szCs w:val="24"/>
          <w:lang w:val="el-GR"/>
        </w:rPr>
        <w:t xml:space="preserve">. </w:t>
      </w:r>
    </w:p>
  </w:footnote>
  <w:footnote w:id="4">
    <w:p w14:paraId="5748BB51" w14:textId="1A2013A9" w:rsidR="00D567D0" w:rsidRPr="00DA29EC" w:rsidRDefault="00D567D0" w:rsidP="000D6D10">
      <w:pPr>
        <w:pStyle w:val="FootnoteText"/>
        <w:ind w:left="567" w:hanging="567"/>
        <w:rPr>
          <w:color w:val="000000" w:themeColor="text1"/>
          <w:sz w:val="24"/>
          <w:szCs w:val="24"/>
          <w:vertAlign w:val="superscript"/>
          <w:lang w:val="el-GR"/>
        </w:rPr>
      </w:pPr>
      <w:r w:rsidRPr="00DA29EC">
        <w:rPr>
          <w:rStyle w:val="FootnoteReference"/>
          <w:sz w:val="24"/>
          <w:szCs w:val="24"/>
          <w:lang w:val="el-GR"/>
        </w:rPr>
        <w:footnoteRef/>
      </w:r>
      <w:r w:rsidR="000D6D10" w:rsidRPr="00DA29EC">
        <w:rPr>
          <w:color w:val="000000" w:themeColor="text1"/>
          <w:sz w:val="24"/>
          <w:szCs w:val="24"/>
          <w:lang w:val="el-GR"/>
        </w:rPr>
        <w:t xml:space="preserve"> </w:t>
      </w:r>
      <w:r w:rsidR="000D6D10" w:rsidRPr="00DA29EC">
        <w:rPr>
          <w:color w:val="000000" w:themeColor="text1"/>
          <w:sz w:val="24"/>
          <w:szCs w:val="24"/>
          <w:lang w:val="el-GR"/>
        </w:rPr>
        <w:tab/>
      </w:r>
      <w:r w:rsidRPr="00DA29EC">
        <w:rPr>
          <w:color w:val="000000" w:themeColor="text1"/>
          <w:sz w:val="24"/>
          <w:szCs w:val="24"/>
          <w:lang w:val="el-GR"/>
        </w:rPr>
        <w:t>Κατά την όγδοη κοινοβουλευτική του περίοδο, το Κοινοβούλιο ενέκρινε 36 ψηφίσματα και, κατά την ένατη κοινοβουλευτική του περίοδο, το Κοινοβούλιο ενέκρινε 38 ψηφίσματα που διατύπωναν αντίρρηση στην έγκριση ΓΤΟ. Επιπλέον, κατά τη δέκατη κοινοβουλευτική του περίοδο, το Κοινοβούλιο ενέκρινε τα ακόλουθα ψηφίσματα:</w:t>
      </w:r>
    </w:p>
    <w:p w14:paraId="1C4702F8" w14:textId="7AE1B823" w:rsidR="00D567D0" w:rsidRPr="00DA29EC" w:rsidRDefault="000D6D10" w:rsidP="00A21473">
      <w:pPr>
        <w:pStyle w:val="FootnoteText"/>
        <w:tabs>
          <w:tab w:val="left" w:pos="567"/>
          <w:tab w:val="left" w:pos="1134"/>
        </w:tabs>
        <w:ind w:left="1134" w:hanging="1134"/>
        <w:rPr>
          <w:color w:val="000000" w:themeColor="text1"/>
          <w:sz w:val="24"/>
          <w:szCs w:val="24"/>
          <w:vertAlign w:val="superscript"/>
          <w:lang w:val="el-GR"/>
        </w:rPr>
      </w:pPr>
      <w:r w:rsidRPr="00DA29EC">
        <w:rPr>
          <w:color w:val="000000" w:themeColor="text1"/>
          <w:sz w:val="24"/>
          <w:szCs w:val="24"/>
          <w:lang w:val="el-GR"/>
        </w:rPr>
        <w:t xml:space="preserve"> </w:t>
      </w:r>
      <w:r w:rsidRPr="00DA29EC">
        <w:rPr>
          <w:color w:val="000000" w:themeColor="text1"/>
          <w:sz w:val="24"/>
          <w:szCs w:val="24"/>
          <w:lang w:val="el-GR"/>
        </w:rPr>
        <w:tab/>
      </w:r>
      <w:r w:rsidR="00D567D0" w:rsidRPr="00DA29EC">
        <w:rPr>
          <w:color w:val="000000" w:themeColor="text1"/>
          <w:sz w:val="24"/>
          <w:szCs w:val="24"/>
          <w:lang w:val="el-GR"/>
        </w:rPr>
        <w:t>–</w:t>
      </w:r>
      <w:r w:rsidR="00D567D0" w:rsidRPr="00DA29EC">
        <w:rPr>
          <w:color w:val="000000" w:themeColor="text1"/>
          <w:sz w:val="24"/>
          <w:szCs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C/2025/1797, 4.4.2025, ELI: </w:t>
      </w:r>
      <w:hyperlink r:id="rId4" w:history="1">
        <w:r w:rsidR="00D567D0" w:rsidRPr="00DA29EC">
          <w:rPr>
            <w:rStyle w:val="Hyperlink"/>
            <w:sz w:val="24"/>
            <w:szCs w:val="24"/>
            <w:lang w:val="el-GR"/>
          </w:rPr>
          <w:t>http://data.europa.eu/eli/C/2025/1797/oj</w:t>
        </w:r>
      </w:hyperlink>
      <w:r w:rsidR="00D567D0" w:rsidRPr="00DA29EC">
        <w:rPr>
          <w:color w:val="000000" w:themeColor="text1"/>
          <w:sz w:val="24"/>
          <w:szCs w:val="24"/>
          <w:lang w:val="el-GR"/>
        </w:rPr>
        <w:t>).</w:t>
      </w:r>
    </w:p>
    <w:p w14:paraId="6B49B730" w14:textId="0E412542" w:rsidR="00D567D0" w:rsidRPr="00DA29EC" w:rsidRDefault="000D6D10" w:rsidP="00A21473">
      <w:pPr>
        <w:pStyle w:val="FootnoteText"/>
        <w:keepNext/>
        <w:tabs>
          <w:tab w:val="left" w:pos="567"/>
          <w:tab w:val="left" w:pos="1134"/>
        </w:tabs>
        <w:ind w:left="1134" w:hanging="1134"/>
        <w:rPr>
          <w:color w:val="000000" w:themeColor="text1"/>
          <w:sz w:val="24"/>
          <w:szCs w:val="24"/>
          <w:vertAlign w:val="superscript"/>
          <w:lang w:val="el-GR"/>
        </w:rPr>
      </w:pPr>
      <w:r w:rsidRPr="00DA29EC">
        <w:rPr>
          <w:color w:val="000000" w:themeColor="text1"/>
          <w:sz w:val="24"/>
          <w:szCs w:val="24"/>
          <w:lang w:val="el-GR"/>
        </w:rPr>
        <w:t xml:space="preserve"> </w:t>
      </w:r>
      <w:r w:rsidRPr="00DA29EC">
        <w:rPr>
          <w:color w:val="000000" w:themeColor="text1"/>
          <w:sz w:val="24"/>
          <w:szCs w:val="24"/>
          <w:lang w:val="el-GR"/>
        </w:rPr>
        <w:tab/>
      </w:r>
      <w:r w:rsidR="00D567D0" w:rsidRPr="00DA29EC">
        <w:rPr>
          <w:color w:val="000000" w:themeColor="text1"/>
          <w:sz w:val="24"/>
          <w:szCs w:val="24"/>
          <w:lang w:val="el-GR"/>
        </w:rPr>
        <w:t>–</w:t>
      </w:r>
      <w:r w:rsidR="00D567D0" w:rsidRPr="00DA29EC">
        <w:rPr>
          <w:color w:val="000000" w:themeColor="text1"/>
          <w:sz w:val="24"/>
          <w:szCs w:val="24"/>
          <w:lang w:val="el-GR"/>
        </w:rPr>
        <w:tab/>
        <w:t>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history="1">
        <w:r w:rsidR="00D567D0" w:rsidRPr="00DA29EC">
          <w:rPr>
            <w:rStyle w:val="Hyperlink"/>
            <w:sz w:val="24"/>
            <w:szCs w:val="24"/>
            <w:lang w:val="el-GR"/>
          </w:rPr>
          <w:t>http://data.europa.eu/eli/C/2025/1798/oj</w:t>
        </w:r>
      </w:hyperlink>
      <w:r w:rsidR="00D567D0" w:rsidRPr="00DA29EC">
        <w:rPr>
          <w:color w:val="000000" w:themeColor="text1"/>
          <w:sz w:val="24"/>
          <w:szCs w:val="24"/>
          <w:lang w:val="el-GR"/>
        </w:rPr>
        <w:t>).</w:t>
      </w:r>
    </w:p>
    <w:p w14:paraId="06059724" w14:textId="2FB5CD04" w:rsidR="00D567D0" w:rsidRPr="00DA29EC" w:rsidRDefault="000D6D10" w:rsidP="00A21473">
      <w:pPr>
        <w:pStyle w:val="FootnoteText"/>
        <w:tabs>
          <w:tab w:val="left" w:pos="567"/>
          <w:tab w:val="left" w:pos="1134"/>
        </w:tabs>
        <w:ind w:left="1134" w:hanging="1134"/>
        <w:rPr>
          <w:color w:val="000000" w:themeColor="text1"/>
          <w:sz w:val="24"/>
          <w:szCs w:val="24"/>
          <w:vertAlign w:val="superscript"/>
          <w:lang w:val="el-GR"/>
        </w:rPr>
      </w:pPr>
      <w:r w:rsidRPr="00DA29EC">
        <w:rPr>
          <w:color w:val="000000" w:themeColor="text1"/>
          <w:sz w:val="24"/>
          <w:szCs w:val="24"/>
          <w:lang w:val="el-GR"/>
        </w:rPr>
        <w:t xml:space="preserve"> </w:t>
      </w:r>
      <w:r w:rsidRPr="00DA29EC">
        <w:rPr>
          <w:color w:val="000000" w:themeColor="text1"/>
          <w:sz w:val="24"/>
          <w:szCs w:val="24"/>
          <w:lang w:val="el-GR"/>
        </w:rPr>
        <w:tab/>
      </w:r>
      <w:r w:rsidR="00D567D0" w:rsidRPr="00DA29EC">
        <w:rPr>
          <w:color w:val="000000" w:themeColor="text1"/>
          <w:sz w:val="24"/>
          <w:szCs w:val="24"/>
          <w:lang w:val="el-GR"/>
        </w:rPr>
        <w:t>–</w:t>
      </w:r>
      <w:r w:rsidR="00D567D0" w:rsidRPr="00DA29EC">
        <w:rPr>
          <w:color w:val="000000" w:themeColor="text1"/>
          <w:sz w:val="24"/>
          <w:szCs w:val="24"/>
          <w:lang w:val="el-GR"/>
        </w:rPr>
        <w:tab/>
        <w:t>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history="1">
        <w:r w:rsidR="00D567D0" w:rsidRPr="00DA29EC">
          <w:rPr>
            <w:rStyle w:val="Hyperlink"/>
            <w:sz w:val="24"/>
            <w:szCs w:val="24"/>
            <w:lang w:val="el-GR"/>
          </w:rPr>
          <w:t>http://data.europa.eu/eli/C/2025/1799/oj</w:t>
        </w:r>
      </w:hyperlink>
      <w:r w:rsidR="00D567D0" w:rsidRPr="00DA29EC">
        <w:rPr>
          <w:color w:val="000000" w:themeColor="text1"/>
          <w:sz w:val="24"/>
          <w:szCs w:val="24"/>
          <w:lang w:val="el-GR"/>
        </w:rPr>
        <w:t>).</w:t>
      </w:r>
    </w:p>
    <w:p w14:paraId="1F83E65E" w14:textId="0AFC3AC6" w:rsidR="00D567D0" w:rsidRPr="00DA29EC" w:rsidRDefault="000D6D10" w:rsidP="00A21473">
      <w:pPr>
        <w:pStyle w:val="FootnoteText"/>
        <w:tabs>
          <w:tab w:val="left" w:pos="567"/>
          <w:tab w:val="left" w:pos="1134"/>
        </w:tabs>
        <w:ind w:left="1134" w:hanging="1134"/>
        <w:rPr>
          <w:color w:val="000000" w:themeColor="text1"/>
          <w:sz w:val="24"/>
          <w:szCs w:val="24"/>
          <w:vertAlign w:val="superscript"/>
          <w:lang w:val="el-GR"/>
        </w:rPr>
      </w:pPr>
      <w:r w:rsidRPr="00DA29EC">
        <w:rPr>
          <w:color w:val="000000" w:themeColor="text1"/>
          <w:sz w:val="24"/>
          <w:szCs w:val="24"/>
          <w:lang w:val="el-GR"/>
        </w:rPr>
        <w:t xml:space="preserve"> </w:t>
      </w:r>
      <w:r w:rsidRPr="00DA29EC">
        <w:rPr>
          <w:color w:val="000000" w:themeColor="text1"/>
          <w:sz w:val="24"/>
          <w:szCs w:val="24"/>
          <w:lang w:val="el-GR"/>
        </w:rPr>
        <w:tab/>
      </w:r>
      <w:r w:rsidR="00D567D0" w:rsidRPr="00DA29EC">
        <w:rPr>
          <w:color w:val="000000" w:themeColor="text1"/>
          <w:sz w:val="24"/>
          <w:szCs w:val="24"/>
          <w:lang w:val="el-GR"/>
        </w:rPr>
        <w:t>–</w:t>
      </w:r>
      <w:r w:rsidR="00D567D0" w:rsidRPr="00DA29EC">
        <w:rPr>
          <w:color w:val="000000" w:themeColor="text1"/>
          <w:sz w:val="24"/>
          <w:szCs w:val="24"/>
          <w:lang w:val="el-GR"/>
        </w:rPr>
        <w:tab/>
        <w:t>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history="1">
        <w:r w:rsidR="00D567D0" w:rsidRPr="00DA29EC">
          <w:rPr>
            <w:rStyle w:val="Hyperlink"/>
            <w:sz w:val="24"/>
            <w:szCs w:val="24"/>
            <w:lang w:val="el-GR"/>
          </w:rPr>
          <w:t>http://data.europa.eu/eli/C/2025/1800/oj</w:t>
        </w:r>
      </w:hyperlink>
      <w:r w:rsidR="00D567D0" w:rsidRPr="00DA29EC">
        <w:rPr>
          <w:color w:val="000000" w:themeColor="text1"/>
          <w:sz w:val="24"/>
          <w:szCs w:val="24"/>
          <w:lang w:val="el-GR"/>
        </w:rPr>
        <w:t>).</w:t>
      </w:r>
    </w:p>
    <w:p w14:paraId="22297705" w14:textId="5EEF860A" w:rsidR="00D567D0" w:rsidRPr="00DA29EC" w:rsidRDefault="000D6D10" w:rsidP="00A21473">
      <w:pPr>
        <w:pStyle w:val="FootnoteText"/>
        <w:tabs>
          <w:tab w:val="left" w:pos="567"/>
          <w:tab w:val="left" w:pos="1134"/>
        </w:tabs>
        <w:ind w:left="1134" w:hanging="1134"/>
        <w:rPr>
          <w:color w:val="000000" w:themeColor="text1"/>
          <w:sz w:val="24"/>
          <w:szCs w:val="24"/>
          <w:vertAlign w:val="superscript"/>
          <w:lang w:val="el-GR"/>
        </w:rPr>
      </w:pPr>
      <w:r w:rsidRPr="00DA29EC">
        <w:rPr>
          <w:color w:val="000000" w:themeColor="text1"/>
          <w:sz w:val="24"/>
          <w:szCs w:val="24"/>
          <w:lang w:val="el-GR"/>
        </w:rPr>
        <w:t xml:space="preserve"> </w:t>
      </w:r>
      <w:r w:rsidRPr="00DA29EC">
        <w:rPr>
          <w:color w:val="000000" w:themeColor="text1"/>
          <w:sz w:val="24"/>
          <w:szCs w:val="24"/>
          <w:lang w:val="el-GR"/>
        </w:rPr>
        <w:tab/>
      </w:r>
      <w:r w:rsidR="00D567D0" w:rsidRPr="00DA29EC">
        <w:rPr>
          <w:color w:val="000000" w:themeColor="text1"/>
          <w:sz w:val="24"/>
          <w:szCs w:val="24"/>
          <w:lang w:val="el-GR"/>
        </w:rPr>
        <w:t>–</w:t>
      </w:r>
      <w:r w:rsidR="00D567D0" w:rsidRPr="00DA29EC">
        <w:rPr>
          <w:color w:val="000000" w:themeColor="text1"/>
          <w:sz w:val="24"/>
          <w:szCs w:val="24"/>
          <w:lang w:val="el-GR"/>
        </w:rPr>
        <w:tab/>
        <w:t>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history="1">
        <w:r w:rsidR="00D567D0" w:rsidRPr="00DA29EC">
          <w:rPr>
            <w:rStyle w:val="Hyperlink"/>
            <w:sz w:val="24"/>
            <w:szCs w:val="24"/>
            <w:lang w:val="el-GR"/>
          </w:rPr>
          <w:t>http://data.europa.eu/eli/C/2025/1801/oj</w:t>
        </w:r>
      </w:hyperlink>
      <w:r w:rsidR="00D567D0" w:rsidRPr="00DA29EC">
        <w:rPr>
          <w:color w:val="000000" w:themeColor="text1"/>
          <w:sz w:val="24"/>
          <w:szCs w:val="24"/>
          <w:lang w:val="el-GR"/>
        </w:rPr>
        <w:t>).</w:t>
      </w:r>
    </w:p>
    <w:p w14:paraId="2BC7D09C" w14:textId="6DF9170D" w:rsidR="00D567D0" w:rsidRPr="00DA29EC" w:rsidRDefault="000D6D10" w:rsidP="00A21473">
      <w:pPr>
        <w:pStyle w:val="FootnoteText"/>
        <w:tabs>
          <w:tab w:val="left" w:pos="567"/>
          <w:tab w:val="left" w:pos="1134"/>
        </w:tabs>
        <w:ind w:left="1134" w:hanging="1134"/>
        <w:rPr>
          <w:color w:val="000000" w:themeColor="text1"/>
          <w:sz w:val="24"/>
          <w:szCs w:val="24"/>
          <w:vertAlign w:val="superscript"/>
          <w:lang w:val="el-GR"/>
        </w:rPr>
      </w:pPr>
      <w:r w:rsidRPr="00DA29EC">
        <w:rPr>
          <w:color w:val="000000" w:themeColor="text1"/>
          <w:sz w:val="24"/>
          <w:szCs w:val="24"/>
          <w:lang w:val="el-GR"/>
        </w:rPr>
        <w:t xml:space="preserve"> </w:t>
      </w:r>
      <w:r w:rsidRPr="00DA29EC">
        <w:rPr>
          <w:color w:val="000000" w:themeColor="text1"/>
          <w:sz w:val="24"/>
          <w:szCs w:val="24"/>
          <w:lang w:val="el-GR"/>
        </w:rPr>
        <w:tab/>
      </w:r>
      <w:r w:rsidR="00D567D0" w:rsidRPr="00DA29EC">
        <w:rPr>
          <w:color w:val="000000" w:themeColor="text1"/>
          <w:sz w:val="24"/>
          <w:szCs w:val="24"/>
          <w:lang w:val="el-GR"/>
        </w:rPr>
        <w:t>–</w:t>
      </w:r>
      <w:r w:rsidR="00D567D0" w:rsidRPr="00DA29EC">
        <w:rPr>
          <w:color w:val="000000" w:themeColor="text1"/>
          <w:sz w:val="24"/>
          <w:szCs w:val="24"/>
          <w:lang w:val="el-GR"/>
        </w:rPr>
        <w:tab/>
        <w:t>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history="1">
        <w:r w:rsidR="00D567D0" w:rsidRPr="00DA29EC">
          <w:rPr>
            <w:rStyle w:val="Hyperlink"/>
            <w:sz w:val="24"/>
            <w:szCs w:val="24"/>
            <w:lang w:val="el-GR"/>
          </w:rPr>
          <w:t>http://data.europa.eu/eli/C/2025/1802/oj</w:t>
        </w:r>
      </w:hyperlink>
      <w:r w:rsidR="00D567D0" w:rsidRPr="00DA29EC">
        <w:rPr>
          <w:color w:val="000000" w:themeColor="text1"/>
          <w:sz w:val="24"/>
          <w:szCs w:val="24"/>
          <w:lang w:val="el-GR"/>
        </w:rPr>
        <w:t>).</w:t>
      </w:r>
    </w:p>
    <w:p w14:paraId="2B9AC9B0" w14:textId="0FC4C717" w:rsidR="00D567D0" w:rsidRPr="00DA29EC" w:rsidRDefault="000D6D10" w:rsidP="00A21473">
      <w:pPr>
        <w:pStyle w:val="FootnoteText"/>
        <w:tabs>
          <w:tab w:val="left" w:pos="567"/>
          <w:tab w:val="left" w:pos="1134"/>
        </w:tabs>
        <w:ind w:left="1134" w:hanging="1134"/>
        <w:rPr>
          <w:color w:val="000000" w:themeColor="text1"/>
          <w:sz w:val="24"/>
          <w:szCs w:val="24"/>
          <w:vertAlign w:val="superscript"/>
          <w:lang w:val="el-GR"/>
        </w:rPr>
      </w:pPr>
      <w:r w:rsidRPr="00DA29EC">
        <w:rPr>
          <w:color w:val="000000" w:themeColor="text1"/>
          <w:sz w:val="24"/>
          <w:szCs w:val="24"/>
          <w:lang w:val="el-GR"/>
        </w:rPr>
        <w:t xml:space="preserve"> </w:t>
      </w:r>
      <w:r w:rsidRPr="00DA29EC">
        <w:rPr>
          <w:color w:val="000000" w:themeColor="text1"/>
          <w:sz w:val="24"/>
          <w:szCs w:val="24"/>
          <w:lang w:val="el-GR"/>
        </w:rPr>
        <w:tab/>
      </w:r>
      <w:r w:rsidR="00D567D0" w:rsidRPr="00DA29EC">
        <w:rPr>
          <w:color w:val="000000" w:themeColor="text1"/>
          <w:sz w:val="24"/>
          <w:szCs w:val="24"/>
          <w:lang w:val="el-GR"/>
        </w:rPr>
        <w:t>–</w:t>
      </w:r>
      <w:r w:rsidR="00D567D0" w:rsidRPr="00DA29EC">
        <w:rPr>
          <w:color w:val="000000" w:themeColor="text1"/>
          <w:sz w:val="24"/>
          <w:szCs w:val="24"/>
          <w:lang w:val="el-GR"/>
        </w:rPr>
        <w:tab/>
        <w:t>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history="1">
        <w:r w:rsidR="00D567D0" w:rsidRPr="00DA29EC">
          <w:rPr>
            <w:rStyle w:val="Hyperlink"/>
            <w:sz w:val="24"/>
            <w:szCs w:val="24"/>
            <w:lang w:val="el-GR"/>
          </w:rPr>
          <w:t>http://data.europa.eu/eli/C/2025/1803/oj</w:t>
        </w:r>
      </w:hyperlink>
      <w:r w:rsidR="00D567D0" w:rsidRPr="00DA29EC">
        <w:rPr>
          <w:color w:val="000000" w:themeColor="text1"/>
          <w:sz w:val="24"/>
          <w:szCs w:val="24"/>
          <w:lang w:val="el-GR"/>
        </w:rPr>
        <w:t>).</w:t>
      </w:r>
    </w:p>
    <w:p w14:paraId="6C3836AF" w14:textId="755E1F48" w:rsidR="00D567D0" w:rsidRPr="00DA29EC" w:rsidRDefault="000D6D10" w:rsidP="00A21473">
      <w:pPr>
        <w:pStyle w:val="FootnoteText"/>
        <w:tabs>
          <w:tab w:val="left" w:pos="567"/>
          <w:tab w:val="left" w:pos="1134"/>
        </w:tabs>
        <w:ind w:left="1134" w:hanging="1134"/>
        <w:rPr>
          <w:color w:val="000000" w:themeColor="text1"/>
          <w:sz w:val="24"/>
          <w:szCs w:val="24"/>
          <w:vertAlign w:val="superscript"/>
          <w:lang w:val="el-GR"/>
        </w:rPr>
      </w:pPr>
      <w:r w:rsidRPr="00DA29EC">
        <w:rPr>
          <w:color w:val="000000" w:themeColor="text1"/>
          <w:sz w:val="24"/>
          <w:szCs w:val="24"/>
          <w:lang w:val="el-GR"/>
        </w:rPr>
        <w:t xml:space="preserve"> </w:t>
      </w:r>
      <w:r w:rsidRPr="00DA29EC">
        <w:rPr>
          <w:color w:val="000000" w:themeColor="text1"/>
          <w:sz w:val="24"/>
          <w:szCs w:val="24"/>
          <w:lang w:val="el-GR"/>
        </w:rPr>
        <w:tab/>
      </w:r>
      <w:r w:rsidR="00D567D0" w:rsidRPr="00DA29EC">
        <w:rPr>
          <w:color w:val="000000" w:themeColor="text1"/>
          <w:sz w:val="24"/>
          <w:szCs w:val="24"/>
          <w:lang w:val="el-GR"/>
        </w:rPr>
        <w:t>–</w:t>
      </w:r>
      <w:r w:rsidR="00D567D0" w:rsidRPr="00DA29EC">
        <w:rPr>
          <w:color w:val="000000" w:themeColor="text1"/>
          <w:sz w:val="24"/>
          <w:szCs w:val="24"/>
          <w:lang w:val="el-GR"/>
        </w:rPr>
        <w:tab/>
        <w:t>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history="1">
        <w:r w:rsidR="00D567D0" w:rsidRPr="00DA29EC">
          <w:rPr>
            <w:rStyle w:val="Hyperlink"/>
            <w:sz w:val="24"/>
            <w:szCs w:val="24"/>
            <w:lang w:val="el-GR"/>
          </w:rPr>
          <w:t>http://data.europa.eu/eli/C/2025/1804/oj</w:t>
        </w:r>
      </w:hyperlink>
      <w:r w:rsidR="00D567D0" w:rsidRPr="00DA29EC">
        <w:rPr>
          <w:color w:val="000000" w:themeColor="text1"/>
          <w:sz w:val="24"/>
          <w:szCs w:val="24"/>
          <w:lang w:val="el-GR"/>
        </w:rPr>
        <w:t>).</w:t>
      </w:r>
    </w:p>
    <w:p w14:paraId="4396B7EF" w14:textId="404AAB2C" w:rsidR="00D567D0" w:rsidRPr="00DA29EC" w:rsidRDefault="000D6D10" w:rsidP="00A21473">
      <w:pPr>
        <w:pStyle w:val="FootnoteText"/>
        <w:tabs>
          <w:tab w:val="left" w:pos="567"/>
          <w:tab w:val="left" w:pos="1134"/>
        </w:tabs>
        <w:ind w:left="1134" w:hanging="1134"/>
        <w:rPr>
          <w:sz w:val="24"/>
          <w:szCs w:val="24"/>
          <w:vertAlign w:val="superscript"/>
          <w:lang w:val="el-GR"/>
        </w:rPr>
      </w:pPr>
      <w:r w:rsidRPr="00DA29EC">
        <w:rPr>
          <w:color w:val="000000" w:themeColor="text1"/>
          <w:sz w:val="24"/>
          <w:szCs w:val="24"/>
          <w:lang w:val="el-GR"/>
        </w:rPr>
        <w:t xml:space="preserve"> </w:t>
      </w:r>
      <w:r w:rsidRPr="00DA29EC">
        <w:rPr>
          <w:color w:val="000000" w:themeColor="text1"/>
          <w:sz w:val="24"/>
          <w:szCs w:val="24"/>
          <w:lang w:val="el-GR"/>
        </w:rPr>
        <w:tab/>
      </w:r>
      <w:r w:rsidR="00D567D0" w:rsidRPr="00DA29EC">
        <w:rPr>
          <w:color w:val="000000" w:themeColor="text1"/>
          <w:sz w:val="24"/>
          <w:szCs w:val="24"/>
          <w:lang w:val="el-GR"/>
        </w:rPr>
        <w:t>–</w:t>
      </w:r>
      <w:r w:rsidR="00D567D0" w:rsidRPr="00DA29EC">
        <w:rPr>
          <w:color w:val="000000" w:themeColor="text1"/>
          <w:sz w:val="24"/>
          <w:szCs w:val="24"/>
          <w:lang w:val="el-GR"/>
        </w:rPr>
        <w:tab/>
      </w:r>
      <w:r w:rsidR="00D567D0" w:rsidRPr="00DA29EC">
        <w:rPr>
          <w:sz w:val="24"/>
          <w:szCs w:val="24"/>
          <w:lang w:val="el-GR"/>
        </w:rPr>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2" w:tooltip="Πρόσβαση στο κείμενο μέσω URI τύπου ELI." w:history="1">
        <w:r w:rsidR="00D567D0" w:rsidRPr="00DA29EC">
          <w:rPr>
            <w:rStyle w:val="Hyperlink"/>
            <w:sz w:val="24"/>
            <w:szCs w:val="24"/>
            <w:lang w:val="el-GR"/>
          </w:rPr>
          <w:t>http://data.europa.eu/eli/C/2025/2246/oj</w:t>
        </w:r>
      </w:hyperlink>
      <w:r w:rsidR="00D567D0" w:rsidRPr="00DA29EC">
        <w:rPr>
          <w:sz w:val="24"/>
          <w:szCs w:val="24"/>
          <w:lang w:val="el-GR"/>
        </w:rPr>
        <w:t>).</w:t>
      </w:r>
    </w:p>
    <w:p w14:paraId="081B1615" w14:textId="0171FC64" w:rsidR="00D567D0" w:rsidRPr="00DA29EC" w:rsidRDefault="000D6D10" w:rsidP="00A21473">
      <w:pPr>
        <w:pStyle w:val="FootnoteText"/>
        <w:tabs>
          <w:tab w:val="left" w:pos="567"/>
          <w:tab w:val="left" w:pos="1134"/>
        </w:tabs>
        <w:ind w:left="1134" w:hanging="1134"/>
        <w:rPr>
          <w:sz w:val="24"/>
          <w:szCs w:val="24"/>
          <w:vertAlign w:val="superscript"/>
          <w:lang w:val="el-GR"/>
        </w:rPr>
      </w:pPr>
      <w:r w:rsidRPr="00DA29EC">
        <w:rPr>
          <w:sz w:val="24"/>
          <w:szCs w:val="24"/>
          <w:lang w:val="el-GR"/>
        </w:rPr>
        <w:t xml:space="preserve"> </w:t>
      </w:r>
      <w:r w:rsidRPr="00DA29EC">
        <w:rPr>
          <w:sz w:val="24"/>
          <w:szCs w:val="24"/>
          <w:lang w:val="el-GR"/>
        </w:rPr>
        <w:tab/>
      </w:r>
      <w:r w:rsidR="00D567D0" w:rsidRPr="00DA29EC">
        <w:rPr>
          <w:sz w:val="24"/>
          <w:szCs w:val="24"/>
          <w:lang w:val="el-GR"/>
        </w:rPr>
        <w:t>–</w:t>
      </w:r>
      <w:r w:rsidR="00D567D0" w:rsidRPr="00DA29EC">
        <w:rPr>
          <w:sz w:val="24"/>
          <w:szCs w:val="24"/>
          <w:lang w:val="el-GR"/>
        </w:rPr>
        <w:tab/>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3" w:history="1">
        <w:r w:rsidR="00D567D0" w:rsidRPr="00DA29EC">
          <w:rPr>
            <w:rStyle w:val="Hyperlink"/>
            <w:sz w:val="24"/>
            <w:szCs w:val="24"/>
            <w:lang w:val="el-GR"/>
          </w:rPr>
          <w:t>http://data.europa.eu/eli/C/2025/2247/oj</w:t>
        </w:r>
      </w:hyperlink>
      <w:r w:rsidR="00D567D0" w:rsidRPr="00DA29EC">
        <w:rPr>
          <w:sz w:val="24"/>
          <w:szCs w:val="24"/>
          <w:lang w:val="el-GR"/>
        </w:rPr>
        <w:t>).</w:t>
      </w:r>
    </w:p>
    <w:p w14:paraId="122AD755" w14:textId="770D3431" w:rsidR="00D567D0" w:rsidRPr="00DA29EC" w:rsidRDefault="000D6D10" w:rsidP="00A21473">
      <w:pPr>
        <w:pStyle w:val="FootnoteText"/>
        <w:tabs>
          <w:tab w:val="left" w:pos="567"/>
          <w:tab w:val="left" w:pos="1134"/>
        </w:tabs>
        <w:ind w:left="1134" w:hanging="1134"/>
        <w:rPr>
          <w:sz w:val="24"/>
          <w:szCs w:val="24"/>
          <w:vertAlign w:val="superscript"/>
          <w:lang w:val="el-GR"/>
        </w:rPr>
      </w:pPr>
      <w:r w:rsidRPr="00DA29EC">
        <w:rPr>
          <w:sz w:val="24"/>
          <w:szCs w:val="24"/>
          <w:lang w:val="el-GR"/>
        </w:rPr>
        <w:t xml:space="preserve"> </w:t>
      </w:r>
      <w:r w:rsidRPr="00DA29EC">
        <w:rPr>
          <w:sz w:val="24"/>
          <w:szCs w:val="24"/>
          <w:lang w:val="el-GR"/>
        </w:rPr>
        <w:tab/>
      </w:r>
      <w:r w:rsidR="00D567D0" w:rsidRPr="00DA29EC">
        <w:rPr>
          <w:sz w:val="24"/>
          <w:szCs w:val="24"/>
          <w:lang w:val="el-GR"/>
        </w:rPr>
        <w:t>–</w:t>
      </w:r>
      <w:r w:rsidR="00D567D0" w:rsidRPr="00DA29EC">
        <w:rPr>
          <w:sz w:val="24"/>
          <w:szCs w:val="24"/>
          <w:lang w:val="el-GR"/>
        </w:rPr>
        <w:tab/>
        <w:t xml:space="preserve">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DA29EC">
        <w:rPr>
          <w:sz w:val="24"/>
          <w:szCs w:val="24"/>
          <w:lang w:val="el-GR"/>
        </w:rPr>
        <w:t>(</w:t>
      </w:r>
      <w:r w:rsidR="00DA29EC" w:rsidRPr="00DA29EC">
        <w:rPr>
          <w:sz w:val="24"/>
          <w:szCs w:val="24"/>
          <w:lang w:val="el-GR"/>
        </w:rPr>
        <w:t xml:space="preserve">Κείμενα που εγκρίθηκαν, </w:t>
      </w:r>
      <w:r w:rsidR="00D567D0" w:rsidRPr="00DA29EC">
        <w:rPr>
          <w:sz w:val="24"/>
          <w:szCs w:val="24"/>
          <w:lang w:val="el-GR"/>
        </w:rPr>
        <w:t>P10_TA(2025)0106)</w:t>
      </w:r>
      <w:r w:rsidR="00DA29EC">
        <w:rPr>
          <w:sz w:val="24"/>
          <w:szCs w:val="24"/>
          <w:lang w:val="el-GR"/>
        </w:rPr>
        <w:t>)</w:t>
      </w:r>
      <w:r w:rsidR="00D567D0" w:rsidRPr="00DA29EC">
        <w:rPr>
          <w:sz w:val="24"/>
          <w:szCs w:val="24"/>
          <w:lang w:val="el-GR"/>
        </w:rPr>
        <w:t>.</w:t>
      </w:r>
    </w:p>
    <w:p w14:paraId="10939818" w14:textId="78BEE113" w:rsidR="00D567D0" w:rsidRPr="00DA29EC" w:rsidRDefault="000D6D10" w:rsidP="00A21473">
      <w:pPr>
        <w:pStyle w:val="FootnoteText"/>
        <w:tabs>
          <w:tab w:val="left" w:pos="567"/>
          <w:tab w:val="left" w:pos="1134"/>
        </w:tabs>
        <w:ind w:left="1134" w:hanging="1134"/>
        <w:rPr>
          <w:sz w:val="24"/>
          <w:szCs w:val="24"/>
          <w:vertAlign w:val="superscript"/>
          <w:lang w:val="el-GR"/>
        </w:rPr>
      </w:pPr>
      <w:r w:rsidRPr="00DA29EC">
        <w:rPr>
          <w:sz w:val="24"/>
          <w:szCs w:val="24"/>
          <w:lang w:val="el-GR"/>
        </w:rPr>
        <w:t xml:space="preserve"> </w:t>
      </w:r>
      <w:r w:rsidRPr="00DA29EC">
        <w:rPr>
          <w:sz w:val="24"/>
          <w:szCs w:val="24"/>
          <w:lang w:val="el-GR"/>
        </w:rPr>
        <w:tab/>
      </w:r>
      <w:r w:rsidR="00D567D0" w:rsidRPr="00DA29EC">
        <w:rPr>
          <w:sz w:val="24"/>
          <w:szCs w:val="24"/>
          <w:lang w:val="el-GR"/>
        </w:rPr>
        <w:t>–</w:t>
      </w:r>
      <w:r w:rsidR="00D567D0" w:rsidRPr="00DA29EC">
        <w:rPr>
          <w:sz w:val="24"/>
          <w:szCs w:val="24"/>
          <w:lang w:val="el-GR"/>
        </w:rPr>
        <w:tab/>
        <w:t xml:space="preserve">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w:t>
      </w:r>
      <w:r w:rsidR="00DA29EC">
        <w:rPr>
          <w:sz w:val="24"/>
          <w:szCs w:val="24"/>
          <w:lang w:val="el-GR"/>
        </w:rPr>
        <w:t>(</w:t>
      </w:r>
      <w:r w:rsidR="00DA29EC" w:rsidRPr="00DA29EC">
        <w:rPr>
          <w:sz w:val="24"/>
          <w:szCs w:val="24"/>
          <w:lang w:val="el-GR"/>
        </w:rPr>
        <w:t xml:space="preserve">Κείμενα που εγκρίθηκαν, </w:t>
      </w:r>
      <w:r w:rsidR="00D567D0" w:rsidRPr="00DA29EC">
        <w:rPr>
          <w:sz w:val="24"/>
          <w:szCs w:val="24"/>
          <w:lang w:val="el-GR"/>
        </w:rPr>
        <w:t>P10_TA(2025)0222</w:t>
      </w:r>
      <w:r w:rsidR="00DA29EC">
        <w:rPr>
          <w:sz w:val="24"/>
          <w:szCs w:val="24"/>
          <w:lang w:val="el-GR"/>
        </w:rPr>
        <w:t>)</w:t>
      </w:r>
      <w:r w:rsidR="00D567D0" w:rsidRPr="00DA29EC">
        <w:rPr>
          <w:sz w:val="24"/>
          <w:szCs w:val="24"/>
          <w:lang w:val="el-GR"/>
        </w:rPr>
        <w:t>.</w:t>
      </w:r>
    </w:p>
    <w:p w14:paraId="093E9DC0" w14:textId="645A6C3D" w:rsidR="00D567D0" w:rsidRPr="00DA29EC" w:rsidRDefault="000D6D10" w:rsidP="00A21473">
      <w:pPr>
        <w:pStyle w:val="FootnoteText"/>
        <w:tabs>
          <w:tab w:val="left" w:pos="567"/>
          <w:tab w:val="left" w:pos="1134"/>
        </w:tabs>
        <w:ind w:left="1134" w:hanging="1134"/>
        <w:rPr>
          <w:sz w:val="24"/>
          <w:szCs w:val="24"/>
          <w:vertAlign w:val="superscript"/>
          <w:lang w:val="el-GR"/>
        </w:rPr>
      </w:pPr>
      <w:r w:rsidRPr="00DA29EC">
        <w:rPr>
          <w:sz w:val="24"/>
          <w:szCs w:val="24"/>
          <w:lang w:val="el-GR"/>
        </w:rPr>
        <w:t xml:space="preserve"> </w:t>
      </w:r>
      <w:r w:rsidRPr="00DA29EC">
        <w:rPr>
          <w:sz w:val="24"/>
          <w:szCs w:val="24"/>
          <w:lang w:val="el-GR"/>
        </w:rPr>
        <w:tab/>
      </w:r>
      <w:r w:rsidR="00D567D0" w:rsidRPr="00DA29EC">
        <w:rPr>
          <w:sz w:val="24"/>
          <w:szCs w:val="24"/>
          <w:lang w:val="el-GR"/>
        </w:rPr>
        <w:t>–</w:t>
      </w:r>
      <w:r w:rsidR="00D567D0" w:rsidRPr="00DA29EC">
        <w:rPr>
          <w:sz w:val="24"/>
          <w:szCs w:val="24"/>
          <w:lang w:val="el-GR"/>
        </w:rPr>
        <w:tab/>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w:t>
      </w:r>
      <w:r w:rsidR="00DA29EC">
        <w:rPr>
          <w:sz w:val="24"/>
          <w:szCs w:val="24"/>
          <w:lang w:val="el-GR"/>
        </w:rPr>
        <w:t>(</w:t>
      </w:r>
      <w:r w:rsidR="00DA29EC" w:rsidRPr="00DA29EC">
        <w:rPr>
          <w:sz w:val="24"/>
          <w:szCs w:val="24"/>
          <w:lang w:val="el-GR"/>
        </w:rPr>
        <w:t xml:space="preserve">Κείμενα που εγκρίθηκαν, </w:t>
      </w:r>
      <w:r w:rsidR="00D567D0" w:rsidRPr="00DA29EC">
        <w:rPr>
          <w:sz w:val="24"/>
          <w:szCs w:val="24"/>
          <w:lang w:val="el-GR"/>
        </w:rPr>
        <w:t>P10_TA(2025)0288</w:t>
      </w:r>
      <w:r w:rsidR="00DA29EC">
        <w:rPr>
          <w:sz w:val="24"/>
          <w:szCs w:val="24"/>
          <w:lang w:val="el-GR"/>
        </w:rPr>
        <w:t>)</w:t>
      </w:r>
      <w:r w:rsidR="00D567D0" w:rsidRPr="00DA29EC">
        <w:rPr>
          <w:sz w:val="24"/>
          <w:szCs w:val="24"/>
          <w:lang w:val="el-GR"/>
        </w:rPr>
        <w:t>.</w:t>
      </w:r>
    </w:p>
    <w:p w14:paraId="423677BC" w14:textId="59BD5E09" w:rsidR="00D567D0" w:rsidRPr="00DA29EC" w:rsidRDefault="000D6D10" w:rsidP="00A21473">
      <w:pPr>
        <w:pStyle w:val="FootnoteText"/>
        <w:keepNext/>
        <w:tabs>
          <w:tab w:val="left" w:pos="567"/>
          <w:tab w:val="left" w:pos="1134"/>
        </w:tabs>
        <w:ind w:left="1134" w:hanging="1134"/>
        <w:rPr>
          <w:sz w:val="24"/>
          <w:szCs w:val="24"/>
          <w:vertAlign w:val="superscript"/>
          <w:lang w:val="el-GR"/>
        </w:rPr>
      </w:pPr>
      <w:r w:rsidRPr="00DA29EC">
        <w:rPr>
          <w:sz w:val="24"/>
          <w:szCs w:val="24"/>
          <w:lang w:val="el-GR"/>
        </w:rPr>
        <w:t xml:space="preserve"> </w:t>
      </w:r>
      <w:r w:rsidRPr="00DA29EC">
        <w:rPr>
          <w:sz w:val="24"/>
          <w:szCs w:val="24"/>
          <w:lang w:val="el-GR"/>
        </w:rPr>
        <w:tab/>
      </w:r>
      <w:r w:rsidR="00D567D0" w:rsidRPr="00DA29EC">
        <w:rPr>
          <w:sz w:val="24"/>
          <w:szCs w:val="24"/>
          <w:lang w:val="el-GR"/>
        </w:rPr>
        <w:t>–</w:t>
      </w:r>
      <w:r w:rsidR="00D567D0" w:rsidRPr="00DA29EC">
        <w:rPr>
          <w:sz w:val="24"/>
          <w:szCs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MON 88913 (MON-88913-8), σύμφωνα με τον κανονισμό (ΕΚ) αριθ. 1829/2003 του Ευρωπαϊκού Κοινοβουλίου και του Συμβουλίου </w:t>
      </w:r>
      <w:r w:rsidR="00DA29EC">
        <w:rPr>
          <w:sz w:val="24"/>
          <w:szCs w:val="24"/>
          <w:lang w:val="el-GR"/>
        </w:rPr>
        <w:t>(</w:t>
      </w:r>
      <w:r w:rsidR="00DA29EC" w:rsidRPr="00DA29EC">
        <w:rPr>
          <w:sz w:val="24"/>
          <w:szCs w:val="24"/>
          <w:lang w:val="el-GR"/>
        </w:rPr>
        <w:t xml:space="preserve">Κείμενα που εγκρίθηκαν, </w:t>
      </w:r>
      <w:r w:rsidR="00D567D0" w:rsidRPr="00DA29EC">
        <w:rPr>
          <w:sz w:val="24"/>
          <w:szCs w:val="24"/>
          <w:lang w:val="el-GR"/>
        </w:rPr>
        <w:t>P10_TA(2025)0289</w:t>
      </w:r>
      <w:r w:rsidR="00DA29EC">
        <w:rPr>
          <w:sz w:val="24"/>
          <w:szCs w:val="24"/>
          <w:lang w:val="el-GR"/>
        </w:rPr>
        <w:t>)</w:t>
      </w:r>
      <w:r w:rsidR="00D567D0" w:rsidRPr="00DA29EC">
        <w:rPr>
          <w:sz w:val="24"/>
          <w:szCs w:val="24"/>
          <w:lang w:val="el-GR"/>
        </w:rPr>
        <w:t>.</w:t>
      </w:r>
    </w:p>
    <w:p w14:paraId="3E9C4ED9" w14:textId="75136879" w:rsidR="00D567D0" w:rsidRPr="00DA29EC" w:rsidRDefault="000D6D10" w:rsidP="00A21473">
      <w:pPr>
        <w:pStyle w:val="FootnoteText"/>
        <w:tabs>
          <w:tab w:val="left" w:pos="567"/>
          <w:tab w:val="left" w:pos="1134"/>
        </w:tabs>
        <w:ind w:left="1134" w:hanging="1134"/>
        <w:rPr>
          <w:sz w:val="24"/>
          <w:szCs w:val="24"/>
          <w:vertAlign w:val="superscript"/>
          <w:lang w:val="el-GR"/>
        </w:rPr>
      </w:pPr>
      <w:r w:rsidRPr="00DA29EC">
        <w:rPr>
          <w:sz w:val="24"/>
          <w:szCs w:val="24"/>
          <w:lang w:val="el-GR"/>
        </w:rPr>
        <w:t xml:space="preserve"> </w:t>
      </w:r>
      <w:r w:rsidRPr="00DA29EC">
        <w:rPr>
          <w:sz w:val="24"/>
          <w:szCs w:val="24"/>
          <w:lang w:val="el-GR"/>
        </w:rPr>
        <w:tab/>
      </w:r>
      <w:r w:rsidR="00D567D0" w:rsidRPr="00DA29EC">
        <w:rPr>
          <w:sz w:val="24"/>
          <w:szCs w:val="24"/>
          <w:lang w:val="el-GR"/>
        </w:rPr>
        <w:t>–</w:t>
      </w:r>
      <w:r w:rsidR="00D567D0" w:rsidRPr="00DA29EC">
        <w:rPr>
          <w:sz w:val="24"/>
          <w:szCs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w:t>
      </w:r>
      <w:r w:rsidR="00DA29EC">
        <w:rPr>
          <w:sz w:val="24"/>
          <w:szCs w:val="24"/>
          <w:lang w:val="el-GR"/>
        </w:rPr>
        <w:t>(</w:t>
      </w:r>
      <w:r w:rsidR="00DA29EC" w:rsidRPr="00DA29EC">
        <w:rPr>
          <w:sz w:val="24"/>
          <w:szCs w:val="24"/>
          <w:lang w:val="el-GR"/>
        </w:rPr>
        <w:t xml:space="preserve">Κείμενα που εγκρίθηκαν, </w:t>
      </w:r>
      <w:r w:rsidR="00D567D0" w:rsidRPr="00DA29EC">
        <w:rPr>
          <w:sz w:val="24"/>
          <w:szCs w:val="24"/>
          <w:lang w:val="el-GR"/>
        </w:rPr>
        <w:t>P10_TA(2025)0290</w:t>
      </w:r>
      <w:r w:rsidR="00DA29EC">
        <w:rPr>
          <w:sz w:val="24"/>
          <w:szCs w:val="24"/>
          <w:lang w:val="el-GR"/>
        </w:rPr>
        <w:t>)</w:t>
      </w:r>
      <w:r w:rsidR="00D567D0" w:rsidRPr="00DA29EC">
        <w:rPr>
          <w:sz w:val="24"/>
          <w:szCs w:val="24"/>
          <w:lang w:val="el-GR"/>
        </w:rPr>
        <w:t>.</w:t>
      </w:r>
    </w:p>
    <w:p w14:paraId="0D89B5B9" w14:textId="6B5F050E" w:rsidR="00D567D0" w:rsidRPr="00DA29EC" w:rsidRDefault="000D6D10" w:rsidP="00A21473">
      <w:pPr>
        <w:pStyle w:val="FootnoteText"/>
        <w:tabs>
          <w:tab w:val="left" w:pos="567"/>
          <w:tab w:val="left" w:pos="1134"/>
        </w:tabs>
        <w:ind w:left="1134" w:hanging="1134"/>
        <w:rPr>
          <w:sz w:val="24"/>
          <w:szCs w:val="24"/>
          <w:vertAlign w:val="superscript"/>
          <w:lang w:val="el-GR"/>
        </w:rPr>
      </w:pPr>
      <w:r w:rsidRPr="00DA29EC">
        <w:rPr>
          <w:sz w:val="24"/>
          <w:szCs w:val="24"/>
          <w:lang w:val="el-GR"/>
        </w:rPr>
        <w:t xml:space="preserve"> </w:t>
      </w:r>
      <w:r w:rsidRPr="00DA29EC">
        <w:rPr>
          <w:sz w:val="24"/>
          <w:szCs w:val="24"/>
          <w:lang w:val="el-GR"/>
        </w:rPr>
        <w:tab/>
      </w:r>
      <w:r w:rsidR="00D567D0" w:rsidRPr="00DA29EC">
        <w:rPr>
          <w:sz w:val="24"/>
          <w:szCs w:val="24"/>
          <w:lang w:val="el-GR"/>
        </w:rPr>
        <w:t>–</w:t>
      </w:r>
      <w:r w:rsidR="00D567D0" w:rsidRPr="00DA29EC">
        <w:rPr>
          <w:sz w:val="24"/>
          <w:szCs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w:t>
      </w:r>
      <w:r w:rsidR="00DA29EC">
        <w:rPr>
          <w:sz w:val="24"/>
          <w:szCs w:val="24"/>
          <w:lang w:val="el-GR"/>
        </w:rPr>
        <w:t>(</w:t>
      </w:r>
      <w:r w:rsidR="00DA29EC" w:rsidRPr="00DA29EC">
        <w:rPr>
          <w:sz w:val="24"/>
          <w:szCs w:val="24"/>
          <w:lang w:val="el-GR"/>
        </w:rPr>
        <w:t xml:space="preserve">Κείμενα που εγκρίθηκαν, </w:t>
      </w:r>
      <w:r w:rsidR="00D567D0" w:rsidRPr="00DA29EC">
        <w:rPr>
          <w:sz w:val="24"/>
          <w:szCs w:val="24"/>
          <w:lang w:val="el-GR"/>
        </w:rPr>
        <w:t>P10_TA(2025)0291</w:t>
      </w:r>
      <w:r w:rsidR="00DA29EC">
        <w:rPr>
          <w:sz w:val="24"/>
          <w:szCs w:val="24"/>
          <w:lang w:val="el-GR"/>
        </w:rPr>
        <w:t>)</w:t>
      </w:r>
      <w:r w:rsidR="00D567D0" w:rsidRPr="00DA29EC">
        <w:rPr>
          <w:sz w:val="24"/>
          <w:szCs w:val="24"/>
          <w:lang w:val="el-GR"/>
        </w:rPr>
        <w:t>.</w:t>
      </w:r>
    </w:p>
    <w:p w14:paraId="770D3A58" w14:textId="577645B1" w:rsidR="00D567D0" w:rsidRPr="00DA29EC" w:rsidRDefault="00DA29EC" w:rsidP="00A21473">
      <w:pPr>
        <w:pStyle w:val="FootnoteText"/>
        <w:tabs>
          <w:tab w:val="left" w:pos="567"/>
          <w:tab w:val="left" w:pos="1134"/>
        </w:tabs>
        <w:ind w:left="1134" w:hanging="1134"/>
        <w:rPr>
          <w:sz w:val="24"/>
          <w:szCs w:val="24"/>
          <w:vertAlign w:val="superscript"/>
          <w:lang w:val="el-GR"/>
        </w:rPr>
      </w:pPr>
      <w:r w:rsidRPr="00DA29EC">
        <w:rPr>
          <w:sz w:val="24"/>
          <w:szCs w:val="24"/>
          <w:lang w:val="el-GR"/>
        </w:rPr>
        <w:t xml:space="preserve"> </w:t>
      </w:r>
      <w:r>
        <w:rPr>
          <w:sz w:val="24"/>
          <w:szCs w:val="24"/>
          <w:lang w:val="el-GR"/>
        </w:rPr>
        <w:tab/>
        <w:t>–</w:t>
      </w:r>
      <w:r>
        <w:rPr>
          <w:sz w:val="24"/>
          <w:szCs w:val="24"/>
          <w:lang w:val="el-GR"/>
        </w:rPr>
        <w:tab/>
      </w:r>
      <w:r w:rsidR="00D567D0" w:rsidRPr="00DA29EC">
        <w:rPr>
          <w:sz w:val="24"/>
          <w:szCs w:val="24"/>
          <w:lang w:val="el-GR"/>
        </w:rPr>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87427, σύμφωνα με τον κανονισμό (ΕΚ) αριθ. 1829/2003 του Ευρωπαϊκού Κοινοβουλίου και του Συμβουλίου </w:t>
      </w:r>
      <w:r>
        <w:rPr>
          <w:sz w:val="24"/>
          <w:szCs w:val="24"/>
          <w:lang w:val="el-GR"/>
        </w:rPr>
        <w:t>(</w:t>
      </w:r>
      <w:r w:rsidRPr="00DA29EC">
        <w:rPr>
          <w:sz w:val="24"/>
          <w:szCs w:val="24"/>
          <w:lang w:val="el-GR"/>
        </w:rPr>
        <w:t xml:space="preserve">Κείμενα που εγκρίθηκαν, </w:t>
      </w:r>
      <w:r w:rsidR="00D567D0" w:rsidRPr="00DA29EC">
        <w:rPr>
          <w:sz w:val="24"/>
          <w:szCs w:val="24"/>
          <w:lang w:val="el-GR"/>
        </w:rPr>
        <w:t>P10_TA(2025)0292</w:t>
      </w:r>
      <w:r>
        <w:rPr>
          <w:sz w:val="24"/>
          <w:szCs w:val="24"/>
          <w:lang w:val="el-GR"/>
        </w:rPr>
        <w:t>)</w:t>
      </w:r>
      <w:r w:rsidR="00D567D0" w:rsidRPr="00DA29EC">
        <w:rPr>
          <w:sz w:val="24"/>
          <w:szCs w:val="24"/>
          <w:lang w:val="el-GR"/>
        </w:rPr>
        <w:t>.</w:t>
      </w:r>
    </w:p>
    <w:p w14:paraId="51842E64" w14:textId="5FF2A00B" w:rsidR="00D567D0" w:rsidRPr="00DA29EC" w:rsidRDefault="00DA29EC" w:rsidP="00A21473">
      <w:pPr>
        <w:pStyle w:val="FootnoteText"/>
        <w:tabs>
          <w:tab w:val="left" w:pos="567"/>
          <w:tab w:val="left" w:pos="1134"/>
        </w:tabs>
        <w:ind w:left="1134" w:hanging="1134"/>
        <w:rPr>
          <w:sz w:val="24"/>
          <w:szCs w:val="24"/>
          <w:vertAlign w:val="superscript"/>
          <w:lang w:val="el-GR"/>
        </w:rPr>
      </w:pPr>
      <w:r w:rsidRPr="00DA29EC">
        <w:rPr>
          <w:sz w:val="24"/>
          <w:szCs w:val="24"/>
          <w:lang w:val="el-GR"/>
        </w:rPr>
        <w:t xml:space="preserve"> </w:t>
      </w:r>
      <w:r>
        <w:rPr>
          <w:sz w:val="24"/>
          <w:szCs w:val="24"/>
          <w:lang w:val="el-GR"/>
        </w:rPr>
        <w:tab/>
        <w:t>–</w:t>
      </w:r>
      <w:r>
        <w:rPr>
          <w:sz w:val="24"/>
          <w:szCs w:val="24"/>
          <w:lang w:val="el-GR"/>
        </w:rPr>
        <w:tab/>
      </w:r>
      <w:r w:rsidR="00D567D0" w:rsidRPr="00DA29EC">
        <w:rPr>
          <w:sz w:val="24"/>
          <w:szCs w:val="24"/>
          <w:lang w:val="el-GR"/>
        </w:rPr>
        <w:t xml:space="preserve">Ψήφισμα του Ευρωπαϊκού Κοινοβουλίου της 16ης Δεκεμβρίου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 </w:t>
      </w:r>
      <w:r>
        <w:rPr>
          <w:sz w:val="24"/>
          <w:szCs w:val="24"/>
          <w:lang w:val="el-GR"/>
        </w:rPr>
        <w:t>(</w:t>
      </w:r>
      <w:r w:rsidRPr="00DA29EC">
        <w:rPr>
          <w:sz w:val="24"/>
          <w:szCs w:val="24"/>
          <w:lang w:val="el-GR"/>
        </w:rPr>
        <w:t xml:space="preserve">Κείμενα που εγκρίθηκαν, </w:t>
      </w:r>
      <w:r w:rsidR="00D567D0" w:rsidRPr="00DA29EC">
        <w:rPr>
          <w:sz w:val="24"/>
          <w:szCs w:val="24"/>
          <w:lang w:val="el-GR"/>
        </w:rPr>
        <w:t>P10_TA(2025)0327</w:t>
      </w:r>
      <w:r>
        <w:rPr>
          <w:sz w:val="24"/>
          <w:szCs w:val="24"/>
          <w:lang w:val="el-GR"/>
        </w:rPr>
        <w:t>)</w:t>
      </w:r>
      <w:r w:rsidR="00D567D0" w:rsidRPr="00DA29EC">
        <w:rPr>
          <w:sz w:val="24"/>
          <w:szCs w:val="24"/>
          <w:lang w:val="el-GR"/>
        </w:rPr>
        <w:t>.</w:t>
      </w:r>
    </w:p>
    <w:p w14:paraId="56F485DF" w14:textId="10B64477" w:rsidR="00D567D0" w:rsidRPr="00DA29EC" w:rsidRDefault="000D6D10" w:rsidP="00A21473">
      <w:pPr>
        <w:pStyle w:val="FootnoteText"/>
        <w:tabs>
          <w:tab w:val="left" w:pos="567"/>
          <w:tab w:val="left" w:pos="1134"/>
        </w:tabs>
        <w:ind w:left="1134" w:hanging="1134"/>
        <w:rPr>
          <w:sz w:val="24"/>
          <w:szCs w:val="24"/>
          <w:lang w:val="el-GR"/>
        </w:rPr>
      </w:pPr>
      <w:r w:rsidRPr="00DA29EC">
        <w:rPr>
          <w:sz w:val="24"/>
          <w:szCs w:val="24"/>
          <w:lang w:val="el-GR"/>
        </w:rPr>
        <w:t xml:space="preserve"> </w:t>
      </w:r>
      <w:r w:rsidRPr="00DA29EC">
        <w:rPr>
          <w:sz w:val="24"/>
          <w:szCs w:val="24"/>
          <w:lang w:val="el-GR"/>
        </w:rPr>
        <w:tab/>
      </w:r>
      <w:r w:rsidR="00DA29EC">
        <w:rPr>
          <w:sz w:val="24"/>
          <w:szCs w:val="24"/>
          <w:lang w:val="el-GR"/>
        </w:rPr>
        <w:t>–</w:t>
      </w:r>
      <w:r w:rsidR="00DA29EC">
        <w:rPr>
          <w:sz w:val="24"/>
          <w:szCs w:val="24"/>
          <w:lang w:val="el-GR"/>
        </w:rPr>
        <w:tab/>
      </w:r>
      <w:r w:rsidR="00D567D0" w:rsidRPr="00DA29EC">
        <w:rPr>
          <w:sz w:val="24"/>
          <w:szCs w:val="24"/>
          <w:lang w:val="el-GR"/>
        </w:rPr>
        <w:t xml:space="preserve">Ψήφισμα του Ευρωπαϊκού Κοινοβουλίου </w:t>
      </w:r>
      <w:r w:rsidR="00D048CC">
        <w:rPr>
          <w:sz w:val="24"/>
          <w:szCs w:val="24"/>
          <w:lang w:val="el-GR"/>
        </w:rPr>
        <w:t xml:space="preserve">της 16ης Δεκεμβρίου 2025 </w:t>
      </w:r>
      <w:r w:rsidR="00D567D0" w:rsidRPr="00DA29EC">
        <w:rPr>
          <w:sz w:val="24"/>
          <w:szCs w:val="24"/>
          <w:lang w:val="el-GR"/>
        </w:rPr>
        <w:t>σχετικά με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1829/2003 του Ευρωπαϊκού Κοινοβουλίου και του Συμβουλίου (</w:t>
      </w:r>
      <w:r w:rsidR="00DA29EC" w:rsidRPr="00DA29EC">
        <w:rPr>
          <w:sz w:val="24"/>
          <w:szCs w:val="24"/>
          <w:lang w:val="el-GR"/>
        </w:rPr>
        <w:t xml:space="preserve">Κείμενα που εγκρίθηκαν, </w:t>
      </w:r>
      <w:r w:rsidR="00D567D0" w:rsidRPr="00DA29EC">
        <w:rPr>
          <w:sz w:val="24"/>
          <w:szCs w:val="24"/>
          <w:lang w:val="el-GR"/>
        </w:rPr>
        <w:t>P10_TA(2025)0328).</w:t>
      </w:r>
    </w:p>
  </w:footnote>
  <w:footnote w:id="5">
    <w:p w14:paraId="7DC0AA27" w14:textId="7A8787C9"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r w:rsidRPr="00DA29EC">
        <w:rPr>
          <w:sz w:val="24"/>
          <w:szCs w:val="24"/>
          <w:lang w:val="el-GR"/>
        </w:rPr>
        <w:t>Εκτελεστική απόφαση (ΕΕ) 2015/690 της Επιτροπής, της 24ης Απριλίου 2015, για την έγκριση της διάθεσης στην αγορά προϊόντων που περιέχουν, αποτελούνται ή παράγονται από γενετικώς τροποποιημένο βαμβάκι GHB614xLLCotton25 (BCS-GHØØ2-5xACS-GHØØ1-3) σύμφωνα με τον κανονισμό (ΕΚ) αριθ. 1829/2003 του Ευρωπαϊκού Κοινοβουλίου και του Συμβουλίου (ΕΕ L 112 της 30.4.2015, σ. 35, ELI: </w:t>
      </w:r>
      <w:hyperlink r:id="rId14" w:history="1">
        <w:r w:rsidRPr="00DA29EC">
          <w:rPr>
            <w:rStyle w:val="Hyperlink"/>
            <w:sz w:val="24"/>
            <w:szCs w:val="24"/>
            <w:lang w:val="el-GR"/>
          </w:rPr>
          <w:t>http://data.europa.eu/eli/dec_impl/2015/690/oj</w:t>
        </w:r>
      </w:hyperlink>
      <w:r w:rsidRPr="00DA29EC">
        <w:rPr>
          <w:rStyle w:val="Hyperlink"/>
          <w:sz w:val="24"/>
          <w:szCs w:val="24"/>
          <w:lang w:val="el-GR"/>
        </w:rPr>
        <w:t>).</w:t>
      </w:r>
    </w:p>
  </w:footnote>
  <w:footnote w:id="6">
    <w:p w14:paraId="634C9AD1" w14:textId="599EFEC9" w:rsidR="00D567D0" w:rsidRPr="00DA29EC" w:rsidRDefault="00D567D0" w:rsidP="000D6D10">
      <w:pPr>
        <w:pStyle w:val="FootnoteText"/>
        <w:ind w:left="567" w:hanging="567"/>
        <w:rPr>
          <w:sz w:val="24"/>
          <w:szCs w:val="24"/>
          <w:lang w:val="fr-BE"/>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r w:rsidRPr="00DA29EC">
        <w:rPr>
          <w:sz w:val="24"/>
          <w:szCs w:val="24"/>
          <w:lang w:val="el-GR"/>
        </w:rPr>
        <w:t>Επιστημονική γνώμη της ομάδας της EFSA για τους γενετικώς τροποποιημένους οργανισμούς σχετικά με την αίτηση (κωδικός EFSA-GMO-NL-2010-77) για τη διάθεση στην αγορά γενετικώς τροποποιημένου βαμβακιού GHB614 × LLCotton25 ανθεκτικού στα ζιζανιοκτόνα, για χρήση σε τρόφιμα και ζωοτροφές, εισαγωγή και επεξεργασία δυνάμει του κανονισμού (ΕΚ) αριθ. </w:t>
      </w:r>
      <w:r w:rsidRPr="00DA29EC">
        <w:rPr>
          <w:sz w:val="24"/>
          <w:szCs w:val="24"/>
          <w:lang w:val="fr-BE"/>
        </w:rPr>
        <w:t xml:space="preserve">1829/2003 </w:t>
      </w:r>
      <w:r w:rsidRPr="00DA29EC">
        <w:rPr>
          <w:sz w:val="24"/>
          <w:szCs w:val="24"/>
          <w:lang w:val="el-GR"/>
        </w:rPr>
        <w:t>από</w:t>
      </w:r>
      <w:r w:rsidRPr="00DA29EC">
        <w:rPr>
          <w:sz w:val="24"/>
          <w:szCs w:val="24"/>
          <w:lang w:val="fr-BE"/>
        </w:rPr>
        <w:t xml:space="preserve"> </w:t>
      </w:r>
      <w:r w:rsidRPr="00DA29EC">
        <w:rPr>
          <w:sz w:val="24"/>
          <w:szCs w:val="24"/>
          <w:lang w:val="el-GR"/>
        </w:rPr>
        <w:t>την</w:t>
      </w:r>
      <w:r w:rsidRPr="00DA29EC">
        <w:rPr>
          <w:sz w:val="24"/>
          <w:szCs w:val="24"/>
          <w:lang w:val="fr-BE"/>
        </w:rPr>
        <w:t xml:space="preserve"> Bayer </w:t>
      </w:r>
      <w:proofErr w:type="spellStart"/>
      <w:r w:rsidRPr="00DA29EC">
        <w:rPr>
          <w:sz w:val="24"/>
          <w:szCs w:val="24"/>
          <w:lang w:val="fr-BE"/>
        </w:rPr>
        <w:t>CropScience</w:t>
      </w:r>
      <w:proofErr w:type="spellEnd"/>
      <w:r w:rsidRPr="00DA29EC">
        <w:rPr>
          <w:sz w:val="24"/>
          <w:szCs w:val="24"/>
          <w:lang w:val="fr-BE"/>
        </w:rPr>
        <w:t xml:space="preserve">, </w:t>
      </w:r>
      <w:r w:rsidRPr="00DA29EC">
        <w:rPr>
          <w:i/>
          <w:sz w:val="24"/>
          <w:szCs w:val="24"/>
          <w:lang w:val="fr-BE"/>
        </w:rPr>
        <w:t>EFSA Journal</w:t>
      </w:r>
      <w:r w:rsidRPr="00DA29EC">
        <w:rPr>
          <w:sz w:val="24"/>
          <w:szCs w:val="24"/>
          <w:lang w:val="fr-BE"/>
        </w:rPr>
        <w:t>, 2014</w:t>
      </w:r>
      <w:r w:rsidRPr="00DA29EC">
        <w:rPr>
          <w:sz w:val="24"/>
          <w:szCs w:val="24"/>
          <w:lang w:val="el-GR"/>
        </w:rPr>
        <w:t>·</w:t>
      </w:r>
      <w:r w:rsidRPr="00DA29EC">
        <w:rPr>
          <w:sz w:val="24"/>
          <w:szCs w:val="24"/>
          <w:lang w:val="fr-BE"/>
        </w:rPr>
        <w:t xml:space="preserve">12(5):3680, </w:t>
      </w:r>
      <w:hyperlink r:id="rId15" w:history="1">
        <w:r w:rsidRPr="00DA29EC">
          <w:rPr>
            <w:rStyle w:val="Hyperlink"/>
            <w:sz w:val="24"/>
            <w:szCs w:val="24"/>
            <w:lang w:val="fr-BE"/>
          </w:rPr>
          <w:t>https://doi.org/10.2903/j.efsa.2014.3680</w:t>
        </w:r>
      </w:hyperlink>
      <w:r w:rsidRPr="00DA29EC">
        <w:rPr>
          <w:sz w:val="24"/>
          <w:szCs w:val="24"/>
          <w:lang w:val="fr-BE"/>
        </w:rPr>
        <w:t xml:space="preserve">. </w:t>
      </w:r>
    </w:p>
  </w:footnote>
  <w:footnote w:id="7">
    <w:p w14:paraId="0CDC3F7C" w14:textId="468EB430" w:rsidR="00D567D0" w:rsidRPr="00DA29EC" w:rsidRDefault="00D567D0" w:rsidP="000D6D10">
      <w:pPr>
        <w:pStyle w:val="FootnoteText"/>
        <w:ind w:left="567" w:hanging="567"/>
        <w:rPr>
          <w:sz w:val="24"/>
          <w:szCs w:val="24"/>
          <w:lang w:val="fr-BE"/>
        </w:rPr>
      </w:pPr>
      <w:r w:rsidRPr="00DA29EC">
        <w:rPr>
          <w:rStyle w:val="FootnoteReference"/>
          <w:sz w:val="24"/>
          <w:szCs w:val="24"/>
          <w:lang w:val="el-GR"/>
        </w:rPr>
        <w:footnoteRef/>
      </w:r>
      <w:r w:rsidR="000D6D10" w:rsidRPr="00DA29EC">
        <w:rPr>
          <w:sz w:val="24"/>
          <w:szCs w:val="24"/>
          <w:shd w:val="clear" w:color="auto" w:fill="FFFFFF"/>
          <w:lang w:val="fr-BE"/>
        </w:rPr>
        <w:t xml:space="preserve"> </w:t>
      </w:r>
      <w:r w:rsidR="000D6D10" w:rsidRPr="00DA29EC">
        <w:rPr>
          <w:sz w:val="24"/>
          <w:szCs w:val="24"/>
          <w:shd w:val="clear" w:color="auto" w:fill="FFFFFF"/>
          <w:lang w:val="fr-BE"/>
        </w:rPr>
        <w:tab/>
      </w:r>
      <w:proofErr w:type="spellStart"/>
      <w:r w:rsidRPr="00DA29EC">
        <w:rPr>
          <w:sz w:val="24"/>
          <w:szCs w:val="24"/>
          <w:shd w:val="clear" w:color="auto" w:fill="FFFFFF"/>
          <w:lang w:val="el-GR"/>
        </w:rPr>
        <w:t>Βλ</w:t>
      </w:r>
      <w:proofErr w:type="spellEnd"/>
      <w:r w:rsidRPr="00DA29EC">
        <w:rPr>
          <w:sz w:val="24"/>
          <w:szCs w:val="24"/>
          <w:shd w:val="clear" w:color="auto" w:fill="FFFFFF"/>
          <w:lang w:val="fr-BE"/>
        </w:rPr>
        <w:t xml:space="preserve">. </w:t>
      </w:r>
      <w:r w:rsidRPr="00DA29EC">
        <w:rPr>
          <w:sz w:val="24"/>
          <w:szCs w:val="24"/>
          <w:shd w:val="clear" w:color="auto" w:fill="FFFFFF"/>
          <w:lang w:val="el-GR"/>
        </w:rPr>
        <w:t>για</w:t>
      </w:r>
      <w:r w:rsidRPr="00DA29EC">
        <w:rPr>
          <w:sz w:val="24"/>
          <w:szCs w:val="24"/>
          <w:shd w:val="clear" w:color="auto" w:fill="FFFFFF"/>
          <w:lang w:val="fr-BE"/>
        </w:rPr>
        <w:t xml:space="preserve"> </w:t>
      </w:r>
      <w:r w:rsidRPr="00DA29EC">
        <w:rPr>
          <w:sz w:val="24"/>
          <w:szCs w:val="24"/>
          <w:shd w:val="clear" w:color="auto" w:fill="FFFFFF"/>
          <w:lang w:val="el-GR"/>
        </w:rPr>
        <w:t>παράδειγμα</w:t>
      </w:r>
      <w:r w:rsidRPr="00DA29EC">
        <w:rPr>
          <w:sz w:val="24"/>
          <w:szCs w:val="24"/>
          <w:shd w:val="clear" w:color="auto" w:fill="FFFFFF"/>
          <w:lang w:val="fr-BE"/>
        </w:rPr>
        <w:t>, Bonny, S., «</w:t>
      </w:r>
      <w:proofErr w:type="spellStart"/>
      <w:r w:rsidRPr="00DA29EC">
        <w:rPr>
          <w:sz w:val="24"/>
          <w:szCs w:val="24"/>
          <w:shd w:val="clear" w:color="auto" w:fill="FFFFFF"/>
          <w:lang w:val="fr-BE"/>
        </w:rPr>
        <w:t>Genetically</w:t>
      </w:r>
      <w:proofErr w:type="spellEnd"/>
      <w:r w:rsidRPr="00DA29EC">
        <w:rPr>
          <w:sz w:val="24"/>
          <w:szCs w:val="24"/>
          <w:shd w:val="clear" w:color="auto" w:fill="FFFFFF"/>
          <w:lang w:val="fr-BE"/>
        </w:rPr>
        <w:t xml:space="preserve"> </w:t>
      </w:r>
      <w:proofErr w:type="spellStart"/>
      <w:r w:rsidRPr="00DA29EC">
        <w:rPr>
          <w:sz w:val="24"/>
          <w:szCs w:val="24"/>
          <w:shd w:val="clear" w:color="auto" w:fill="FFFFFF"/>
          <w:lang w:val="fr-BE"/>
        </w:rPr>
        <w:t>Modified</w:t>
      </w:r>
      <w:proofErr w:type="spellEnd"/>
      <w:r w:rsidRPr="00DA29EC">
        <w:rPr>
          <w:sz w:val="24"/>
          <w:szCs w:val="24"/>
          <w:shd w:val="clear" w:color="auto" w:fill="FFFFFF"/>
          <w:lang w:val="fr-BE"/>
        </w:rPr>
        <w:t xml:space="preserve"> Herbicide-</w:t>
      </w:r>
      <w:proofErr w:type="spellStart"/>
      <w:r w:rsidRPr="00DA29EC">
        <w:rPr>
          <w:sz w:val="24"/>
          <w:szCs w:val="24"/>
          <w:shd w:val="clear" w:color="auto" w:fill="FFFFFF"/>
          <w:lang w:val="fr-BE"/>
        </w:rPr>
        <w:t>Tolerant</w:t>
      </w:r>
      <w:proofErr w:type="spellEnd"/>
      <w:r w:rsidRPr="00DA29EC">
        <w:rPr>
          <w:sz w:val="24"/>
          <w:szCs w:val="24"/>
          <w:shd w:val="clear" w:color="auto" w:fill="FFFFFF"/>
          <w:lang w:val="fr-BE"/>
        </w:rPr>
        <w:t xml:space="preserve"> </w:t>
      </w:r>
      <w:proofErr w:type="spellStart"/>
      <w:r w:rsidRPr="00DA29EC">
        <w:rPr>
          <w:sz w:val="24"/>
          <w:szCs w:val="24"/>
          <w:shd w:val="clear" w:color="auto" w:fill="FFFFFF"/>
          <w:lang w:val="fr-BE"/>
        </w:rPr>
        <w:t>Crops</w:t>
      </w:r>
      <w:proofErr w:type="spellEnd"/>
      <w:r w:rsidRPr="00DA29EC">
        <w:rPr>
          <w:sz w:val="24"/>
          <w:szCs w:val="24"/>
          <w:shd w:val="clear" w:color="auto" w:fill="FFFFFF"/>
          <w:lang w:val="fr-BE"/>
        </w:rPr>
        <w:t xml:space="preserve">, </w:t>
      </w:r>
      <w:proofErr w:type="spellStart"/>
      <w:r w:rsidRPr="00DA29EC">
        <w:rPr>
          <w:sz w:val="24"/>
          <w:szCs w:val="24"/>
          <w:shd w:val="clear" w:color="auto" w:fill="FFFFFF"/>
          <w:lang w:val="fr-BE"/>
        </w:rPr>
        <w:t>Weeds</w:t>
      </w:r>
      <w:proofErr w:type="spellEnd"/>
      <w:r w:rsidRPr="00DA29EC">
        <w:rPr>
          <w:sz w:val="24"/>
          <w:szCs w:val="24"/>
          <w:shd w:val="clear" w:color="auto" w:fill="FFFFFF"/>
          <w:lang w:val="fr-BE"/>
        </w:rPr>
        <w:t xml:space="preserve">, and Herbicides: </w:t>
      </w:r>
      <w:proofErr w:type="spellStart"/>
      <w:r w:rsidRPr="00DA29EC">
        <w:rPr>
          <w:sz w:val="24"/>
          <w:szCs w:val="24"/>
          <w:shd w:val="clear" w:color="auto" w:fill="FFFFFF"/>
          <w:lang w:val="fr-BE"/>
        </w:rPr>
        <w:t>Overview</w:t>
      </w:r>
      <w:proofErr w:type="spellEnd"/>
      <w:r w:rsidRPr="00DA29EC">
        <w:rPr>
          <w:sz w:val="24"/>
          <w:szCs w:val="24"/>
          <w:shd w:val="clear" w:color="auto" w:fill="FFFFFF"/>
          <w:lang w:val="fr-BE"/>
        </w:rPr>
        <w:t xml:space="preserve"> and Impact» (</w:t>
      </w:r>
      <w:r w:rsidRPr="00DA29EC">
        <w:rPr>
          <w:sz w:val="24"/>
          <w:szCs w:val="24"/>
          <w:shd w:val="clear" w:color="auto" w:fill="FFFFFF"/>
          <w:lang w:val="el-GR"/>
        </w:rPr>
        <w:t>Ανθεκτικές</w:t>
      </w:r>
      <w:r w:rsidRPr="00DA29EC">
        <w:rPr>
          <w:sz w:val="24"/>
          <w:szCs w:val="24"/>
          <w:shd w:val="clear" w:color="auto" w:fill="FFFFFF"/>
          <w:lang w:val="fr-BE"/>
        </w:rPr>
        <w:t xml:space="preserve"> </w:t>
      </w:r>
      <w:r w:rsidRPr="00DA29EC">
        <w:rPr>
          <w:sz w:val="24"/>
          <w:szCs w:val="24"/>
          <w:shd w:val="clear" w:color="auto" w:fill="FFFFFF"/>
          <w:lang w:val="el-GR"/>
        </w:rPr>
        <w:t>στα</w:t>
      </w:r>
      <w:r w:rsidRPr="00DA29EC">
        <w:rPr>
          <w:sz w:val="24"/>
          <w:szCs w:val="24"/>
          <w:shd w:val="clear" w:color="auto" w:fill="FFFFFF"/>
          <w:lang w:val="fr-BE"/>
        </w:rPr>
        <w:t xml:space="preserve"> </w:t>
      </w:r>
      <w:r w:rsidRPr="00DA29EC">
        <w:rPr>
          <w:sz w:val="24"/>
          <w:szCs w:val="24"/>
          <w:shd w:val="clear" w:color="auto" w:fill="FFFFFF"/>
          <w:lang w:val="el-GR"/>
        </w:rPr>
        <w:t>ζιζανιοκτόνα</w:t>
      </w:r>
      <w:r w:rsidRPr="00DA29EC">
        <w:rPr>
          <w:sz w:val="24"/>
          <w:szCs w:val="24"/>
          <w:shd w:val="clear" w:color="auto" w:fill="FFFFFF"/>
          <w:lang w:val="fr-BE"/>
        </w:rPr>
        <w:t xml:space="preserve"> </w:t>
      </w:r>
      <w:r w:rsidRPr="00DA29EC">
        <w:rPr>
          <w:sz w:val="24"/>
          <w:szCs w:val="24"/>
          <w:shd w:val="clear" w:color="auto" w:fill="FFFFFF"/>
          <w:lang w:val="el-GR"/>
        </w:rPr>
        <w:t>γενετικώς</w:t>
      </w:r>
      <w:r w:rsidRPr="00DA29EC">
        <w:rPr>
          <w:sz w:val="24"/>
          <w:szCs w:val="24"/>
          <w:shd w:val="clear" w:color="auto" w:fill="FFFFFF"/>
          <w:lang w:val="fr-BE"/>
        </w:rPr>
        <w:t xml:space="preserve"> </w:t>
      </w:r>
      <w:r w:rsidRPr="00DA29EC">
        <w:rPr>
          <w:sz w:val="24"/>
          <w:szCs w:val="24"/>
          <w:shd w:val="clear" w:color="auto" w:fill="FFFFFF"/>
          <w:lang w:val="el-GR"/>
        </w:rPr>
        <w:t>τροποποιημένες</w:t>
      </w:r>
      <w:r w:rsidRPr="00DA29EC">
        <w:rPr>
          <w:sz w:val="24"/>
          <w:szCs w:val="24"/>
          <w:shd w:val="clear" w:color="auto" w:fill="FFFFFF"/>
          <w:lang w:val="fr-BE"/>
        </w:rPr>
        <w:t xml:space="preserve"> </w:t>
      </w:r>
      <w:r w:rsidRPr="00DA29EC">
        <w:rPr>
          <w:sz w:val="24"/>
          <w:szCs w:val="24"/>
          <w:shd w:val="clear" w:color="auto" w:fill="FFFFFF"/>
          <w:lang w:val="el-GR"/>
        </w:rPr>
        <w:t>καλλιέργειες</w:t>
      </w:r>
      <w:r w:rsidRPr="00DA29EC">
        <w:rPr>
          <w:sz w:val="24"/>
          <w:szCs w:val="24"/>
          <w:shd w:val="clear" w:color="auto" w:fill="FFFFFF"/>
          <w:lang w:val="fr-BE"/>
        </w:rPr>
        <w:t xml:space="preserve">, </w:t>
      </w:r>
      <w:r w:rsidRPr="00DA29EC">
        <w:rPr>
          <w:sz w:val="24"/>
          <w:szCs w:val="24"/>
          <w:shd w:val="clear" w:color="auto" w:fill="FFFFFF"/>
          <w:lang w:val="el-GR"/>
        </w:rPr>
        <w:t>ζιζάνια</w:t>
      </w:r>
      <w:r w:rsidRPr="00DA29EC">
        <w:rPr>
          <w:sz w:val="24"/>
          <w:szCs w:val="24"/>
          <w:shd w:val="clear" w:color="auto" w:fill="FFFFFF"/>
          <w:lang w:val="fr-BE"/>
        </w:rPr>
        <w:t xml:space="preserve"> </w:t>
      </w:r>
      <w:r w:rsidRPr="00DA29EC">
        <w:rPr>
          <w:sz w:val="24"/>
          <w:szCs w:val="24"/>
          <w:shd w:val="clear" w:color="auto" w:fill="FFFFFF"/>
          <w:lang w:val="el-GR"/>
        </w:rPr>
        <w:t>και</w:t>
      </w:r>
      <w:r w:rsidRPr="00DA29EC">
        <w:rPr>
          <w:sz w:val="24"/>
          <w:szCs w:val="24"/>
          <w:shd w:val="clear" w:color="auto" w:fill="FFFFFF"/>
          <w:lang w:val="fr-BE"/>
        </w:rPr>
        <w:t xml:space="preserve"> </w:t>
      </w:r>
      <w:r w:rsidRPr="00DA29EC">
        <w:rPr>
          <w:sz w:val="24"/>
          <w:szCs w:val="24"/>
          <w:shd w:val="clear" w:color="auto" w:fill="FFFFFF"/>
          <w:lang w:val="el-GR"/>
        </w:rPr>
        <w:t>ζιζανιοκτόνα</w:t>
      </w:r>
      <w:r w:rsidRPr="00DA29EC">
        <w:rPr>
          <w:sz w:val="24"/>
          <w:szCs w:val="24"/>
          <w:shd w:val="clear" w:color="auto" w:fill="FFFFFF"/>
          <w:lang w:val="fr-BE"/>
        </w:rPr>
        <w:t xml:space="preserve">: </w:t>
      </w:r>
      <w:r w:rsidRPr="00DA29EC">
        <w:rPr>
          <w:sz w:val="24"/>
          <w:szCs w:val="24"/>
          <w:shd w:val="clear" w:color="auto" w:fill="FFFFFF"/>
          <w:lang w:val="el-GR"/>
        </w:rPr>
        <w:t>επισκόπηση</w:t>
      </w:r>
      <w:r w:rsidRPr="00DA29EC">
        <w:rPr>
          <w:sz w:val="24"/>
          <w:szCs w:val="24"/>
          <w:shd w:val="clear" w:color="auto" w:fill="FFFFFF"/>
          <w:lang w:val="fr-BE"/>
        </w:rPr>
        <w:t xml:space="preserve"> </w:t>
      </w:r>
      <w:r w:rsidRPr="00DA29EC">
        <w:rPr>
          <w:sz w:val="24"/>
          <w:szCs w:val="24"/>
          <w:shd w:val="clear" w:color="auto" w:fill="FFFFFF"/>
          <w:lang w:val="el-GR"/>
        </w:rPr>
        <w:t>και</w:t>
      </w:r>
      <w:r w:rsidRPr="00DA29EC">
        <w:rPr>
          <w:sz w:val="24"/>
          <w:szCs w:val="24"/>
          <w:shd w:val="clear" w:color="auto" w:fill="FFFFFF"/>
          <w:lang w:val="fr-BE"/>
        </w:rPr>
        <w:t xml:space="preserve"> </w:t>
      </w:r>
      <w:r w:rsidRPr="00DA29EC">
        <w:rPr>
          <w:sz w:val="24"/>
          <w:szCs w:val="24"/>
          <w:shd w:val="clear" w:color="auto" w:fill="FFFFFF"/>
          <w:lang w:val="el-GR"/>
        </w:rPr>
        <w:t>αντίκτυπος</w:t>
      </w:r>
      <w:r w:rsidRPr="00DA29EC">
        <w:rPr>
          <w:sz w:val="24"/>
          <w:szCs w:val="24"/>
          <w:shd w:val="clear" w:color="auto" w:fill="FFFFFF"/>
          <w:lang w:val="fr-BE"/>
        </w:rPr>
        <w:t xml:space="preserve">), </w:t>
      </w:r>
      <w:proofErr w:type="spellStart"/>
      <w:r w:rsidRPr="00DA29EC">
        <w:rPr>
          <w:i/>
          <w:sz w:val="24"/>
          <w:szCs w:val="24"/>
          <w:shd w:val="clear" w:color="auto" w:fill="FFFFFF"/>
          <w:lang w:val="fr-BE"/>
        </w:rPr>
        <w:t>Environmental</w:t>
      </w:r>
      <w:proofErr w:type="spellEnd"/>
      <w:r w:rsidRPr="00DA29EC">
        <w:rPr>
          <w:i/>
          <w:sz w:val="24"/>
          <w:szCs w:val="24"/>
          <w:shd w:val="clear" w:color="auto" w:fill="FFFFFF"/>
          <w:lang w:val="fr-BE"/>
        </w:rPr>
        <w:t xml:space="preserve"> Management</w:t>
      </w:r>
      <w:r w:rsidRPr="00DA29EC">
        <w:rPr>
          <w:sz w:val="24"/>
          <w:szCs w:val="24"/>
          <w:shd w:val="clear" w:color="auto" w:fill="FFFFFF"/>
          <w:lang w:val="fr-BE"/>
        </w:rPr>
        <w:t xml:space="preserve">, </w:t>
      </w:r>
      <w:r w:rsidRPr="00DA29EC">
        <w:rPr>
          <w:sz w:val="24"/>
          <w:szCs w:val="24"/>
          <w:shd w:val="clear" w:color="auto" w:fill="FFFFFF"/>
          <w:lang w:val="el-GR"/>
        </w:rPr>
        <w:t>Ιανουάριος</w:t>
      </w:r>
      <w:r w:rsidRPr="00DA29EC">
        <w:rPr>
          <w:sz w:val="24"/>
          <w:szCs w:val="24"/>
          <w:shd w:val="clear" w:color="auto" w:fill="FFFFFF"/>
          <w:lang w:val="fr-BE"/>
        </w:rPr>
        <w:t xml:space="preserve"> 2016</w:t>
      </w:r>
      <w:r w:rsidRPr="00DA29EC">
        <w:rPr>
          <w:sz w:val="24"/>
          <w:szCs w:val="24"/>
          <w:shd w:val="clear" w:color="auto" w:fill="FFFFFF"/>
          <w:lang w:val="el-GR"/>
        </w:rPr>
        <w:t>·</w:t>
      </w:r>
      <w:r w:rsidRPr="00DA29EC">
        <w:rPr>
          <w:sz w:val="24"/>
          <w:szCs w:val="24"/>
          <w:shd w:val="clear" w:color="auto" w:fill="FFFFFF"/>
          <w:lang w:val="fr-BE"/>
        </w:rPr>
        <w:t xml:space="preserve"> 2016,57(1), </w:t>
      </w:r>
      <w:r w:rsidRPr="00DA29EC">
        <w:rPr>
          <w:sz w:val="24"/>
          <w:szCs w:val="24"/>
          <w:shd w:val="clear" w:color="auto" w:fill="FFFFFF"/>
          <w:lang w:val="el-GR"/>
        </w:rPr>
        <w:t>σ</w:t>
      </w:r>
      <w:r w:rsidRPr="00DA29EC">
        <w:rPr>
          <w:sz w:val="24"/>
          <w:szCs w:val="24"/>
          <w:shd w:val="clear" w:color="auto" w:fill="FFFFFF"/>
          <w:lang w:val="fr-BE"/>
        </w:rPr>
        <w:t>. 31-48,</w:t>
      </w:r>
      <w:r w:rsidRPr="00DA29EC">
        <w:rPr>
          <w:sz w:val="24"/>
          <w:szCs w:val="24"/>
          <w:lang w:val="fr-BE"/>
        </w:rPr>
        <w:t xml:space="preserve"> </w:t>
      </w:r>
      <w:hyperlink r:id="rId16" w:history="1">
        <w:r w:rsidRPr="00DA29EC">
          <w:rPr>
            <w:rStyle w:val="Hyperlink"/>
            <w:sz w:val="24"/>
            <w:szCs w:val="24"/>
            <w:shd w:val="clear" w:color="auto" w:fill="FFFFFF"/>
            <w:lang w:val="fr-BE"/>
          </w:rPr>
          <w:t>https://doi.org/10.1007/s00267-015-0589-7</w:t>
        </w:r>
      </w:hyperlink>
      <w:r w:rsidRPr="00DA29EC">
        <w:rPr>
          <w:sz w:val="24"/>
          <w:szCs w:val="24"/>
          <w:shd w:val="clear" w:color="auto" w:fill="FFFFFF"/>
          <w:lang w:val="fr-BE"/>
        </w:rPr>
        <w:t xml:space="preserve"> </w:t>
      </w:r>
      <w:r w:rsidRPr="00DA29EC">
        <w:rPr>
          <w:sz w:val="24"/>
          <w:szCs w:val="24"/>
          <w:shd w:val="clear" w:color="auto" w:fill="FFFFFF"/>
          <w:lang w:val="el-GR"/>
        </w:rPr>
        <w:t>και</w:t>
      </w:r>
      <w:r w:rsidRPr="00DA29EC">
        <w:rPr>
          <w:sz w:val="24"/>
          <w:szCs w:val="24"/>
          <w:shd w:val="clear" w:color="auto" w:fill="FFFFFF"/>
          <w:lang w:val="fr-BE"/>
        </w:rPr>
        <w:t xml:space="preserve"> </w:t>
      </w:r>
      <w:proofErr w:type="spellStart"/>
      <w:r w:rsidRPr="00DA29EC">
        <w:rPr>
          <w:sz w:val="24"/>
          <w:szCs w:val="24"/>
          <w:shd w:val="clear" w:color="auto" w:fill="FFFFFF"/>
          <w:lang w:val="fr-BE"/>
        </w:rPr>
        <w:t>Benbrook</w:t>
      </w:r>
      <w:proofErr w:type="spellEnd"/>
      <w:r w:rsidRPr="00DA29EC">
        <w:rPr>
          <w:sz w:val="24"/>
          <w:szCs w:val="24"/>
          <w:shd w:val="clear" w:color="auto" w:fill="FFFFFF"/>
          <w:lang w:val="fr-BE"/>
        </w:rPr>
        <w:t xml:space="preserve">, C.M., «Impacts of </w:t>
      </w:r>
      <w:proofErr w:type="spellStart"/>
      <w:r w:rsidRPr="00DA29EC">
        <w:rPr>
          <w:sz w:val="24"/>
          <w:szCs w:val="24"/>
          <w:shd w:val="clear" w:color="auto" w:fill="FFFFFF"/>
          <w:lang w:val="fr-BE"/>
        </w:rPr>
        <w:t>genetically</w:t>
      </w:r>
      <w:proofErr w:type="spellEnd"/>
      <w:r w:rsidRPr="00DA29EC">
        <w:rPr>
          <w:sz w:val="24"/>
          <w:szCs w:val="24"/>
          <w:shd w:val="clear" w:color="auto" w:fill="FFFFFF"/>
          <w:lang w:val="fr-BE"/>
        </w:rPr>
        <w:t xml:space="preserve"> </w:t>
      </w:r>
      <w:proofErr w:type="spellStart"/>
      <w:r w:rsidRPr="00DA29EC">
        <w:rPr>
          <w:sz w:val="24"/>
          <w:szCs w:val="24"/>
          <w:shd w:val="clear" w:color="auto" w:fill="FFFFFF"/>
          <w:lang w:val="fr-BE"/>
        </w:rPr>
        <w:t>engineered</w:t>
      </w:r>
      <w:proofErr w:type="spellEnd"/>
      <w:r w:rsidRPr="00DA29EC">
        <w:rPr>
          <w:sz w:val="24"/>
          <w:szCs w:val="24"/>
          <w:shd w:val="clear" w:color="auto" w:fill="FFFFFF"/>
          <w:lang w:val="fr-BE"/>
        </w:rPr>
        <w:t xml:space="preserve"> </w:t>
      </w:r>
      <w:proofErr w:type="spellStart"/>
      <w:r w:rsidRPr="00DA29EC">
        <w:rPr>
          <w:sz w:val="24"/>
          <w:szCs w:val="24"/>
          <w:shd w:val="clear" w:color="auto" w:fill="FFFFFF"/>
          <w:lang w:val="fr-BE"/>
        </w:rPr>
        <w:t>crops</w:t>
      </w:r>
      <w:proofErr w:type="spellEnd"/>
      <w:r w:rsidRPr="00DA29EC">
        <w:rPr>
          <w:sz w:val="24"/>
          <w:szCs w:val="24"/>
          <w:shd w:val="clear" w:color="auto" w:fill="FFFFFF"/>
          <w:lang w:val="fr-BE"/>
        </w:rPr>
        <w:t xml:space="preserve"> on pesticide use in the U.S. – the first </w:t>
      </w:r>
      <w:proofErr w:type="spellStart"/>
      <w:r w:rsidRPr="00DA29EC">
        <w:rPr>
          <w:sz w:val="24"/>
          <w:szCs w:val="24"/>
          <w:shd w:val="clear" w:color="auto" w:fill="FFFFFF"/>
          <w:lang w:val="fr-BE"/>
        </w:rPr>
        <w:t>sixteen</w:t>
      </w:r>
      <w:proofErr w:type="spellEnd"/>
      <w:r w:rsidRPr="00DA29EC">
        <w:rPr>
          <w:sz w:val="24"/>
          <w:szCs w:val="24"/>
          <w:shd w:val="clear" w:color="auto" w:fill="FFFFFF"/>
          <w:lang w:val="fr-BE"/>
        </w:rPr>
        <w:t xml:space="preserve"> </w:t>
      </w:r>
      <w:proofErr w:type="spellStart"/>
      <w:r w:rsidRPr="00DA29EC">
        <w:rPr>
          <w:sz w:val="24"/>
          <w:szCs w:val="24"/>
          <w:shd w:val="clear" w:color="auto" w:fill="FFFFFF"/>
          <w:lang w:val="fr-BE"/>
        </w:rPr>
        <w:t>years</w:t>
      </w:r>
      <w:proofErr w:type="spellEnd"/>
      <w:r w:rsidRPr="00DA29EC">
        <w:rPr>
          <w:sz w:val="24"/>
          <w:szCs w:val="24"/>
          <w:shd w:val="clear" w:color="auto" w:fill="FFFFFF"/>
          <w:lang w:val="fr-BE"/>
        </w:rPr>
        <w:t>» (</w:t>
      </w:r>
      <w:r w:rsidRPr="00DA29EC">
        <w:rPr>
          <w:sz w:val="24"/>
          <w:szCs w:val="24"/>
          <w:shd w:val="clear" w:color="auto" w:fill="FFFFFF"/>
          <w:lang w:val="el-GR"/>
        </w:rPr>
        <w:t>Επιπτώσεις</w:t>
      </w:r>
      <w:r w:rsidRPr="00DA29EC">
        <w:rPr>
          <w:sz w:val="24"/>
          <w:szCs w:val="24"/>
          <w:shd w:val="clear" w:color="auto" w:fill="FFFFFF"/>
          <w:lang w:val="fr-BE"/>
        </w:rPr>
        <w:t xml:space="preserve"> </w:t>
      </w:r>
      <w:r w:rsidRPr="00DA29EC">
        <w:rPr>
          <w:sz w:val="24"/>
          <w:szCs w:val="24"/>
          <w:shd w:val="clear" w:color="auto" w:fill="FFFFFF"/>
          <w:lang w:val="el-GR"/>
        </w:rPr>
        <w:t>των</w:t>
      </w:r>
      <w:r w:rsidRPr="00DA29EC">
        <w:rPr>
          <w:sz w:val="24"/>
          <w:szCs w:val="24"/>
          <w:shd w:val="clear" w:color="auto" w:fill="FFFFFF"/>
          <w:lang w:val="fr-BE"/>
        </w:rPr>
        <w:t xml:space="preserve"> </w:t>
      </w:r>
      <w:r w:rsidRPr="00DA29EC">
        <w:rPr>
          <w:sz w:val="24"/>
          <w:szCs w:val="24"/>
          <w:shd w:val="clear" w:color="auto" w:fill="FFFFFF"/>
          <w:lang w:val="el-GR"/>
        </w:rPr>
        <w:t>γενετικώς</w:t>
      </w:r>
      <w:r w:rsidRPr="00DA29EC">
        <w:rPr>
          <w:sz w:val="24"/>
          <w:szCs w:val="24"/>
          <w:shd w:val="clear" w:color="auto" w:fill="FFFFFF"/>
          <w:lang w:val="fr-BE"/>
        </w:rPr>
        <w:t xml:space="preserve"> </w:t>
      </w:r>
      <w:r w:rsidRPr="00DA29EC">
        <w:rPr>
          <w:sz w:val="24"/>
          <w:szCs w:val="24"/>
          <w:shd w:val="clear" w:color="auto" w:fill="FFFFFF"/>
          <w:lang w:val="el-GR"/>
        </w:rPr>
        <w:t>τροποποιημένων</w:t>
      </w:r>
      <w:r w:rsidRPr="00DA29EC">
        <w:rPr>
          <w:sz w:val="24"/>
          <w:szCs w:val="24"/>
          <w:shd w:val="clear" w:color="auto" w:fill="FFFFFF"/>
          <w:lang w:val="fr-BE"/>
        </w:rPr>
        <w:t xml:space="preserve"> </w:t>
      </w:r>
      <w:r w:rsidRPr="00DA29EC">
        <w:rPr>
          <w:sz w:val="24"/>
          <w:szCs w:val="24"/>
          <w:shd w:val="clear" w:color="auto" w:fill="FFFFFF"/>
          <w:lang w:val="el-GR"/>
        </w:rPr>
        <w:t>καλλιεργειών</w:t>
      </w:r>
      <w:r w:rsidRPr="00DA29EC">
        <w:rPr>
          <w:sz w:val="24"/>
          <w:szCs w:val="24"/>
          <w:shd w:val="clear" w:color="auto" w:fill="FFFFFF"/>
          <w:lang w:val="fr-BE"/>
        </w:rPr>
        <w:t xml:space="preserve"> </w:t>
      </w:r>
      <w:r w:rsidRPr="00DA29EC">
        <w:rPr>
          <w:sz w:val="24"/>
          <w:szCs w:val="24"/>
          <w:shd w:val="clear" w:color="auto" w:fill="FFFFFF"/>
          <w:lang w:val="el-GR"/>
        </w:rPr>
        <w:t>στη</w:t>
      </w:r>
      <w:r w:rsidRPr="00DA29EC">
        <w:rPr>
          <w:sz w:val="24"/>
          <w:szCs w:val="24"/>
          <w:shd w:val="clear" w:color="auto" w:fill="FFFFFF"/>
          <w:lang w:val="fr-BE"/>
        </w:rPr>
        <w:t xml:space="preserve"> </w:t>
      </w:r>
      <w:r w:rsidRPr="00DA29EC">
        <w:rPr>
          <w:sz w:val="24"/>
          <w:szCs w:val="24"/>
          <w:shd w:val="clear" w:color="auto" w:fill="FFFFFF"/>
          <w:lang w:val="el-GR"/>
        </w:rPr>
        <w:t>χρήση</w:t>
      </w:r>
      <w:r w:rsidRPr="00DA29EC">
        <w:rPr>
          <w:sz w:val="24"/>
          <w:szCs w:val="24"/>
          <w:shd w:val="clear" w:color="auto" w:fill="FFFFFF"/>
          <w:lang w:val="fr-BE"/>
        </w:rPr>
        <w:t xml:space="preserve"> </w:t>
      </w:r>
      <w:r w:rsidRPr="00DA29EC">
        <w:rPr>
          <w:sz w:val="24"/>
          <w:szCs w:val="24"/>
          <w:shd w:val="clear" w:color="auto" w:fill="FFFFFF"/>
          <w:lang w:val="el-GR"/>
        </w:rPr>
        <w:t>γεωργικών</w:t>
      </w:r>
      <w:r w:rsidRPr="00DA29EC">
        <w:rPr>
          <w:sz w:val="24"/>
          <w:szCs w:val="24"/>
          <w:shd w:val="clear" w:color="auto" w:fill="FFFFFF"/>
          <w:lang w:val="fr-BE"/>
        </w:rPr>
        <w:t xml:space="preserve"> </w:t>
      </w:r>
      <w:r w:rsidRPr="00DA29EC">
        <w:rPr>
          <w:sz w:val="24"/>
          <w:szCs w:val="24"/>
          <w:shd w:val="clear" w:color="auto" w:fill="FFFFFF"/>
          <w:lang w:val="el-GR"/>
        </w:rPr>
        <w:t>φαρμάκων</w:t>
      </w:r>
      <w:r w:rsidRPr="00DA29EC">
        <w:rPr>
          <w:sz w:val="24"/>
          <w:szCs w:val="24"/>
          <w:shd w:val="clear" w:color="auto" w:fill="FFFFFF"/>
          <w:lang w:val="fr-BE"/>
        </w:rPr>
        <w:t xml:space="preserve"> </w:t>
      </w:r>
      <w:r w:rsidRPr="00DA29EC">
        <w:rPr>
          <w:sz w:val="24"/>
          <w:szCs w:val="24"/>
          <w:shd w:val="clear" w:color="auto" w:fill="FFFFFF"/>
          <w:lang w:val="el-GR"/>
        </w:rPr>
        <w:t>στις</w:t>
      </w:r>
      <w:r w:rsidRPr="00DA29EC">
        <w:rPr>
          <w:sz w:val="24"/>
          <w:szCs w:val="24"/>
          <w:shd w:val="clear" w:color="auto" w:fill="FFFFFF"/>
          <w:lang w:val="fr-BE"/>
        </w:rPr>
        <w:t xml:space="preserve"> </w:t>
      </w:r>
      <w:r w:rsidRPr="00DA29EC">
        <w:rPr>
          <w:sz w:val="24"/>
          <w:szCs w:val="24"/>
          <w:shd w:val="clear" w:color="auto" w:fill="FFFFFF"/>
          <w:lang w:val="el-GR"/>
        </w:rPr>
        <w:t>ΗΠΑ</w:t>
      </w:r>
      <w:r w:rsidRPr="00DA29EC">
        <w:rPr>
          <w:sz w:val="24"/>
          <w:szCs w:val="24"/>
          <w:shd w:val="clear" w:color="auto" w:fill="FFFFFF"/>
          <w:lang w:val="fr-BE"/>
        </w:rPr>
        <w:t xml:space="preserve"> – </w:t>
      </w:r>
      <w:r w:rsidRPr="00DA29EC">
        <w:rPr>
          <w:sz w:val="24"/>
          <w:szCs w:val="24"/>
          <w:shd w:val="clear" w:color="auto" w:fill="FFFFFF"/>
          <w:lang w:val="el-GR"/>
        </w:rPr>
        <w:t>τα</w:t>
      </w:r>
      <w:r w:rsidRPr="00DA29EC">
        <w:rPr>
          <w:sz w:val="24"/>
          <w:szCs w:val="24"/>
          <w:shd w:val="clear" w:color="auto" w:fill="FFFFFF"/>
          <w:lang w:val="fr-BE"/>
        </w:rPr>
        <w:t xml:space="preserve"> </w:t>
      </w:r>
      <w:r w:rsidRPr="00DA29EC">
        <w:rPr>
          <w:sz w:val="24"/>
          <w:szCs w:val="24"/>
          <w:shd w:val="clear" w:color="auto" w:fill="FFFFFF"/>
          <w:lang w:val="el-GR"/>
        </w:rPr>
        <w:t>πρώτα</w:t>
      </w:r>
      <w:r w:rsidRPr="00DA29EC">
        <w:rPr>
          <w:sz w:val="24"/>
          <w:szCs w:val="24"/>
          <w:shd w:val="clear" w:color="auto" w:fill="FFFFFF"/>
          <w:lang w:val="fr-BE"/>
        </w:rPr>
        <w:t xml:space="preserve"> 16 </w:t>
      </w:r>
      <w:r w:rsidRPr="00DA29EC">
        <w:rPr>
          <w:sz w:val="24"/>
          <w:szCs w:val="24"/>
          <w:shd w:val="clear" w:color="auto" w:fill="FFFFFF"/>
          <w:lang w:val="el-GR"/>
        </w:rPr>
        <w:t>χρόνια</w:t>
      </w:r>
      <w:r w:rsidRPr="00DA29EC">
        <w:rPr>
          <w:sz w:val="24"/>
          <w:szCs w:val="24"/>
          <w:shd w:val="clear" w:color="auto" w:fill="FFFFFF"/>
          <w:lang w:val="fr-BE"/>
        </w:rPr>
        <w:t xml:space="preserve">), </w:t>
      </w:r>
      <w:proofErr w:type="spellStart"/>
      <w:r w:rsidRPr="00DA29EC">
        <w:rPr>
          <w:i/>
          <w:sz w:val="24"/>
          <w:szCs w:val="24"/>
          <w:shd w:val="clear" w:color="auto" w:fill="FFFFFF"/>
          <w:lang w:val="fr-BE"/>
        </w:rPr>
        <w:t>Environmental</w:t>
      </w:r>
      <w:proofErr w:type="spellEnd"/>
      <w:r w:rsidRPr="00DA29EC">
        <w:rPr>
          <w:i/>
          <w:sz w:val="24"/>
          <w:szCs w:val="24"/>
          <w:shd w:val="clear" w:color="auto" w:fill="FFFFFF"/>
          <w:lang w:val="fr-BE"/>
        </w:rPr>
        <w:t xml:space="preserve"> Sciences Europe</w:t>
      </w:r>
      <w:r w:rsidRPr="00DA29EC">
        <w:rPr>
          <w:sz w:val="24"/>
          <w:szCs w:val="24"/>
          <w:shd w:val="clear" w:color="auto" w:fill="FFFFFF"/>
          <w:lang w:val="fr-BE"/>
        </w:rPr>
        <w:t xml:space="preserve">, 28 </w:t>
      </w:r>
      <w:r w:rsidRPr="00DA29EC">
        <w:rPr>
          <w:sz w:val="24"/>
          <w:szCs w:val="24"/>
          <w:shd w:val="clear" w:color="auto" w:fill="FFFFFF"/>
          <w:lang w:val="el-GR"/>
        </w:rPr>
        <w:t>Σεπτεμβρίου</w:t>
      </w:r>
      <w:r w:rsidRPr="00DA29EC">
        <w:rPr>
          <w:sz w:val="24"/>
          <w:szCs w:val="24"/>
          <w:shd w:val="clear" w:color="auto" w:fill="FFFFFF"/>
          <w:lang w:val="fr-BE"/>
        </w:rPr>
        <w:t xml:space="preserve"> 2012, </w:t>
      </w:r>
      <w:r w:rsidRPr="00DA29EC">
        <w:rPr>
          <w:sz w:val="24"/>
          <w:szCs w:val="24"/>
          <w:shd w:val="clear" w:color="auto" w:fill="FFFFFF"/>
          <w:lang w:val="el-GR"/>
        </w:rPr>
        <w:t>τόμος</w:t>
      </w:r>
      <w:r w:rsidRPr="00DA29EC">
        <w:rPr>
          <w:sz w:val="24"/>
          <w:szCs w:val="24"/>
          <w:shd w:val="clear" w:color="auto" w:fill="FFFFFF"/>
          <w:lang w:val="fr-BE"/>
        </w:rPr>
        <w:t xml:space="preserve"> 24, </w:t>
      </w:r>
      <w:r w:rsidRPr="00DA29EC">
        <w:rPr>
          <w:sz w:val="24"/>
          <w:szCs w:val="24"/>
          <w:shd w:val="clear" w:color="auto" w:fill="FFFFFF"/>
          <w:lang w:val="el-GR"/>
        </w:rPr>
        <w:t>τεύχος</w:t>
      </w:r>
      <w:r w:rsidRPr="00DA29EC">
        <w:rPr>
          <w:sz w:val="24"/>
          <w:szCs w:val="24"/>
          <w:shd w:val="clear" w:color="auto" w:fill="FFFFFF"/>
          <w:lang w:val="fr-BE"/>
        </w:rPr>
        <w:t xml:space="preserve"> 1, </w:t>
      </w:r>
      <w:hyperlink r:id="rId17" w:history="1">
        <w:r w:rsidRPr="00DA29EC">
          <w:rPr>
            <w:rStyle w:val="Hyperlink"/>
            <w:sz w:val="24"/>
            <w:szCs w:val="24"/>
            <w:shd w:val="clear" w:color="auto" w:fill="FFFFFF"/>
            <w:lang w:val="fr-BE"/>
          </w:rPr>
          <w:t>https://doi.org/10.1186/2190-4715-24-24</w:t>
        </w:r>
      </w:hyperlink>
      <w:r w:rsidRPr="00DA29EC">
        <w:rPr>
          <w:rStyle w:val="Hyperlink"/>
          <w:sz w:val="24"/>
          <w:szCs w:val="24"/>
          <w:shd w:val="clear" w:color="auto" w:fill="FFFFFF"/>
          <w:lang w:val="fr-BE"/>
        </w:rPr>
        <w:t>.</w:t>
      </w:r>
      <w:r w:rsidRPr="00DA29EC">
        <w:rPr>
          <w:sz w:val="24"/>
          <w:szCs w:val="24"/>
          <w:shd w:val="clear" w:color="auto" w:fill="FFFFFF"/>
          <w:lang w:val="fr-BE"/>
        </w:rPr>
        <w:t xml:space="preserve"> </w:t>
      </w:r>
    </w:p>
  </w:footnote>
  <w:footnote w:id="8">
    <w:p w14:paraId="787C3FAD" w14:textId="26861C76"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r w:rsidRPr="00DA29EC">
        <w:rPr>
          <w:sz w:val="24"/>
          <w:szCs w:val="24"/>
          <w:lang w:val="el-GR"/>
        </w:rPr>
        <w:t xml:space="preserve">Βλ., για παράδειγμα: </w:t>
      </w:r>
      <w:hyperlink r:id="rId18" w:history="1">
        <w:r w:rsidRPr="00DA29EC">
          <w:rPr>
            <w:rStyle w:val="Hyperlink"/>
            <w:sz w:val="24"/>
            <w:szCs w:val="24"/>
            <w:lang w:val="el-GR"/>
          </w:rPr>
          <w:t>https://doi.org/10.1002/ps.8105</w:t>
        </w:r>
      </w:hyperlink>
      <w:r w:rsidRPr="00DA29EC">
        <w:rPr>
          <w:sz w:val="24"/>
          <w:szCs w:val="24"/>
          <w:lang w:val="el-GR"/>
        </w:rPr>
        <w:t xml:space="preserve">, και </w:t>
      </w:r>
      <w:bookmarkStart w:id="11" w:name="_Hlk219205442"/>
      <w:r w:rsidRPr="00DA29EC">
        <w:rPr>
          <w:sz w:val="24"/>
          <w:szCs w:val="24"/>
          <w:lang w:val="el-GR"/>
        </w:rPr>
        <w:fldChar w:fldCharType="begin"/>
      </w:r>
      <w:r w:rsidRPr="00DA29EC">
        <w:rPr>
          <w:sz w:val="24"/>
          <w:szCs w:val="24"/>
          <w:lang w:val="el-GR"/>
        </w:rPr>
        <w:instrText>HYPERLINK "https://doi.org/10.1016/j.geoforum.2009.03.009"</w:instrText>
      </w:r>
      <w:r w:rsidRPr="00DA29EC">
        <w:rPr>
          <w:sz w:val="24"/>
          <w:szCs w:val="24"/>
          <w:lang w:val="el-GR"/>
        </w:rPr>
      </w:r>
      <w:r w:rsidRPr="00DA29EC">
        <w:rPr>
          <w:sz w:val="24"/>
          <w:szCs w:val="24"/>
          <w:lang w:val="el-GR"/>
        </w:rPr>
        <w:fldChar w:fldCharType="separate"/>
      </w:r>
      <w:r w:rsidRPr="00DA29EC">
        <w:rPr>
          <w:rStyle w:val="Hyperlink"/>
          <w:sz w:val="24"/>
          <w:szCs w:val="24"/>
          <w:lang w:val="el-GR"/>
        </w:rPr>
        <w:t>https://doi.org/10.1016/j.geoforum.2009.03.009</w:t>
      </w:r>
      <w:bookmarkEnd w:id="11"/>
      <w:r w:rsidRPr="00DA29EC">
        <w:rPr>
          <w:sz w:val="24"/>
          <w:szCs w:val="24"/>
          <w:lang w:val="el-GR"/>
        </w:rPr>
        <w:fldChar w:fldCharType="end"/>
      </w:r>
      <w:r w:rsidRPr="00DA29EC">
        <w:rPr>
          <w:sz w:val="24"/>
          <w:szCs w:val="24"/>
          <w:lang w:val="el-GR"/>
        </w:rPr>
        <w:t>.</w:t>
      </w:r>
    </w:p>
  </w:footnote>
  <w:footnote w:id="9">
    <w:p w14:paraId="51A3C290" w14:textId="2CF7020D"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r w:rsidRPr="00DA29EC">
        <w:rPr>
          <w:sz w:val="24"/>
          <w:szCs w:val="24"/>
          <w:lang w:val="el-GR"/>
        </w:rPr>
        <w:t>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1, ELI: </w:t>
      </w:r>
      <w:hyperlink r:id="rId19" w:tooltip="Πρόσβαση στο κείμενο μέσω URI τύπου ELI." w:history="1">
        <w:r w:rsidRPr="00DA29EC">
          <w:rPr>
            <w:rStyle w:val="Hyperlink"/>
            <w:sz w:val="24"/>
            <w:szCs w:val="24"/>
            <w:lang w:val="el-GR"/>
          </w:rPr>
          <w:t>http://data.europa.eu/eli/reg/2009/1107/oj</w:t>
        </w:r>
      </w:hyperlink>
      <w:r w:rsidRPr="00DA29EC">
        <w:rPr>
          <w:sz w:val="24"/>
          <w:szCs w:val="24"/>
          <w:lang w:val="el-GR"/>
        </w:rPr>
        <w:t>).</w:t>
      </w:r>
    </w:p>
  </w:footnote>
  <w:footnote w:id="10">
    <w:p w14:paraId="126BEBC0" w14:textId="291DAC5E"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r w:rsidRPr="00DA29EC">
        <w:rPr>
          <w:sz w:val="24"/>
          <w:szCs w:val="24"/>
          <w:lang w:val="el-GR"/>
        </w:rPr>
        <w:t>Βλ., για παράδειγμα:</w:t>
      </w:r>
      <w:r w:rsidR="00DA29EC">
        <w:rPr>
          <w:sz w:val="24"/>
          <w:szCs w:val="24"/>
          <w:lang w:val="el-GR"/>
        </w:rPr>
        <w:t xml:space="preserve"> </w:t>
      </w:r>
      <w:hyperlink r:id="rId20" w:history="1">
        <w:r w:rsidRPr="00DA29EC">
          <w:rPr>
            <w:rStyle w:val="Hyperlink"/>
            <w:sz w:val="24"/>
            <w:szCs w:val="24"/>
            <w:lang w:val="el-GR"/>
          </w:rPr>
          <w:t>https://doi.org/10.1016/j.mrrev.2019.02.001</w:t>
        </w:r>
      </w:hyperlink>
      <w:r w:rsidRPr="00DA29EC">
        <w:rPr>
          <w:sz w:val="24"/>
          <w:szCs w:val="24"/>
          <w:lang w:val="el-GR"/>
        </w:rPr>
        <w:t>.,</w:t>
      </w:r>
      <w:r w:rsidR="00DA29EC">
        <w:rPr>
          <w:sz w:val="24"/>
          <w:szCs w:val="24"/>
          <w:lang w:val="el-GR"/>
        </w:rPr>
        <w:t xml:space="preserve"> </w:t>
      </w:r>
      <w:hyperlink r:id="rId21" w:history="1">
        <w:r w:rsidRPr="00DA29EC">
          <w:rPr>
            <w:rStyle w:val="Hyperlink"/>
            <w:sz w:val="24"/>
            <w:szCs w:val="24"/>
            <w:lang w:val="el-GR"/>
          </w:rPr>
          <w:t>https://doi.org/10.1093/ije/dyz017</w:t>
        </w:r>
      </w:hyperlink>
      <w:r w:rsidRPr="00DA29EC">
        <w:rPr>
          <w:sz w:val="24"/>
          <w:szCs w:val="24"/>
          <w:lang w:val="el-GR"/>
        </w:rPr>
        <w:t>,</w:t>
      </w:r>
      <w:r w:rsidR="00DA29EC">
        <w:rPr>
          <w:sz w:val="24"/>
          <w:szCs w:val="24"/>
          <w:lang w:val="el-GR"/>
        </w:rPr>
        <w:t xml:space="preserve"> </w:t>
      </w:r>
      <w:hyperlink r:id="rId22" w:history="1">
        <w:r w:rsidRPr="00DA29EC">
          <w:rPr>
            <w:rStyle w:val="Hyperlink"/>
            <w:sz w:val="24"/>
            <w:szCs w:val="24"/>
            <w:lang w:val="el-GR"/>
          </w:rPr>
          <w:t>https://doi.org/10.1371/journal.pone.0219610</w:t>
        </w:r>
      </w:hyperlink>
      <w:r w:rsidRPr="00DA29EC">
        <w:rPr>
          <w:sz w:val="24"/>
          <w:szCs w:val="24"/>
          <w:lang w:val="el-GR"/>
        </w:rPr>
        <w:t>, και</w:t>
      </w:r>
      <w:r w:rsidR="00DA29EC">
        <w:rPr>
          <w:sz w:val="24"/>
          <w:szCs w:val="24"/>
          <w:lang w:val="el-GR"/>
        </w:rPr>
        <w:t xml:space="preserve"> </w:t>
      </w:r>
      <w:hyperlink r:id="rId23" w:history="1">
        <w:r w:rsidRPr="00DA29EC">
          <w:rPr>
            <w:rStyle w:val="Hyperlink"/>
            <w:sz w:val="24"/>
            <w:szCs w:val="24"/>
            <w:lang w:val="el-GR"/>
          </w:rPr>
          <w:t>https://doi.org/10.1186/s13045-019-0767-9</w:t>
        </w:r>
      </w:hyperlink>
      <w:r w:rsidRPr="00DA29EC">
        <w:rPr>
          <w:sz w:val="24"/>
          <w:szCs w:val="24"/>
          <w:lang w:val="el-GR"/>
        </w:rPr>
        <w:t>.</w:t>
      </w:r>
    </w:p>
  </w:footnote>
  <w:footnote w:id="11">
    <w:p w14:paraId="513FEBA2" w14:textId="6E58FC9B"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hyperlink r:id="rId24" w:tgtFrame="_blank" w:tooltip="Μόνιμος υπερσύνδεσμος με αναγνωριστικό κωδικό ψηφιακού αντικειμένου" w:history="1">
        <w:r w:rsidRPr="00DA29EC">
          <w:rPr>
            <w:rStyle w:val="Hyperlink"/>
            <w:sz w:val="24"/>
            <w:szCs w:val="24"/>
            <w:lang w:val="el-GR"/>
          </w:rPr>
          <w:t>https://doi.org/10.1006/rtph.1999.1371</w:t>
        </w:r>
      </w:hyperlink>
      <w:r w:rsidRPr="00DA29EC">
        <w:rPr>
          <w:sz w:val="24"/>
          <w:szCs w:val="24"/>
          <w:lang w:val="el-GR"/>
        </w:rPr>
        <w:t>.</w:t>
      </w:r>
    </w:p>
  </w:footnote>
  <w:footnote w:id="12">
    <w:p w14:paraId="1C3F7940" w14:textId="0F795AA6"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r w:rsidRPr="00DA29EC">
        <w:rPr>
          <w:sz w:val="24"/>
          <w:szCs w:val="24"/>
          <w:lang w:val="el-GR"/>
        </w:rPr>
        <w:t>Τον Δεκέμβριο του 2022, στη διάσκεψη COP15 της Σύμβασης των Ηνωμένων Εθνών για τη βιολογική ποικιλότητα, συμφωνήθηκε ένα παγκόσμιο πλαίσιο για τη βιοποικιλότητα, το οποίο περιλαμβάνει έναν παγκόσμιο στόχο για τη μείωση του κινδύνου από τα φυτοφάρμακα κατά τουλάχιστον 50 % έως το 2030 (βλ.:</w:t>
      </w:r>
      <w:r w:rsidRPr="00DA29EC">
        <w:rPr>
          <w:color w:val="000000" w:themeColor="text1"/>
          <w:sz w:val="24"/>
          <w:szCs w:val="24"/>
          <w:lang w:val="el-GR"/>
        </w:rPr>
        <w:t xml:space="preserve"> </w:t>
      </w:r>
      <w:hyperlink r:id="rId25" w:history="1">
        <w:r w:rsidRPr="00DA29EC">
          <w:rPr>
            <w:rStyle w:val="Hyperlink"/>
            <w:sz w:val="24"/>
            <w:szCs w:val="24"/>
            <w:lang w:val="el-GR"/>
          </w:rPr>
          <w:t>https://ec.europa.eu/commission/presscorner/detail/el/ip_22_7834</w:t>
        </w:r>
      </w:hyperlink>
      <w:r w:rsidRPr="00DA29EC">
        <w:rPr>
          <w:sz w:val="24"/>
          <w:szCs w:val="24"/>
          <w:lang w:val="el-GR"/>
        </w:rPr>
        <w:t xml:space="preserve">). </w:t>
      </w:r>
    </w:p>
  </w:footnote>
  <w:footnote w:id="13">
    <w:p w14:paraId="4A1B4618" w14:textId="1395C4C0"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hyperlink r:id="rId26" w:history="1">
        <w:r w:rsidRPr="00DA29EC">
          <w:rPr>
            <w:rStyle w:val="Hyperlink"/>
            <w:sz w:val="24"/>
            <w:szCs w:val="24"/>
            <w:lang w:val="el-GR"/>
          </w:rPr>
          <w:t>https://commission.europa.eu/strategy-and-policy/priorities-2019-2024/european-green-deal/agriculture-and-green-deal/strategic-dialogue-future-eu-agriculture_el</w:t>
        </w:r>
      </w:hyperlink>
      <w:r w:rsidRPr="00DA29EC">
        <w:rPr>
          <w:rStyle w:val="Hyperlink"/>
          <w:sz w:val="24"/>
          <w:szCs w:val="24"/>
          <w:lang w:val="el-GR"/>
        </w:rPr>
        <w:t>.</w:t>
      </w:r>
      <w:r w:rsidRPr="00DA29EC">
        <w:rPr>
          <w:sz w:val="24"/>
          <w:szCs w:val="24"/>
          <w:lang w:val="el-GR"/>
        </w:rPr>
        <w:t xml:space="preserve"> </w:t>
      </w:r>
    </w:p>
  </w:footnote>
  <w:footnote w:id="14">
    <w:p w14:paraId="135CE941" w14:textId="29E953A0" w:rsidR="00D567D0" w:rsidRPr="00DA29EC" w:rsidRDefault="00D567D0" w:rsidP="000D6D10">
      <w:pPr>
        <w:pStyle w:val="FootnoteText"/>
        <w:ind w:left="567" w:hanging="567"/>
        <w:rPr>
          <w:sz w:val="24"/>
          <w:szCs w:val="24"/>
          <w:lang w:val="el-GR"/>
        </w:rPr>
      </w:pPr>
      <w:r w:rsidRPr="00DA29EC">
        <w:rPr>
          <w:rStyle w:val="FootnoteReference"/>
          <w:sz w:val="24"/>
          <w:szCs w:val="24"/>
          <w:lang w:val="el-GR"/>
        </w:rPr>
        <w:footnoteRef/>
      </w:r>
      <w:r w:rsidR="000D6D10" w:rsidRPr="00DA29EC">
        <w:rPr>
          <w:sz w:val="24"/>
          <w:szCs w:val="24"/>
          <w:lang w:val="el-GR"/>
        </w:rPr>
        <w:t xml:space="preserve"> </w:t>
      </w:r>
      <w:r w:rsidR="000D6D10" w:rsidRPr="00DA29EC">
        <w:rPr>
          <w:sz w:val="24"/>
          <w:szCs w:val="24"/>
          <w:lang w:val="el-GR"/>
        </w:rPr>
        <w:tab/>
      </w:r>
      <w:r w:rsidRPr="00DA29EC">
        <w:rPr>
          <w:sz w:val="24"/>
          <w:szCs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1, ELI:</w:t>
      </w:r>
      <w:r w:rsidRPr="00DA29EC">
        <w:rPr>
          <w:color w:val="000000" w:themeColor="text1"/>
          <w:sz w:val="24"/>
          <w:szCs w:val="24"/>
          <w:lang w:val="el-GR"/>
        </w:rPr>
        <w:t> </w:t>
      </w:r>
      <w:hyperlink r:id="rId27" w:tgtFrame="Gives access to this document through its ELI URI." w:history="1">
        <w:r w:rsidRPr="00DA29EC">
          <w:rPr>
            <w:rStyle w:val="Hyperlink"/>
            <w:color w:val="0070C0"/>
            <w:sz w:val="24"/>
            <w:szCs w:val="24"/>
            <w:lang w:val="el-GR"/>
          </w:rPr>
          <w:t>http://data.europa.eu/eli/reg/2002/178/oj</w:t>
        </w:r>
      </w:hyperlink>
      <w:r w:rsidRPr="00DA29EC">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260C4" w14:textId="77777777" w:rsidR="00064002" w:rsidRPr="000D6D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86D77" w14:textId="77777777" w:rsidR="00064002" w:rsidRPr="000D6D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E861C" w14:textId="77777777" w:rsidR="00064002" w:rsidRPr="000D6D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475F83"/>
    <w:multiLevelType w:val="hybridMultilevel"/>
    <w:tmpl w:val="DA0C7D3E"/>
    <w:lvl w:ilvl="0" w:tplc="FA4E0CE4">
      <w:start w:val="2"/>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2" w15:restartNumberingAfterBreak="0">
    <w:nsid w:val="238C7AC6"/>
    <w:multiLevelType w:val="hybridMultilevel"/>
    <w:tmpl w:val="D47AC93A"/>
    <w:lvl w:ilvl="0" w:tplc="5DE452DA">
      <w:start w:val="2"/>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4962972">
    <w:abstractNumId w:val="9"/>
  </w:num>
  <w:num w:numId="2" w16cid:durableId="365760173">
    <w:abstractNumId w:val="9"/>
  </w:num>
  <w:num w:numId="3" w16cid:durableId="774708592">
    <w:abstractNumId w:val="7"/>
  </w:num>
  <w:num w:numId="4" w16cid:durableId="110973986">
    <w:abstractNumId w:val="7"/>
  </w:num>
  <w:num w:numId="5" w16cid:durableId="207508">
    <w:abstractNumId w:val="6"/>
  </w:num>
  <w:num w:numId="6" w16cid:durableId="1115563543">
    <w:abstractNumId w:val="6"/>
  </w:num>
  <w:num w:numId="7" w16cid:durableId="286281373">
    <w:abstractNumId w:val="5"/>
  </w:num>
  <w:num w:numId="8" w16cid:durableId="1604533937">
    <w:abstractNumId w:val="5"/>
  </w:num>
  <w:num w:numId="9" w16cid:durableId="979849692">
    <w:abstractNumId w:val="4"/>
  </w:num>
  <w:num w:numId="10" w16cid:durableId="261110514">
    <w:abstractNumId w:val="4"/>
  </w:num>
  <w:num w:numId="11" w16cid:durableId="1269241879">
    <w:abstractNumId w:val="8"/>
  </w:num>
  <w:num w:numId="12" w16cid:durableId="962082155">
    <w:abstractNumId w:val="8"/>
  </w:num>
  <w:num w:numId="13" w16cid:durableId="140511829">
    <w:abstractNumId w:val="3"/>
  </w:num>
  <w:num w:numId="14" w16cid:durableId="384332346">
    <w:abstractNumId w:val="3"/>
  </w:num>
  <w:num w:numId="15" w16cid:durableId="1542129884">
    <w:abstractNumId w:val="2"/>
  </w:num>
  <w:num w:numId="16" w16cid:durableId="520705858">
    <w:abstractNumId w:val="2"/>
  </w:num>
  <w:num w:numId="17" w16cid:durableId="1695577404">
    <w:abstractNumId w:val="1"/>
  </w:num>
  <w:num w:numId="18" w16cid:durableId="685910770">
    <w:abstractNumId w:val="1"/>
  </w:num>
  <w:num w:numId="19" w16cid:durableId="1056318551">
    <w:abstractNumId w:val="0"/>
  </w:num>
  <w:num w:numId="20" w16cid:durableId="244269650">
    <w:abstractNumId w:val="0"/>
  </w:num>
  <w:num w:numId="21" w16cid:durableId="518810790">
    <w:abstractNumId w:val="9"/>
  </w:num>
  <w:num w:numId="22" w16cid:durableId="762796742">
    <w:abstractNumId w:val="7"/>
  </w:num>
  <w:num w:numId="23" w16cid:durableId="866256447">
    <w:abstractNumId w:val="6"/>
  </w:num>
  <w:num w:numId="24" w16cid:durableId="1311641494">
    <w:abstractNumId w:val="5"/>
  </w:num>
  <w:num w:numId="25" w16cid:durableId="1062485937">
    <w:abstractNumId w:val="4"/>
  </w:num>
  <w:num w:numId="26" w16cid:durableId="570504808">
    <w:abstractNumId w:val="8"/>
  </w:num>
  <w:num w:numId="27" w16cid:durableId="92018249">
    <w:abstractNumId w:val="3"/>
  </w:num>
  <w:num w:numId="28" w16cid:durableId="1342584573">
    <w:abstractNumId w:val="2"/>
  </w:num>
  <w:num w:numId="29" w16cid:durableId="224528865">
    <w:abstractNumId w:val="1"/>
  </w:num>
  <w:num w:numId="30" w16cid:durableId="1296520291">
    <w:abstractNumId w:val="0"/>
  </w:num>
  <w:num w:numId="31" w16cid:durableId="2084714173">
    <w:abstractNumId w:val="9"/>
  </w:num>
  <w:num w:numId="32" w16cid:durableId="82073816">
    <w:abstractNumId w:val="7"/>
  </w:num>
  <w:num w:numId="33" w16cid:durableId="1170758695">
    <w:abstractNumId w:val="6"/>
  </w:num>
  <w:num w:numId="34" w16cid:durableId="399449099">
    <w:abstractNumId w:val="5"/>
  </w:num>
  <w:num w:numId="35" w16cid:durableId="409818694">
    <w:abstractNumId w:val="4"/>
  </w:num>
  <w:num w:numId="36" w16cid:durableId="1617103411">
    <w:abstractNumId w:val="8"/>
  </w:num>
  <w:num w:numId="37" w16cid:durableId="1565987835">
    <w:abstractNumId w:val="3"/>
  </w:num>
  <w:num w:numId="38" w16cid:durableId="1078791886">
    <w:abstractNumId w:val="2"/>
  </w:num>
  <w:num w:numId="39" w16cid:durableId="449517556">
    <w:abstractNumId w:val="1"/>
  </w:num>
  <w:num w:numId="40" w16cid:durableId="1223060102">
    <w:abstractNumId w:val="0"/>
  </w:num>
  <w:num w:numId="41" w16cid:durableId="1229220232">
    <w:abstractNumId w:val="10"/>
  </w:num>
  <w:num w:numId="42" w16cid:durableId="1468669511">
    <w:abstractNumId w:val="10"/>
  </w:num>
  <w:num w:numId="43" w16cid:durableId="1668702687">
    <w:abstractNumId w:val="10"/>
  </w:num>
  <w:num w:numId="44" w16cid:durableId="208301527">
    <w:abstractNumId w:val="13"/>
  </w:num>
  <w:num w:numId="45" w16cid:durableId="1495412566">
    <w:abstractNumId w:val="12"/>
  </w:num>
  <w:num w:numId="46" w16cid:durableId="1069763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EL"/>
    <w:docVar w:name="dvnumam" w:val="0"/>
    <w:docVar w:name="dvpe" w:val="782.197"/>
    <w:docVar w:name="dvtitre" w:val="Ψήφισμα του Ευρωπαϊκού Κοινοβουλίου της ... 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GHB614 × LLCotton25, σύμφωνα με τον κανονισμό (ΕΚ) αριθ. 1829/2003 του Ευρωπαϊκού Κοινοβουλίου και του Συμβουλίου(D111476/01 - 2026/2519(RSP))"/>
  </w:docVars>
  <w:rsids>
    <w:rsidRoot w:val="003A29BE"/>
    <w:rsid w:val="00002272"/>
    <w:rsid w:val="00032C26"/>
    <w:rsid w:val="00064002"/>
    <w:rsid w:val="000677B9"/>
    <w:rsid w:val="000831BA"/>
    <w:rsid w:val="000A42CC"/>
    <w:rsid w:val="000D6D10"/>
    <w:rsid w:val="000E7DD9"/>
    <w:rsid w:val="0010095E"/>
    <w:rsid w:val="00125B37"/>
    <w:rsid w:val="00187494"/>
    <w:rsid w:val="001F32AE"/>
    <w:rsid w:val="002767FF"/>
    <w:rsid w:val="002B18FE"/>
    <w:rsid w:val="002B5493"/>
    <w:rsid w:val="00343214"/>
    <w:rsid w:val="00361C00"/>
    <w:rsid w:val="00395FA1"/>
    <w:rsid w:val="003A29B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1BB"/>
    <w:rsid w:val="00680577"/>
    <w:rsid w:val="006F74FA"/>
    <w:rsid w:val="00731ADD"/>
    <w:rsid w:val="00734777"/>
    <w:rsid w:val="00747932"/>
    <w:rsid w:val="00751A4A"/>
    <w:rsid w:val="00756632"/>
    <w:rsid w:val="00762C74"/>
    <w:rsid w:val="00786EC0"/>
    <w:rsid w:val="007D1690"/>
    <w:rsid w:val="007E22AD"/>
    <w:rsid w:val="00811015"/>
    <w:rsid w:val="00817416"/>
    <w:rsid w:val="00842779"/>
    <w:rsid w:val="00865F67"/>
    <w:rsid w:val="00881A7B"/>
    <w:rsid w:val="008840E5"/>
    <w:rsid w:val="00887B3E"/>
    <w:rsid w:val="008C2AC6"/>
    <w:rsid w:val="00930C23"/>
    <w:rsid w:val="0093193B"/>
    <w:rsid w:val="009509D8"/>
    <w:rsid w:val="00950B64"/>
    <w:rsid w:val="00960DEA"/>
    <w:rsid w:val="00981893"/>
    <w:rsid w:val="00A1687D"/>
    <w:rsid w:val="00A21473"/>
    <w:rsid w:val="00A43E52"/>
    <w:rsid w:val="00A4678D"/>
    <w:rsid w:val="00A778C7"/>
    <w:rsid w:val="00AB441E"/>
    <w:rsid w:val="00AB6293"/>
    <w:rsid w:val="00AE0928"/>
    <w:rsid w:val="00AF3B82"/>
    <w:rsid w:val="00B12E95"/>
    <w:rsid w:val="00B22876"/>
    <w:rsid w:val="00B558F0"/>
    <w:rsid w:val="00BD48FE"/>
    <w:rsid w:val="00BD7BD8"/>
    <w:rsid w:val="00BE6ADC"/>
    <w:rsid w:val="00C03C5E"/>
    <w:rsid w:val="00C05BFE"/>
    <w:rsid w:val="00C23CD4"/>
    <w:rsid w:val="00C61C0C"/>
    <w:rsid w:val="00C6596B"/>
    <w:rsid w:val="00C941CB"/>
    <w:rsid w:val="00CC2357"/>
    <w:rsid w:val="00CF071A"/>
    <w:rsid w:val="00D048CC"/>
    <w:rsid w:val="00D058B8"/>
    <w:rsid w:val="00D567D0"/>
    <w:rsid w:val="00D56C11"/>
    <w:rsid w:val="00D834A0"/>
    <w:rsid w:val="00D872DF"/>
    <w:rsid w:val="00D91E21"/>
    <w:rsid w:val="00DA29E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6855E"/>
  <w15:chartTrackingRefBased/>
  <w15:docId w15:val="{D4C6DD4A-559E-495B-9788-119316B0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D567D0"/>
    <w:pPr>
      <w:spacing w:before="480" w:after="240"/>
    </w:pPr>
  </w:style>
  <w:style w:type="paragraph" w:customStyle="1" w:styleId="NormalHanging12a">
    <w:name w:val="NormalHanging12a"/>
    <w:basedOn w:val="Normal"/>
    <w:uiPriority w:val="99"/>
    <w:qFormat/>
    <w:rsid w:val="00D567D0"/>
    <w:pPr>
      <w:spacing w:after="240"/>
      <w:ind w:left="567" w:hanging="567"/>
    </w:pPr>
  </w:style>
  <w:style w:type="paragraph" w:customStyle="1" w:styleId="NormalBold">
    <w:name w:val="NormalBold"/>
    <w:basedOn w:val="Normal"/>
    <w:rsid w:val="00D567D0"/>
    <w:rPr>
      <w:b/>
    </w:rPr>
  </w:style>
  <w:style w:type="character" w:styleId="Hyperlink">
    <w:name w:val="Hyperlink"/>
    <w:basedOn w:val="DefaultParagraphFont"/>
    <w:uiPriority w:val="99"/>
    <w:rsid w:val="00D567D0"/>
    <w:rPr>
      <w:color w:val="0563C1" w:themeColor="hyperlink"/>
      <w:u w:val="single"/>
    </w:rPr>
  </w:style>
  <w:style w:type="paragraph" w:styleId="NormalWeb">
    <w:name w:val="Normal (Web)"/>
    <w:basedOn w:val="Normal"/>
    <w:uiPriority w:val="99"/>
    <w:unhideWhenUsed/>
    <w:rsid w:val="00D567D0"/>
    <w:pPr>
      <w:widowControl/>
      <w:spacing w:before="100" w:beforeAutospacing="1" w:after="100" w:afterAutospacing="1"/>
    </w:pPr>
    <w:rPr>
      <w:szCs w:val="24"/>
    </w:rPr>
  </w:style>
  <w:style w:type="paragraph" w:styleId="Revision">
    <w:name w:val="Revision"/>
    <w:hidden/>
    <w:uiPriority w:val="99"/>
    <w:semiHidden/>
    <w:rsid w:val="00DA29E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el"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el/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1810</Words>
  <Characters>10889</Characters>
  <Application>Microsoft Office Word</Application>
  <DocSecurity>0</DocSecurity>
  <Lines>418</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SAVVIDOU Viktoria</cp:lastModifiedBy>
  <cp:revision>2</cp:revision>
  <cp:lastPrinted>2004-11-19T15:42:00Z</cp:lastPrinted>
  <dcterms:created xsi:type="dcterms:W3CDTF">2026-03-17T08:27:00Z</dcterms:created>
  <dcterms:modified xsi:type="dcterms:W3CDTF">2026-03-17T08:27:00Z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B10-0109/2026</vt:lpwstr>
  </property>
  <property fmtid="{D5CDD505-2E9C-101B-9397-08002B2CF9AE}" pid="4" name="&lt;Type&gt;">
    <vt:lpwstr>RR</vt:lpwstr>
  </property>
</Properties>
</file>