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14E9" w14:paraId="4708DF53" w14:textId="77777777" w:rsidTr="0010095E">
        <w:trPr>
          <w:trHeight w:hRule="exact" w:val="1418"/>
        </w:trPr>
        <w:tc>
          <w:tcPr>
            <w:tcW w:w="6804" w:type="dxa"/>
            <w:shd w:val="clear" w:color="auto" w:fill="auto"/>
            <w:vAlign w:val="center"/>
          </w:tcPr>
          <w:p w14:paraId="2ABB670A" w14:textId="77777777" w:rsidR="00751A4A" w:rsidRPr="009814E9" w:rsidRDefault="00C67E76" w:rsidP="0010095E">
            <w:pPr>
              <w:pStyle w:val="EPName"/>
            </w:pPr>
            <w:r w:rsidRPr="009814E9">
              <w:t>Europees Parlement</w:t>
            </w:r>
          </w:p>
          <w:p w14:paraId="726CA201" w14:textId="77777777" w:rsidR="00751A4A" w:rsidRPr="009814E9" w:rsidRDefault="005F1B17" w:rsidP="005F1B17">
            <w:pPr>
              <w:pStyle w:val="EPTerm"/>
              <w:rPr>
                <w:rStyle w:val="HideTWBExt"/>
                <w:noProof w:val="0"/>
                <w:vanish w:val="0"/>
                <w:color w:val="auto"/>
              </w:rPr>
            </w:pPr>
            <w:r w:rsidRPr="009814E9">
              <w:t>2024</w:t>
            </w:r>
            <w:r w:rsidR="00817416" w:rsidRPr="009814E9">
              <w:t>-202</w:t>
            </w:r>
            <w:r w:rsidRPr="009814E9">
              <w:t>9</w:t>
            </w:r>
          </w:p>
        </w:tc>
        <w:tc>
          <w:tcPr>
            <w:tcW w:w="2268" w:type="dxa"/>
            <w:shd w:val="clear" w:color="auto" w:fill="auto"/>
          </w:tcPr>
          <w:p w14:paraId="4C8FE31E" w14:textId="77777777" w:rsidR="00751A4A" w:rsidRPr="009814E9" w:rsidRDefault="00187494" w:rsidP="0010095E">
            <w:pPr>
              <w:pStyle w:val="EPLogo"/>
            </w:pPr>
            <w:r w:rsidRPr="009814E9">
              <w:rPr>
                <w:noProof/>
                <w:lang w:eastAsia="ja-JP"/>
              </w:rPr>
              <w:drawing>
                <wp:inline distT="0" distB="0" distL="0" distR="0" wp14:anchorId="2C70EB59" wp14:editId="03018D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6C3C6F" w14:textId="77777777" w:rsidR="00D058B8" w:rsidRPr="009814E9" w:rsidRDefault="00D058B8" w:rsidP="004C5D52">
      <w:pPr>
        <w:pStyle w:val="LineTop"/>
      </w:pPr>
    </w:p>
    <w:p w14:paraId="65573A86" w14:textId="77777777" w:rsidR="00680577" w:rsidRPr="009814E9" w:rsidRDefault="00C67E76" w:rsidP="00680577">
      <w:pPr>
        <w:pStyle w:val="EPBodyTA1"/>
      </w:pPr>
      <w:r w:rsidRPr="009814E9">
        <w:t>AANGENOMEN TEKSTEN</w:t>
      </w:r>
    </w:p>
    <w:p w14:paraId="5E6D1C77" w14:textId="77777777" w:rsidR="00D058B8" w:rsidRPr="009814E9" w:rsidRDefault="00D058B8" w:rsidP="00D058B8">
      <w:pPr>
        <w:pStyle w:val="LineBottom"/>
      </w:pPr>
    </w:p>
    <w:p w14:paraId="1AE9EFC1" w14:textId="2E534622" w:rsidR="00C67E76" w:rsidRPr="009814E9" w:rsidRDefault="00C67E76" w:rsidP="00C67E76">
      <w:pPr>
        <w:pStyle w:val="ATHeading1"/>
      </w:pPr>
      <w:bookmarkStart w:id="0" w:name="TANumber"/>
      <w:r w:rsidRPr="009814E9">
        <w:t>P10_TA(2026)00</w:t>
      </w:r>
      <w:r w:rsidR="009814E9" w:rsidRPr="009814E9">
        <w:t>43</w:t>
      </w:r>
      <w:bookmarkEnd w:id="0"/>
    </w:p>
    <w:p w14:paraId="1B9F6F85" w14:textId="5FD16550" w:rsidR="00C67E76" w:rsidRPr="009814E9" w:rsidRDefault="00385DF1" w:rsidP="00C67E76">
      <w:pPr>
        <w:pStyle w:val="ATHeading2"/>
      </w:pPr>
      <w:bookmarkStart w:id="1" w:name="title"/>
      <w:r w:rsidRPr="009814E9">
        <w:t>G</w:t>
      </w:r>
      <w:r w:rsidR="00C67E76" w:rsidRPr="009814E9">
        <w:t>enetisch gemodificeerd katoen GHB614×LLCotton25</w:t>
      </w:r>
      <w:bookmarkEnd w:id="1"/>
    </w:p>
    <w:p w14:paraId="4E8601D4" w14:textId="77777777" w:rsidR="00C67E76" w:rsidRPr="009814E9" w:rsidRDefault="00C67E76" w:rsidP="00C67E76">
      <w:pPr>
        <w:rPr>
          <w:i/>
          <w:vanish/>
        </w:rPr>
      </w:pPr>
      <w:r w:rsidRPr="009814E9">
        <w:rPr>
          <w:i/>
        </w:rPr>
        <w:fldChar w:fldCharType="begin"/>
      </w:r>
      <w:r w:rsidRPr="009814E9">
        <w:rPr>
          <w:i/>
        </w:rPr>
        <w:instrText xml:space="preserve"> TC"(</w:instrText>
      </w:r>
      <w:bookmarkStart w:id="2" w:name="DocNumber"/>
      <w:r w:rsidRPr="009814E9">
        <w:rPr>
          <w:i/>
        </w:rPr>
        <w:instrText>B10-0109/2026</w:instrText>
      </w:r>
      <w:bookmarkEnd w:id="2"/>
      <w:r w:rsidRPr="009814E9">
        <w:rPr>
          <w:i/>
        </w:rPr>
        <w:instrText xml:space="preserve">)"\l3 \n&gt; \* MERGEFORMAT </w:instrText>
      </w:r>
      <w:r w:rsidRPr="009814E9">
        <w:rPr>
          <w:i/>
        </w:rPr>
        <w:fldChar w:fldCharType="end"/>
      </w:r>
    </w:p>
    <w:p w14:paraId="06010AEB" w14:textId="77777777" w:rsidR="00C67E76" w:rsidRPr="009814E9" w:rsidRDefault="00C67E76" w:rsidP="00C67E76">
      <w:pPr>
        <w:rPr>
          <w:vanish/>
        </w:rPr>
      </w:pPr>
      <w:bookmarkStart w:id="3" w:name="PE"/>
      <w:r w:rsidRPr="009814E9">
        <w:rPr>
          <w:vanish/>
        </w:rPr>
        <w:t>PE782.197</w:t>
      </w:r>
      <w:bookmarkEnd w:id="3"/>
    </w:p>
    <w:p w14:paraId="710C983C" w14:textId="5BE6D493" w:rsidR="00C67E76" w:rsidRPr="009814E9" w:rsidRDefault="00D04204" w:rsidP="00C67E76">
      <w:pPr>
        <w:pStyle w:val="ATHeading3"/>
      </w:pPr>
      <w:bookmarkStart w:id="4" w:name="Sujet"/>
      <w:r w:rsidRPr="009814E9">
        <w:t xml:space="preserve">Resolutie </w:t>
      </w:r>
      <w:r w:rsidR="00C67E76" w:rsidRPr="009814E9">
        <w:t xml:space="preserve">van het Europees Parlement van </w:t>
      </w:r>
      <w:r w:rsidR="00385DF1" w:rsidRPr="009814E9">
        <w:t xml:space="preserve">11 </w:t>
      </w:r>
      <w:r w:rsidR="00C67E76" w:rsidRPr="009814E9">
        <w:t>februari 2026 over het ontwerp van uitvoeringsbesluit van de Commissie tot verlenging van de vergunning voor het in de handel brengen van producten die geheel of gedeeltelijk bestaan uit of zijn geproduceerd met genetisch gemodificeerd katoen GHB614 × LLCotton25 overeenkomstig Verordening (EG) nr. 1829/2003 van het Europees Parlement en de Raad</w:t>
      </w:r>
      <w:bookmarkEnd w:id="4"/>
      <w:r w:rsidR="00C67E76" w:rsidRPr="009814E9">
        <w:t xml:space="preserve"> </w:t>
      </w:r>
      <w:bookmarkStart w:id="5" w:name="References"/>
      <w:r w:rsidR="00C67E76" w:rsidRPr="009814E9">
        <w:t>(D111476/0</w:t>
      </w:r>
      <w:r w:rsidR="00385DF1" w:rsidRPr="009814E9">
        <w:t>2</w:t>
      </w:r>
      <w:r w:rsidR="00C67E76" w:rsidRPr="009814E9">
        <w:t xml:space="preserve"> - 2026/2519(RSP))</w:t>
      </w:r>
      <w:bookmarkEnd w:id="5"/>
    </w:p>
    <w:p w14:paraId="74D8299A" w14:textId="77777777" w:rsidR="00883D96" w:rsidRPr="009814E9" w:rsidRDefault="00883D96" w:rsidP="00883D96">
      <w:pPr>
        <w:pStyle w:val="EPComma"/>
      </w:pPr>
      <w:bookmarkStart w:id="6" w:name="TextBodyBegin"/>
      <w:bookmarkEnd w:id="6"/>
      <w:r w:rsidRPr="009814E9">
        <w:rPr>
          <w:i/>
        </w:rPr>
        <w:t>Het Europees Parlement</w:t>
      </w:r>
      <w:r w:rsidRPr="009814E9">
        <w:t>,</w:t>
      </w:r>
    </w:p>
    <w:p w14:paraId="23C0E72B" w14:textId="1A5AFD5F" w:rsidR="00883D96" w:rsidRPr="009814E9" w:rsidRDefault="00883D96" w:rsidP="00883D96">
      <w:pPr>
        <w:pStyle w:val="NormalHanging12a"/>
      </w:pPr>
      <w:r w:rsidRPr="009814E9">
        <w:t>–</w:t>
      </w:r>
      <w:r w:rsidRPr="009814E9">
        <w:tab/>
        <w:t>gezien het ontwerp van uitvoeringsbesluit van de Commissie tot verlenging van de vergunning voor het in de handel brengen van producten die geheel of gedeeltelijk bestaan uit of zijn geproduceerd met genetisch gemodificeerd katoen GHB614 × LLCotton25 overeenkomstig Verordening (EG) nr. 1829/2003 van het Europees Parlement en de Raad (D111476/0</w:t>
      </w:r>
      <w:r w:rsidR="00385DF1" w:rsidRPr="009814E9">
        <w:t>2</w:t>
      </w:r>
      <w:r w:rsidRPr="009814E9">
        <w:t>),</w:t>
      </w:r>
    </w:p>
    <w:p w14:paraId="3A711797" w14:textId="77777777" w:rsidR="00883D96" w:rsidRPr="009814E9" w:rsidRDefault="00883D96" w:rsidP="00883D96">
      <w:pPr>
        <w:pStyle w:val="NormalHanging12a"/>
      </w:pPr>
      <w:r w:rsidRPr="009814E9">
        <w:t>–</w:t>
      </w:r>
      <w:r w:rsidRPr="009814E9">
        <w:tab/>
        <w:t>gezien Verordening (EG) nr. 1829/2003 van het Europees Parlement en de Raad van 22 september 2003 inzake genetisch gemodificeerde levensmiddelen en diervoeders</w:t>
      </w:r>
      <w:r w:rsidRPr="009814E9">
        <w:rPr>
          <w:vertAlign w:val="superscript"/>
        </w:rPr>
        <w:footnoteReference w:id="1"/>
      </w:r>
      <w:r w:rsidRPr="009814E9">
        <w:t>, en met name artikel 11, lid 3, en artikel 23, lid 3,</w:t>
      </w:r>
    </w:p>
    <w:p w14:paraId="1FA2D3D3" w14:textId="1EE14448" w:rsidR="00883D96" w:rsidRPr="009814E9" w:rsidRDefault="00883D96" w:rsidP="00883D96">
      <w:pPr>
        <w:pStyle w:val="NormalHanging12a"/>
      </w:pPr>
      <w:r w:rsidRPr="009814E9">
        <w:t>–</w:t>
      </w:r>
      <w:r w:rsidRPr="009814E9">
        <w:tab/>
        <w:t xml:space="preserve">gezien de stemming in het </w:t>
      </w:r>
      <w:bookmarkStart w:id="7" w:name="_Hlk210664905"/>
      <w:r w:rsidRPr="009814E9">
        <w:t>Permanent Comité voor planten, dieren, levensmiddelen en diervoeders</w:t>
      </w:r>
      <w:bookmarkEnd w:id="7"/>
      <w:r w:rsidRPr="009814E9">
        <w:t xml:space="preserve"> als bedoeld in artikel 35 van Verordening (EG) nr. 1829/2003, van 12 december 2025, die geen advies heeft opgeleverd, </w:t>
      </w:r>
      <w:r w:rsidR="00385DF1" w:rsidRPr="009814E9">
        <w:t>en de stemming van 27 januari 2026 in het comité van beroep, die evenmin een advies heeft opgeleverd,</w:t>
      </w:r>
    </w:p>
    <w:p w14:paraId="44A50292" w14:textId="77777777" w:rsidR="00883D96" w:rsidRPr="009814E9" w:rsidRDefault="00883D96" w:rsidP="00883D96">
      <w:pPr>
        <w:pStyle w:val="NormalHanging12a"/>
      </w:pPr>
      <w:r w:rsidRPr="009814E9">
        <w:t>–</w:t>
      </w:r>
      <w:r w:rsidRPr="009814E9">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9814E9">
        <w:rPr>
          <w:vertAlign w:val="superscript"/>
        </w:rPr>
        <w:footnoteReference w:id="2"/>
      </w:r>
      <w:r w:rsidRPr="009814E9">
        <w:t>,</w:t>
      </w:r>
    </w:p>
    <w:p w14:paraId="0960685E" w14:textId="77777777" w:rsidR="00883D96" w:rsidRPr="009814E9" w:rsidRDefault="00883D96" w:rsidP="00883D96">
      <w:pPr>
        <w:pStyle w:val="NormalHanging12a"/>
      </w:pPr>
      <w:r w:rsidRPr="009814E9">
        <w:t>–</w:t>
      </w:r>
      <w:r w:rsidRPr="009814E9">
        <w:tab/>
        <w:t xml:space="preserve">gezien het advies dat op 30 juni 2025 door de Europese Autoriteit voor </w:t>
      </w:r>
      <w:r w:rsidRPr="009814E9">
        <w:lastRenderedPageBreak/>
        <w:t>voedselveiligheid (EFSA) is goedgekeurd en op 7 augustus 2025 is gepubliceerd</w:t>
      </w:r>
      <w:r w:rsidRPr="009814E9">
        <w:rPr>
          <w:vertAlign w:val="superscript"/>
        </w:rPr>
        <w:footnoteReference w:id="3"/>
      </w:r>
      <w:r w:rsidRPr="009814E9">
        <w:t>,</w:t>
      </w:r>
    </w:p>
    <w:p w14:paraId="5290A302" w14:textId="77777777" w:rsidR="00883D96" w:rsidRPr="009814E9" w:rsidRDefault="00883D96" w:rsidP="00883D96">
      <w:pPr>
        <w:pStyle w:val="NormalHanging12a"/>
      </w:pPr>
      <w:r w:rsidRPr="009814E9">
        <w:t>–</w:t>
      </w:r>
      <w:r w:rsidRPr="009814E9">
        <w:tab/>
        <w:t>gezien zijn eerdere resoluties waarin bezwaar wordt gemaakt tegen het verlenen van vergunningen voor genetisch gemodificeerde organismen (“ggo’s”)</w:t>
      </w:r>
      <w:bookmarkStart w:id="9" w:name="_Hlk210666451"/>
      <w:r w:rsidRPr="009814E9">
        <w:rPr>
          <w:vertAlign w:val="superscript"/>
        </w:rPr>
        <w:footnoteReference w:id="4"/>
      </w:r>
      <w:bookmarkEnd w:id="9"/>
      <w:r w:rsidRPr="009814E9">
        <w:t xml:space="preserve">, </w:t>
      </w:r>
    </w:p>
    <w:p w14:paraId="11CA5ACC" w14:textId="77777777" w:rsidR="00883D96" w:rsidRPr="009814E9" w:rsidRDefault="00883D96" w:rsidP="00883D96">
      <w:pPr>
        <w:pStyle w:val="NormalHanging12a"/>
      </w:pPr>
      <w:r w:rsidRPr="009814E9">
        <w:lastRenderedPageBreak/>
        <w:t>–</w:t>
      </w:r>
      <w:r w:rsidRPr="009814E9">
        <w:tab/>
        <w:t>gezien artikel 115, leden 2 en 3, van zijn Reglement,</w:t>
      </w:r>
    </w:p>
    <w:p w14:paraId="1B09FA23" w14:textId="77777777" w:rsidR="00883D96" w:rsidRPr="009814E9" w:rsidRDefault="00883D96" w:rsidP="00883D96">
      <w:pPr>
        <w:pStyle w:val="NormalHanging12a"/>
      </w:pPr>
      <w:r w:rsidRPr="009814E9">
        <w:t>–</w:t>
      </w:r>
      <w:r w:rsidRPr="009814E9">
        <w:tab/>
        <w:t>gezien de ontwerpresolutie van de Commissie milieubeheer, klimaat en voedselveiligheid,</w:t>
      </w:r>
    </w:p>
    <w:p w14:paraId="68CDC2C4" w14:textId="77777777" w:rsidR="00883D96" w:rsidRPr="009814E9" w:rsidRDefault="00883D96" w:rsidP="00883D96">
      <w:pPr>
        <w:pStyle w:val="NormalHanging12a"/>
        <w:ind w:hanging="570"/>
      </w:pPr>
      <w:r w:rsidRPr="009814E9">
        <w:t>A.</w:t>
      </w:r>
      <w:r w:rsidRPr="009814E9">
        <w:tab/>
        <w:t>overwegende dat bij Uitvoeringsbesluit (EU) 2015/690</w:t>
      </w:r>
      <w:r w:rsidRPr="009814E9">
        <w:rPr>
          <w:rStyle w:val="FootnoteReference"/>
        </w:rPr>
        <w:footnoteReference w:id="5"/>
      </w:r>
      <w:r w:rsidRPr="009814E9">
        <w:t xml:space="preserve"> van de Commissie een vergunning is verleend voor het in de handel brengen van levensmiddelen en diervoeders die geheel of gedeeltelijk bestaan uit of zijn geproduceerd met genetisch gemodificeerd katoen GHB614 × LLCotton25 (hierna: “het genetisch gemodificeerde katoen”). Deze vergunning had tevens betrekking op het in de handel brengen van </w:t>
      </w:r>
      <w:r w:rsidRPr="009814E9">
        <w:lastRenderedPageBreak/>
        <w:t>andere producten dan levensmiddelen en diervoeders die geheel of gedeeltelijk bestaan uit het genetisch gemodificeerde katoen, voor dezelfde gebruiksdoeleinden als ander katoen, met uitzondering van de teelt;</w:t>
      </w:r>
    </w:p>
    <w:p w14:paraId="38B5BFEE" w14:textId="77777777" w:rsidR="00883D96" w:rsidRPr="009814E9" w:rsidRDefault="00883D96" w:rsidP="00883D96">
      <w:pPr>
        <w:pStyle w:val="NormalHanging12a"/>
        <w:ind w:hanging="570"/>
      </w:pPr>
      <w:bookmarkStart w:id="10" w:name="_Hlk218675754"/>
      <w:r w:rsidRPr="009814E9">
        <w:t>B.</w:t>
      </w:r>
      <w:r w:rsidRPr="009814E9">
        <w:tab/>
        <w:t xml:space="preserve">overwegende dat op 22 maart 2024 </w:t>
      </w:r>
      <w:r w:rsidRPr="009814E9">
        <w:rPr>
          <w:snapToGrid w:val="0"/>
        </w:rPr>
        <w:t>BASF SE, gevestigd in Duitsland</w:t>
      </w:r>
      <w:r w:rsidRPr="009814E9">
        <w:t xml:space="preserve">, namens BASF Agricultural Solutions </w:t>
      </w:r>
      <w:proofErr w:type="spellStart"/>
      <w:r w:rsidRPr="009814E9">
        <w:t>Seed</w:t>
      </w:r>
      <w:proofErr w:type="spellEnd"/>
      <w:r w:rsidRPr="009814E9">
        <w:t xml:space="preserve"> US LLC, gevestigd in de Verenigde Staten, bij de Commissie een aanvraag heeft ingediend voor de verlenging van die vergunning;</w:t>
      </w:r>
    </w:p>
    <w:p w14:paraId="2F90E86D" w14:textId="77777777" w:rsidR="00883D96" w:rsidRPr="009814E9" w:rsidRDefault="00883D96" w:rsidP="00883D96">
      <w:pPr>
        <w:pStyle w:val="NormalHanging12a"/>
        <w:ind w:hanging="570"/>
      </w:pPr>
      <w:r w:rsidRPr="009814E9">
        <w:t>C.</w:t>
      </w:r>
      <w:r w:rsidRPr="009814E9">
        <w:tab/>
        <w:t>overwegende dat de EFSA op 7 augustus 2025 een positief wetenschappelijk advies inzake genetisch gemodificeerde katoen heeft uitgebracht overeenkomstig de artikelen 11 en 23 van Verordening (EG) nr. 1829/2003, waarin zij concludeert dat het verzoek om verlenging geen elementen bevat die duiden op nieuwe gevaren of gewijzigde blootstelling, en ook geen nieuwe wetenschappelijke onzekerheden die zouden leiden tot een verandering van de conclusies van de oorspronkelijke risicobeoordeling van de EFSA uit 2014 inzake de genetisch gemodificeerde katoen</w:t>
      </w:r>
      <w:r w:rsidRPr="009814E9">
        <w:rPr>
          <w:rStyle w:val="FootnoteReference"/>
        </w:rPr>
        <w:footnoteReference w:id="6"/>
      </w:r>
      <w:r w:rsidRPr="009814E9">
        <w:t>; overwegende dat in die adviezen niet wordt ingegaan op verschillende bredere ecologische, sociaal-economische en cumulatieve gevolgen, aangezien de EFSA oordeelt dat zulks buiten haar terrein valt;</w:t>
      </w:r>
    </w:p>
    <w:p w14:paraId="653164B4" w14:textId="77777777" w:rsidR="00883D96" w:rsidRPr="009814E9" w:rsidRDefault="00883D96" w:rsidP="00883D96">
      <w:pPr>
        <w:pStyle w:val="NormalHanging12a"/>
      </w:pPr>
      <w:r w:rsidRPr="009814E9">
        <w:t>D.</w:t>
      </w:r>
      <w:r w:rsidRPr="009814E9">
        <w:tab/>
        <w:t xml:space="preserve">overwegende dat de genetisch gemodificeerde katoen is ontwikkeld om tolerantie te geven voor glufosinaat en glyfosaat; </w:t>
      </w:r>
    </w:p>
    <w:bookmarkEnd w:id="10"/>
    <w:p w14:paraId="32F135B1" w14:textId="77777777" w:rsidR="00883D96" w:rsidRPr="009814E9" w:rsidRDefault="00883D96" w:rsidP="00883D96">
      <w:pPr>
        <w:pStyle w:val="NormalHanging12a"/>
      </w:pPr>
      <w:r w:rsidRPr="009814E9">
        <w:t>E.</w:t>
      </w:r>
      <w:r w:rsidRPr="009814E9">
        <w:tab/>
        <w:t>overwegende dat de EFSA in haar risicobeoordelingen niet heeft gekeken naar toxicologische langetermijnstudies of gedetailleerde analysen van cumulatieve en gecombineerde effecten, waaronder de mogelijke wisselwerking met resten van pesticiden die gewoonlijk bij de teelt van katoen worden gebruikt;</w:t>
      </w:r>
    </w:p>
    <w:p w14:paraId="6AA59B25" w14:textId="77777777" w:rsidR="00883D96" w:rsidRPr="009814E9" w:rsidRDefault="00883D96" w:rsidP="00883D96">
      <w:pPr>
        <w:pStyle w:val="NormalHanging12a"/>
        <w:rPr>
          <w:color w:val="000000" w:themeColor="text1"/>
          <w:szCs w:val="24"/>
        </w:rPr>
      </w:pPr>
      <w:r w:rsidRPr="009814E9">
        <w:rPr>
          <w:color w:val="000000" w:themeColor="text1"/>
        </w:rPr>
        <w:t>F.</w:t>
      </w:r>
      <w:r w:rsidRPr="009814E9">
        <w:rPr>
          <w:color w:val="000000" w:themeColor="text1"/>
        </w:rPr>
        <w:tab/>
      </w:r>
      <w:r w:rsidRPr="009814E9">
        <w:t xml:space="preserve">overwegende dat de overgrote meerderheid van genetisch gemodificeerde gewassen, waaronder de genetisch gemodificeerde katoen, zodanig genetisch zijn gemodificeerd dat ze tolerant zijn voor één of meerdere “complementaire” herbiciden die gedurende de gehele teelt van het genetisch gemodificeerde gewas kunnen worden gebruikt zonder dat het gewas sterft, zoals het geval zou zijn bij een niet-herbicidetolerant gewas; </w:t>
      </w:r>
      <w:r w:rsidRPr="009814E9">
        <w:rPr>
          <w:color w:val="000000" w:themeColor="text1"/>
        </w:rPr>
        <w:t>overwegende dat in meerdere studies is aangetoond dat de teelt van herbicidetolerante genetisch gemodificeerde gewassen een toename van het gebruik van complementaire herbiciden in de hand werkt, voornamelijk vanwege het ontstaan van herbicidetolerant onkruid</w:t>
      </w:r>
      <w:r w:rsidRPr="009814E9">
        <w:rPr>
          <w:rStyle w:val="FootnoteReference"/>
          <w:color w:val="000000" w:themeColor="text1"/>
          <w:szCs w:val="24"/>
        </w:rPr>
        <w:footnoteReference w:id="7"/>
      </w:r>
      <w:r w:rsidRPr="009814E9">
        <w:rPr>
          <w:color w:val="000000" w:themeColor="text1"/>
        </w:rPr>
        <w:t>;</w:t>
      </w:r>
    </w:p>
    <w:p w14:paraId="6E3DBE18" w14:textId="77777777" w:rsidR="00883D96" w:rsidRPr="009814E9" w:rsidRDefault="00883D96" w:rsidP="00883D96">
      <w:pPr>
        <w:spacing w:after="240"/>
        <w:ind w:left="567" w:hanging="567"/>
        <w:rPr>
          <w:color w:val="000000" w:themeColor="text1"/>
          <w:szCs w:val="24"/>
        </w:rPr>
      </w:pPr>
      <w:r w:rsidRPr="009814E9">
        <w:t>G.</w:t>
      </w:r>
      <w:r w:rsidRPr="009814E9">
        <w:tab/>
        <w:t xml:space="preserve">overwegende </w:t>
      </w:r>
      <w:r w:rsidRPr="009814E9">
        <w:rPr>
          <w:color w:val="000000" w:themeColor="text1"/>
        </w:rPr>
        <w:t xml:space="preserve">dat herbicidetolerante genetisch gemodificeerde gewassen een lock-in veroorzaken waarbij landbouwers afhankelijk worden van een onkruidbeheersysteem </w:t>
      </w:r>
      <w:r w:rsidRPr="009814E9">
        <w:rPr>
          <w:color w:val="000000" w:themeColor="text1"/>
        </w:rPr>
        <w:lastRenderedPageBreak/>
        <w:t>dat grotendeels of volledig berust op het gebruik van herbiciden, doordat er voor genetisch gemodificeerd zaad een premie wordt aangerekend die alleen kan worden gerechtvaardigd als landbouwers die dit zaad kopen ook sproeien met de complementaire herbiciden; overwegende dat een grotere afhankelijkheid van complementaire herbiciden op landbouwbedrijven die de genetisch gemodificeerde katoen aanplanten het ontstaan en de verspreiding van onkruid zal versnellen dat tolerant is voor deze herbiciden, waardoor nog meer herbiciden moeten worden gebruikt — een vicieuze cirkel die bekendstaat als de “</w:t>
      </w:r>
      <w:proofErr w:type="spellStart"/>
      <w:r w:rsidRPr="009814E9">
        <w:rPr>
          <w:color w:val="000000" w:themeColor="text1"/>
        </w:rPr>
        <w:t>pesticidentredmolen</w:t>
      </w:r>
      <w:proofErr w:type="spellEnd"/>
      <w:r w:rsidRPr="009814E9">
        <w:rPr>
          <w:color w:val="000000" w:themeColor="text1"/>
        </w:rPr>
        <w:t>” (</w:t>
      </w:r>
      <w:proofErr w:type="spellStart"/>
      <w:r w:rsidRPr="009814E9">
        <w:rPr>
          <w:color w:val="000000" w:themeColor="text1"/>
        </w:rPr>
        <w:t>the</w:t>
      </w:r>
      <w:proofErr w:type="spellEnd"/>
      <w:r w:rsidRPr="009814E9">
        <w:rPr>
          <w:color w:val="000000" w:themeColor="text1"/>
        </w:rPr>
        <w:t xml:space="preserve"> herbicide </w:t>
      </w:r>
      <w:proofErr w:type="spellStart"/>
      <w:r w:rsidRPr="009814E9">
        <w:rPr>
          <w:color w:val="000000" w:themeColor="text1"/>
        </w:rPr>
        <w:t>treadmill</w:t>
      </w:r>
      <w:proofErr w:type="spellEnd"/>
      <w:r w:rsidRPr="009814E9">
        <w:rPr>
          <w:color w:val="000000" w:themeColor="text1"/>
        </w:rPr>
        <w:t>); overwegende dat als gevolg daarvan de negatieve effecten van de buitensporige afhankelijkheid van herbiciden op de bodemgezondheid, de waterkwaliteit en de boven- en ondergrondse biodiversiteit nog zullen verslechteren en zullen leiden tot een grotere blootstelling van mens en dier, mogelijk ook door een toename van residuen van herbiciden op levensmiddelen en diervoeders</w:t>
      </w:r>
      <w:r w:rsidRPr="009814E9">
        <w:rPr>
          <w:rStyle w:val="FootnoteReference"/>
          <w:color w:val="000000" w:themeColor="text1"/>
          <w:szCs w:val="24"/>
        </w:rPr>
        <w:footnoteReference w:id="8"/>
      </w:r>
      <w:r w:rsidRPr="009814E9">
        <w:rPr>
          <w:color w:val="000000" w:themeColor="text1"/>
        </w:rPr>
        <w:t>;</w:t>
      </w:r>
    </w:p>
    <w:p w14:paraId="51B28EE3" w14:textId="77777777" w:rsidR="00883D96" w:rsidRPr="009814E9" w:rsidRDefault="00883D96" w:rsidP="00883D96">
      <w:pPr>
        <w:pStyle w:val="NormalWeb"/>
        <w:widowControl w:val="0"/>
        <w:spacing w:before="0" w:beforeAutospacing="0" w:after="240" w:afterAutospacing="0"/>
        <w:ind w:left="567" w:hanging="567"/>
      </w:pPr>
      <w:r w:rsidRPr="009814E9">
        <w:t>H.</w:t>
      </w:r>
      <w:r w:rsidRPr="009814E9">
        <w:tab/>
        <w:t>overwegende dat glufosinaat is ingedeeld als toxisch voor de voortplanting, categorie 1B, en dus onder de uitsluitingscriteria valt van Verordening (EG) nr. 1107/2009 van het Europees Parlement en de Raad</w:t>
      </w:r>
      <w:r w:rsidRPr="009814E9">
        <w:rPr>
          <w:rStyle w:val="FootnoteReference"/>
        </w:rPr>
        <w:footnoteReference w:id="9"/>
      </w:r>
      <w:r w:rsidRPr="009814E9">
        <w:t>; overwegende dat de goedkeuring van glufosinaat voor gebruik in de Unie op 31 juli 2018 is verstreken;</w:t>
      </w:r>
    </w:p>
    <w:p w14:paraId="4A207128" w14:textId="77777777" w:rsidR="00883D96" w:rsidRPr="009814E9" w:rsidRDefault="00883D96" w:rsidP="00883D96">
      <w:pPr>
        <w:pStyle w:val="NormalHanging12a"/>
      </w:pPr>
      <w:r w:rsidRPr="009814E9">
        <w:t>I.</w:t>
      </w:r>
      <w:r w:rsidRPr="009814E9">
        <w:tab/>
        <w:t>overwegende dat er nog altijd grote onduidelijkheid bestaat over de kankerverwekkende eigenschappen van glyfosaat; overwegende dat de EFSA in november 2015 tot de conclusie is gekomen dat het onwaarschijnlijk is dat glyfosaat kankerverwekkend is, en dat het Europees Agentschap voor chemische stoffen in maart 2017 heeft geconcludeerd dat het niet gerechtvaardigd is de stof als zodanig in te delen; overwegende dat het Internationaal Agentschap voor kankeronderzoek, het agentschap van de Wereldgezondheidsorganisatie dat gespecialiseerd is op het gebied van kanker, glyfosaat in 2015 echter heeft ingedeeld als waarschijnlijk kankerverwekkend voor de mens; overwegende dat in een aantal recente, collegiaal getoetste wetenschappelijke studies wordt bevestigd dat glyfosaat mogelijk kankerverwekkend is</w:t>
      </w:r>
      <w:r w:rsidRPr="009814E9">
        <w:rPr>
          <w:rStyle w:val="FootnoteReference"/>
        </w:rPr>
        <w:footnoteReference w:id="10"/>
      </w:r>
      <w:r w:rsidRPr="009814E9">
        <w:t xml:space="preserve">; </w:t>
      </w:r>
      <w:bookmarkStart w:id="12" w:name="_Hlk218688545"/>
      <w:r w:rsidRPr="009814E9">
        <w:t>overwegende dat het tijdschrift “</w:t>
      </w:r>
      <w:proofErr w:type="spellStart"/>
      <w:r w:rsidRPr="009814E9">
        <w:t>Regulatory</w:t>
      </w:r>
      <w:proofErr w:type="spellEnd"/>
      <w:r w:rsidRPr="009814E9">
        <w:t xml:space="preserve"> </w:t>
      </w:r>
      <w:proofErr w:type="spellStart"/>
      <w:r w:rsidRPr="009814E9">
        <w:t>Toxicology</w:t>
      </w:r>
      <w:proofErr w:type="spellEnd"/>
      <w:r w:rsidRPr="009814E9">
        <w:t xml:space="preserve"> </w:t>
      </w:r>
      <w:proofErr w:type="spellStart"/>
      <w:r w:rsidRPr="009814E9">
        <w:t>and</w:t>
      </w:r>
      <w:proofErr w:type="spellEnd"/>
      <w:r w:rsidRPr="009814E9">
        <w:t xml:space="preserve"> </w:t>
      </w:r>
      <w:proofErr w:type="spellStart"/>
      <w:r w:rsidRPr="009814E9">
        <w:t>Pharmacology</w:t>
      </w:r>
      <w:proofErr w:type="spellEnd"/>
      <w:r w:rsidRPr="009814E9">
        <w:t xml:space="preserve">” het in 2000 gepubliceerde wetenschappelijk artikel “Safety Evaluation and Risk Assessment of </w:t>
      </w:r>
      <w:proofErr w:type="spellStart"/>
      <w:r w:rsidRPr="009814E9">
        <w:t>the</w:t>
      </w:r>
      <w:proofErr w:type="spellEnd"/>
      <w:r w:rsidRPr="009814E9">
        <w:t xml:space="preserve"> Herbicide Roundup </w:t>
      </w:r>
      <w:proofErr w:type="spellStart"/>
      <w:r w:rsidRPr="009814E9">
        <w:t>and</w:t>
      </w:r>
      <w:proofErr w:type="spellEnd"/>
      <w:r w:rsidRPr="009814E9">
        <w:t xml:space="preserve"> </w:t>
      </w:r>
      <w:proofErr w:type="spellStart"/>
      <w:r w:rsidRPr="009814E9">
        <w:t>Its</w:t>
      </w:r>
      <w:proofErr w:type="spellEnd"/>
      <w:r w:rsidRPr="009814E9">
        <w:t xml:space="preserve"> Active </w:t>
      </w:r>
      <w:proofErr w:type="spellStart"/>
      <w:r w:rsidRPr="009814E9">
        <w:t>Ingredient</w:t>
      </w:r>
      <w:proofErr w:type="spellEnd"/>
      <w:r w:rsidRPr="009814E9">
        <w:t xml:space="preserve">, </w:t>
      </w:r>
      <w:proofErr w:type="spellStart"/>
      <w:r w:rsidRPr="009814E9">
        <w:t>Glyphosate</w:t>
      </w:r>
      <w:proofErr w:type="spellEnd"/>
      <w:r w:rsidRPr="009814E9">
        <w:t xml:space="preserve">, </w:t>
      </w:r>
      <w:proofErr w:type="spellStart"/>
      <w:r w:rsidRPr="009814E9">
        <w:t>for</w:t>
      </w:r>
      <w:proofErr w:type="spellEnd"/>
      <w:r w:rsidRPr="009814E9">
        <w:t xml:space="preserve"> </w:t>
      </w:r>
      <w:proofErr w:type="spellStart"/>
      <w:r w:rsidRPr="009814E9">
        <w:t>Humans</w:t>
      </w:r>
      <w:proofErr w:type="spellEnd"/>
      <w:r w:rsidRPr="009814E9">
        <w:t>”, dat in veel risicobeoordelingen is gebruikt om de veiligheid van glyfosaat te verdedigen, formeel heeft ingetrokken, nadat er bezorgdheid was geuit over het auteurschap, de geldigheid van de onderzoeksresultaten in verband met een verkeerde voorstelling van de bijdragen door de auteurs en de sponsor van de studie, en mogelijke belangenconflicten van de auteurs</w:t>
      </w:r>
      <w:r w:rsidRPr="009814E9">
        <w:rPr>
          <w:rStyle w:val="FootnoteReference"/>
        </w:rPr>
        <w:footnoteReference w:id="11"/>
      </w:r>
      <w:r w:rsidRPr="009814E9">
        <w:t>;</w:t>
      </w:r>
      <w:bookmarkEnd w:id="12"/>
    </w:p>
    <w:p w14:paraId="59A1EB70" w14:textId="77777777" w:rsidR="00883D96" w:rsidRPr="009814E9" w:rsidRDefault="00883D96" w:rsidP="00883D96">
      <w:pPr>
        <w:pStyle w:val="NormalHanging12a"/>
      </w:pPr>
      <w:r w:rsidRPr="009814E9">
        <w:lastRenderedPageBreak/>
        <w:t>J.</w:t>
      </w:r>
      <w:r w:rsidRPr="009814E9">
        <w:tab/>
        <w:t>overwegende dat onafhankelijk monitoring en controle van mogelijke schadelijke effecten op de biodiversiteit, bodemgezondheid, bestuivers en niet-doelsoorten nog steeds onvoldoende gewaarborgd zijn;</w:t>
      </w:r>
    </w:p>
    <w:p w14:paraId="33D214B6" w14:textId="77777777" w:rsidR="00883D96" w:rsidRPr="009814E9" w:rsidRDefault="00883D96" w:rsidP="00883D96">
      <w:pPr>
        <w:spacing w:after="240"/>
        <w:ind w:left="567" w:hanging="567"/>
      </w:pPr>
      <w:r w:rsidRPr="009814E9">
        <w:t>K.</w:t>
      </w:r>
      <w:r w:rsidRPr="009814E9">
        <w:tab/>
        <w:t>overwegende dat het voorzorgsbeginsel, opgenomen in artikel 191 van het Verdrag betreffende de werking van de Europese Unie, van toepassing moet zijn in geval van wetenschappelijke onzekerheid;</w:t>
      </w:r>
    </w:p>
    <w:p w14:paraId="1D71489C" w14:textId="77777777" w:rsidR="00883D96" w:rsidRPr="009814E9" w:rsidRDefault="00883D96" w:rsidP="00883D96">
      <w:pPr>
        <w:spacing w:after="240"/>
        <w:ind w:left="567" w:hanging="567"/>
      </w:pPr>
      <w:r w:rsidRPr="009814E9">
        <w:t>L.</w:t>
      </w:r>
      <w:r w:rsidRPr="009814E9">
        <w:tab/>
        <w:t>overwegende dat op grond van Verordening (EG) nr. 1829/2003 genetisch gemodificeerde levensmiddelen en diervoeders geen nadelige gevolgen mogen hebben voor de gezondheid van mens en dier of voor het milieu;</w:t>
      </w:r>
    </w:p>
    <w:p w14:paraId="1DFB4EE2" w14:textId="77777777" w:rsidR="00883D96" w:rsidRPr="009814E9" w:rsidRDefault="00883D96" w:rsidP="00883D96">
      <w:pPr>
        <w:pStyle w:val="NormalWeb"/>
        <w:widowControl w:val="0"/>
        <w:spacing w:before="0" w:beforeAutospacing="0" w:after="240" w:afterAutospacing="0"/>
        <w:ind w:left="567" w:hanging="567"/>
      </w:pPr>
      <w:r w:rsidRPr="009814E9">
        <w:t>M.</w:t>
      </w:r>
      <w:r w:rsidRPr="009814E9">
        <w:tab/>
        <w:t>overwegende dat een verlenging door de Unie van de vergunning voor de genetisch gemodificeerde katoen niet in overeenstemming zou zijn met internationale verbintenissen inzake de vermindering van pesticiden</w:t>
      </w:r>
      <w:r w:rsidRPr="009814E9">
        <w:rPr>
          <w:vertAlign w:val="superscript"/>
        </w:rPr>
        <w:footnoteReference w:id="12"/>
      </w:r>
      <w:r w:rsidRPr="009814E9">
        <w:t>, gezien de toename van blootstelling van mensen, dieren en het milieu aan glyfosaat en glufosinaat in landen waar dit herbicidetolerante genetisch gemodificeerde gewas wordt geteeld, en de mogelijk ernstige gevolgen voor de gezondheid die hiermee gepaard gaan;</w:t>
      </w:r>
    </w:p>
    <w:p w14:paraId="4D0DEF25" w14:textId="77777777" w:rsidR="00883D96" w:rsidRPr="009814E9" w:rsidRDefault="00883D96" w:rsidP="00883D96">
      <w:pPr>
        <w:spacing w:after="240"/>
        <w:ind w:left="567" w:hanging="567"/>
      </w:pPr>
      <w:r w:rsidRPr="009814E9">
        <w:t>N.</w:t>
      </w:r>
      <w:r w:rsidRPr="009814E9">
        <w:tab/>
        <w:t>overwegende dat het uitvoeringsbesluit van de Commissie de invoer in de Unie mogelijk zou blijven maken van producten die niet voldoen aan de normen waar de landbouwers van de Unie zich aan moeten houden, waardoor deze een concurrentienadeel hebben;</w:t>
      </w:r>
    </w:p>
    <w:p w14:paraId="2A9C3D61" w14:textId="77777777" w:rsidR="00883D96" w:rsidRPr="009814E9" w:rsidRDefault="00883D96" w:rsidP="00883D96">
      <w:pPr>
        <w:spacing w:after="240"/>
        <w:ind w:left="567" w:hanging="567"/>
      </w:pPr>
      <w:r w:rsidRPr="009814E9">
        <w:t>O.</w:t>
      </w:r>
      <w:r w:rsidRPr="009814E9">
        <w:tab/>
        <w:t>overwegende dat de Commissie in de conclusies van de strategische dialoog over de toekomst van de landbouw in de EU</w:t>
      </w:r>
      <w:r w:rsidRPr="009814E9">
        <w:rPr>
          <w:rStyle w:val="FootnoteReference"/>
        </w:rPr>
        <w:footnoteReference w:id="13"/>
      </w:r>
      <w:r w:rsidRPr="009814E9">
        <w:t xml:space="preserve"> wordt verzocht haar aanpak inzake markttoegang voor de in- en uitvoer van agrovoedingsmiddelen te herzien, gezien het probleem van uiteenlopende normen van de Unie en haar handelspartners; overwegende dat eerlijkere handelsbetrekkingen op mondiaal niveau, die stroken met de doelstellingen voor een gezond milieu, een van de belangrijkste eisen van landbouwers waren tijdens de demonstraties van 2023, 2024 en 2025;</w:t>
      </w:r>
    </w:p>
    <w:p w14:paraId="46EB6B09" w14:textId="77777777" w:rsidR="00883D96" w:rsidRPr="009814E9" w:rsidRDefault="00883D96" w:rsidP="00883D96">
      <w:pPr>
        <w:spacing w:after="240"/>
        <w:ind w:left="567" w:hanging="567"/>
      </w:pPr>
      <w:r w:rsidRPr="009814E9">
        <w:t>P.</w:t>
      </w:r>
      <w:r w:rsidRPr="009814E9">
        <w:tab/>
        <w:t>overwegende dat het Parlement herhaaldelijk heeft benadrukt dat de Commissie geen ggo’s zou moeten toelaten in gevallen waar door de lidstaten in het Permanent Comité voor planten, dieren, levensmiddelen en diervoeders of het comité van beroep geen gekwalificeerde meerderheid is bereikt, teneinde het aanhoudende democratische deficit te adresseren;</w:t>
      </w:r>
    </w:p>
    <w:p w14:paraId="507605F8" w14:textId="77777777" w:rsidR="00883D96" w:rsidRPr="009814E9" w:rsidRDefault="00883D96" w:rsidP="00883D96">
      <w:pPr>
        <w:pStyle w:val="NormalWeb"/>
        <w:widowControl w:val="0"/>
        <w:shd w:val="clear" w:color="auto" w:fill="FFFFFF"/>
        <w:spacing w:before="0" w:beforeAutospacing="0" w:after="240" w:afterAutospacing="0"/>
        <w:ind w:left="567" w:hanging="567"/>
        <w:rPr>
          <w:color w:val="000000" w:themeColor="text1"/>
        </w:rPr>
      </w:pPr>
      <w:r w:rsidRPr="009814E9">
        <w:rPr>
          <w:color w:val="000000" w:themeColor="text1"/>
        </w:rPr>
        <w:t>Q.</w:t>
      </w:r>
      <w:r w:rsidRPr="009814E9">
        <w:rPr>
          <w:color w:val="000000" w:themeColor="text1"/>
        </w:rPr>
        <w:tab/>
        <w:t>overwegende dat de Commissie zich bewust is van de democratische tekortkomingen, het gebrek aan steun van de lidstaten en de bezwaren van het Parlement, maar desondanks vergunningen voor ggo’s blijft verlenen;</w:t>
      </w:r>
    </w:p>
    <w:p w14:paraId="5ACFE2CB" w14:textId="77777777" w:rsidR="00883D96" w:rsidRPr="009814E9" w:rsidRDefault="00883D96" w:rsidP="00883D96">
      <w:pPr>
        <w:spacing w:after="240"/>
        <w:ind w:left="567" w:hanging="567"/>
      </w:pPr>
      <w:r w:rsidRPr="009814E9">
        <w:t>R.</w:t>
      </w:r>
      <w:r w:rsidRPr="009814E9">
        <w:tab/>
        <w:t xml:space="preserve">overwegende dat de “één gezondheid”-benadering verlangt dat bij de beoordeling van de duurzaamheid en veiligheid van ggo’s op de lange termijn, rekening wordt gehouden </w:t>
      </w:r>
      <w:r w:rsidRPr="009814E9">
        <w:lastRenderedPageBreak/>
        <w:t>met de onderlinge afhankelijkheid tussen de gezondheid van mensen, dieren, planten en het milieu;</w:t>
      </w:r>
    </w:p>
    <w:p w14:paraId="743C6E91" w14:textId="77777777" w:rsidR="00883D96" w:rsidRPr="009814E9" w:rsidRDefault="00883D96" w:rsidP="00883D96">
      <w:pPr>
        <w:pStyle w:val="NormalHanging12a"/>
      </w:pPr>
      <w:r w:rsidRPr="009814E9">
        <w:t>1.</w:t>
      </w:r>
      <w:r w:rsidRPr="009814E9">
        <w:tab/>
        <w:t>is van mening dat het ontwerp van uitvoeringsbesluit van de Commissie de in Verordening (EG) nr. 1829/2003 bedoelde uitvoeringsbevoegdheden te buiten gaat;</w:t>
      </w:r>
    </w:p>
    <w:p w14:paraId="4D6AB54C" w14:textId="77777777" w:rsidR="00883D96" w:rsidRPr="009814E9" w:rsidRDefault="00883D96" w:rsidP="00883D96">
      <w:pPr>
        <w:pStyle w:val="NormalHanging12a"/>
      </w:pPr>
      <w:bookmarkStart w:id="13" w:name="_Hlk218675825"/>
      <w:r w:rsidRPr="009814E9">
        <w:t>2.</w:t>
      </w:r>
      <w:r w:rsidRPr="009814E9">
        <w:tab/>
        <w:t>is van mening dat het ontwerp van uitvoeringsbesluit van de Commissie niet in overeenstemming is met het recht van de Unie, aangezien het niet verenigbaar is met het doel van Verordening (EG) nr. 1829/2003 om overeenkomstig de algemene beginselen die bij Verordening (EG) nr. 178/2002 van het Europees Parlement en de Raad</w:t>
      </w:r>
      <w:r w:rsidRPr="009814E9">
        <w:rPr>
          <w:vertAlign w:val="superscript"/>
        </w:rPr>
        <w:footnoteReference w:id="14"/>
      </w:r>
      <w:r w:rsidRPr="009814E9">
        <w:t xml:space="preserve"> zijn 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en daarbij tevens de goede werking van de interne markt te waarborgen;</w:t>
      </w:r>
    </w:p>
    <w:bookmarkEnd w:id="13"/>
    <w:p w14:paraId="11BA11EF" w14:textId="77777777" w:rsidR="00883D96" w:rsidRPr="009814E9" w:rsidRDefault="00883D96" w:rsidP="00883D96">
      <w:pPr>
        <w:pStyle w:val="NormalHanging12a"/>
      </w:pPr>
      <w:r w:rsidRPr="009814E9">
        <w:t>3.</w:t>
      </w:r>
      <w:r w:rsidRPr="009814E9">
        <w:tab/>
        <w:t>verzoekt de Commissie haar ontwerp van uitvoeringsbesluit in te trekken;</w:t>
      </w:r>
    </w:p>
    <w:p w14:paraId="2A4EB1D3" w14:textId="77777777" w:rsidR="00883D96" w:rsidRPr="009814E9" w:rsidRDefault="00883D96" w:rsidP="00883D96">
      <w:pPr>
        <w:spacing w:after="240"/>
        <w:ind w:left="567" w:hanging="567"/>
      </w:pPr>
      <w:r w:rsidRPr="009814E9">
        <w:t>4.</w:t>
      </w:r>
      <w:r w:rsidRPr="009814E9">
        <w:tab/>
        <w:t>verzoekt de Commissie om, in overeenstemming met de “één gezondheid”-benadering, de vergunning voor de genetisch gemodificeerde katoen niet te verlengen vanwege het gebrek aan voldoende bewijs met betrekking tot de langetermijneffecten op de biodiversiteit, de voedselveiligheid, het levensonderhoud van landbouwers en de diergezondheid;</w:t>
      </w:r>
    </w:p>
    <w:p w14:paraId="2808C7BE" w14:textId="77777777" w:rsidR="00883D96" w:rsidRPr="009814E9" w:rsidRDefault="00883D96" w:rsidP="00883D96">
      <w:pPr>
        <w:spacing w:after="240"/>
        <w:ind w:left="567" w:hanging="567"/>
      </w:pPr>
      <w:bookmarkStart w:id="14" w:name="_Hlk210900300"/>
      <w:r w:rsidRPr="009814E9">
        <w:t>5.</w:t>
      </w:r>
      <w:r w:rsidRPr="009814E9">
        <w:tab/>
        <w:t>verzoekt de Commissie onverwijld een wetgevingsvoorstel tot hervorming van de besluitvormingsprocedure inzake ggo’s in te dienen om tegemoet te komen aan de aanhoudende bezwaren van het Parlement en het gebrek aan steun van een gekwalificeerde meerderheid van de lidstaten;</w:t>
      </w:r>
      <w:bookmarkEnd w:id="14"/>
    </w:p>
    <w:p w14:paraId="73E38090" w14:textId="77777777" w:rsidR="00883D96" w:rsidRPr="009814E9" w:rsidRDefault="00883D96" w:rsidP="00883D96">
      <w:pPr>
        <w:spacing w:after="240"/>
        <w:ind w:left="567" w:hanging="567"/>
      </w:pPr>
      <w:bookmarkStart w:id="15" w:name="_Hlk210900241"/>
      <w:r w:rsidRPr="009814E9">
        <w:t>6.</w:t>
      </w:r>
      <w:r w:rsidRPr="009814E9">
        <w:tab/>
        <w:t>benadrukt in dit verband dat het toestaan van de invoer van levensmiddelen, diervoeders of producten op basis van genetisch gemodificeerde planten die tolerant zijn gemaakt voor in de Unie verboden herbiciden, zoals glufosinaat, niet strookt met de internationale verbintenissen van de Unie uit hoofde van onder meer het VN-Verdrag inzake biologische diversiteit en de duurzameontwikkelingsdoelstellingen van de VN, met inbegrip van het mondiaal biodiversiteitskader van Kunming-Montreal, en een ongelijk speelveld creëert voor landbouwers in de Unie;</w:t>
      </w:r>
    </w:p>
    <w:bookmarkEnd w:id="15"/>
    <w:p w14:paraId="79C80B85" w14:textId="0B19C0EE" w:rsidR="005D6276" w:rsidRPr="009814E9" w:rsidRDefault="00883D96" w:rsidP="005D6276">
      <w:pPr>
        <w:pStyle w:val="NormalHanging12a"/>
      </w:pPr>
      <w:r w:rsidRPr="009814E9">
        <w:t>7.</w:t>
      </w:r>
      <w:r w:rsidRPr="009814E9">
        <w:tab/>
        <w:t>verzoekt zijn Voorzitter deze resolutie te doen toekomen aan de Raad en de Commissie, alsmede aan de regeringen en parlementen van de lidstaten.</w:t>
      </w:r>
    </w:p>
    <w:p w14:paraId="11A5E267" w14:textId="2E9150D0" w:rsidR="00E365E1" w:rsidRPr="009814E9" w:rsidRDefault="00E365E1" w:rsidP="00C67E76"/>
    <w:sectPr w:rsidR="00E365E1" w:rsidRPr="009814E9" w:rsidSect="005D62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F575C" w14:textId="77777777" w:rsidR="00C67E76" w:rsidRPr="005D6276" w:rsidRDefault="00C67E76">
      <w:r w:rsidRPr="005D6276">
        <w:separator/>
      </w:r>
    </w:p>
  </w:endnote>
  <w:endnote w:type="continuationSeparator" w:id="0">
    <w:p w14:paraId="6C38E067" w14:textId="77777777" w:rsidR="00C67E76" w:rsidRPr="005D6276" w:rsidRDefault="00C67E76">
      <w:r w:rsidRPr="005D62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2533F" w14:textId="77777777" w:rsidR="00064002" w:rsidRPr="005D627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31C9F" w14:textId="77777777" w:rsidR="00064002" w:rsidRPr="005D627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1C9DF" w14:textId="77777777" w:rsidR="00064002" w:rsidRPr="005D62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1DD7B" w14:textId="77777777" w:rsidR="00C67E76" w:rsidRPr="005D6276" w:rsidRDefault="00C67E76">
      <w:r w:rsidRPr="005D6276">
        <w:separator/>
      </w:r>
    </w:p>
  </w:footnote>
  <w:footnote w:type="continuationSeparator" w:id="0">
    <w:p w14:paraId="1A8FCFAA" w14:textId="77777777" w:rsidR="00C67E76" w:rsidRPr="005D6276" w:rsidRDefault="00C67E76">
      <w:r w:rsidRPr="005D6276">
        <w:continuationSeparator/>
      </w:r>
    </w:p>
  </w:footnote>
  <w:footnote w:id="1">
    <w:p w14:paraId="5C8F5994" w14:textId="54C8544E" w:rsidR="00883D96" w:rsidRPr="005D6276" w:rsidRDefault="00883D96" w:rsidP="005D6276">
      <w:pPr>
        <w:pStyle w:val="FootnoteText"/>
        <w:ind w:left="567" w:hanging="567"/>
        <w:rPr>
          <w:sz w:val="24"/>
          <w:lang w:val="nl-NL"/>
        </w:rPr>
      </w:pPr>
      <w:r w:rsidRPr="005D6276">
        <w:rPr>
          <w:rStyle w:val="FootnoteReference"/>
          <w:sz w:val="24"/>
          <w:lang w:val="nl-NL"/>
        </w:rPr>
        <w:footnoteRef/>
      </w:r>
      <w:r w:rsidR="005D6276" w:rsidRPr="005D6276">
        <w:rPr>
          <w:sz w:val="24"/>
          <w:lang w:val="nl-NL"/>
        </w:rPr>
        <w:t xml:space="preserve"> </w:t>
      </w:r>
      <w:r w:rsidR="005D6276" w:rsidRPr="005D6276">
        <w:rPr>
          <w:sz w:val="24"/>
          <w:lang w:val="nl-NL"/>
        </w:rPr>
        <w:tab/>
      </w:r>
      <w:r w:rsidRPr="005D6276">
        <w:rPr>
          <w:sz w:val="24"/>
          <w:lang w:val="nl-NL"/>
        </w:rPr>
        <w:t>PB L 268 van 18.10.2003, blz. 1, ELI: </w:t>
      </w:r>
      <w:hyperlink r:id="rId1" w:history="1">
        <w:r w:rsidRPr="005D6276">
          <w:rPr>
            <w:rStyle w:val="Hyperlink"/>
            <w:sz w:val="24"/>
            <w:lang w:val="nl-NL"/>
          </w:rPr>
          <w:t>https://eur-lex.europa.eu/eli/reg/2003/1829/oj</w:t>
        </w:r>
      </w:hyperlink>
      <w:r w:rsidRPr="005D6276">
        <w:rPr>
          <w:rStyle w:val="Hyperlink"/>
          <w:sz w:val="24"/>
          <w:lang w:val="nl-NL"/>
        </w:rPr>
        <w:t>.</w:t>
      </w:r>
    </w:p>
  </w:footnote>
  <w:footnote w:id="2">
    <w:p w14:paraId="026C739D" w14:textId="3A070EAF" w:rsidR="00883D96" w:rsidRPr="005D6276" w:rsidRDefault="00883D96" w:rsidP="005D6276">
      <w:pPr>
        <w:pStyle w:val="FootnoteText"/>
        <w:ind w:left="567" w:hanging="567"/>
        <w:rPr>
          <w:sz w:val="24"/>
          <w:lang w:val="nl-NL"/>
        </w:rPr>
      </w:pPr>
      <w:r w:rsidRPr="005D6276">
        <w:rPr>
          <w:rStyle w:val="FootnoteReference"/>
          <w:sz w:val="24"/>
          <w:lang w:val="nl-NL"/>
        </w:rPr>
        <w:footnoteRef/>
      </w:r>
      <w:r w:rsidR="005D6276" w:rsidRPr="005D6276">
        <w:rPr>
          <w:sz w:val="24"/>
          <w:lang w:val="nl-NL"/>
        </w:rPr>
        <w:t xml:space="preserve"> </w:t>
      </w:r>
      <w:r w:rsidR="005D6276" w:rsidRPr="005D6276">
        <w:rPr>
          <w:sz w:val="24"/>
          <w:lang w:val="nl-NL"/>
        </w:rPr>
        <w:tab/>
      </w:r>
      <w:r w:rsidRPr="005D6276">
        <w:rPr>
          <w:sz w:val="24"/>
          <w:lang w:val="nl-NL"/>
        </w:rPr>
        <w:t>PB L 55 van 28.2.2011, blz. 13, ELI: </w:t>
      </w:r>
      <w:hyperlink r:id="rId2" w:history="1">
        <w:r w:rsidRPr="005D6276">
          <w:rPr>
            <w:rStyle w:val="Hyperlink"/>
            <w:sz w:val="24"/>
            <w:lang w:val="nl-NL"/>
          </w:rPr>
          <w:t>http://data.europa.eu/eli/reg/2011/182/oj</w:t>
        </w:r>
      </w:hyperlink>
      <w:r w:rsidRPr="005D6276">
        <w:rPr>
          <w:sz w:val="24"/>
          <w:lang w:val="nl-NL"/>
        </w:rPr>
        <w:t>.</w:t>
      </w:r>
    </w:p>
  </w:footnote>
  <w:footnote w:id="3">
    <w:p w14:paraId="159BF048" w14:textId="2A229EB7" w:rsidR="00883D96" w:rsidRPr="005D6276" w:rsidRDefault="00883D96" w:rsidP="005D6276">
      <w:pPr>
        <w:pStyle w:val="FootnoteText"/>
        <w:ind w:left="567" w:hanging="567"/>
        <w:rPr>
          <w:sz w:val="24"/>
          <w:lang w:val="nl-NL"/>
        </w:rPr>
      </w:pPr>
      <w:r w:rsidRPr="005D6276">
        <w:rPr>
          <w:sz w:val="24"/>
          <w:vertAlign w:val="superscript"/>
          <w:lang w:val="nl-NL"/>
        </w:rPr>
        <w:footnoteRef/>
      </w:r>
      <w:bookmarkStart w:id="8" w:name="_Hlk167202528"/>
      <w:r w:rsidR="005D6276" w:rsidRPr="005D6276">
        <w:rPr>
          <w:sz w:val="24"/>
          <w:lang w:val="nl-NL"/>
        </w:rPr>
        <w:t xml:space="preserve"> </w:t>
      </w:r>
      <w:r w:rsidR="005D6276" w:rsidRPr="005D6276">
        <w:rPr>
          <w:sz w:val="24"/>
          <w:lang w:val="nl-NL"/>
        </w:rPr>
        <w:tab/>
      </w:r>
      <w:r w:rsidRPr="005D6276">
        <w:rPr>
          <w:sz w:val="24"/>
          <w:lang w:val="nl-NL"/>
        </w:rPr>
        <w:t xml:space="preserve">Wetenschappelijk advies van het EFSA-panel voor genetisch gemodificeerde organismen over de beoordeling van genetisch gemodificeerde katoen GHB614 × LLCotton25 met het oog op de verlenging van de vergunning overeenkomstig Verordening (EG) nr. 1829/2003 (dossier GMFF-2024-21890), </w:t>
      </w:r>
      <w:r w:rsidRPr="005D6276">
        <w:rPr>
          <w:i/>
          <w:sz w:val="24"/>
          <w:lang w:val="nl-NL"/>
        </w:rPr>
        <w:t>EFSA Journal</w:t>
      </w:r>
      <w:r w:rsidRPr="005D6276">
        <w:rPr>
          <w:sz w:val="24"/>
          <w:lang w:val="nl-NL"/>
        </w:rPr>
        <w:t>, 2025, 23(8):e9572,</w:t>
      </w:r>
      <w:bookmarkEnd w:id="8"/>
      <w:r w:rsidRPr="005D6276">
        <w:rPr>
          <w:sz w:val="24"/>
          <w:lang w:val="nl-NL"/>
        </w:rPr>
        <w:t xml:space="preserve"> </w:t>
      </w:r>
      <w:hyperlink r:id="rId3" w:history="1">
        <w:r w:rsidRPr="005D6276">
          <w:rPr>
            <w:rStyle w:val="Hyperlink"/>
            <w:sz w:val="24"/>
            <w:lang w:val="nl-NL"/>
          </w:rPr>
          <w:t>https://doi.org/10.2903/j.efsa.2025.9572</w:t>
        </w:r>
      </w:hyperlink>
      <w:r w:rsidRPr="005D6276">
        <w:rPr>
          <w:sz w:val="24"/>
          <w:lang w:val="nl-NL"/>
        </w:rPr>
        <w:t>.</w:t>
      </w:r>
    </w:p>
  </w:footnote>
  <w:footnote w:id="4">
    <w:p w14:paraId="1A5DAE03" w14:textId="76CAB04A" w:rsidR="00883D96" w:rsidRPr="005D6276" w:rsidRDefault="00883D96" w:rsidP="005D6276">
      <w:pPr>
        <w:pStyle w:val="FootnoteText"/>
        <w:ind w:left="567" w:hanging="567"/>
        <w:rPr>
          <w:color w:val="000000" w:themeColor="text1"/>
          <w:sz w:val="24"/>
          <w:vertAlign w:val="superscript"/>
          <w:lang w:val="nl-NL"/>
        </w:rPr>
      </w:pPr>
      <w:r w:rsidRPr="005D6276">
        <w:rPr>
          <w:rStyle w:val="FootnoteReference"/>
          <w:sz w:val="24"/>
          <w:lang w:val="nl-NL"/>
        </w:rPr>
        <w:footnoteRef/>
      </w:r>
      <w:r w:rsidR="005D6276" w:rsidRPr="005D6276">
        <w:rPr>
          <w:color w:val="000000" w:themeColor="text1"/>
          <w:sz w:val="24"/>
          <w:lang w:val="nl-NL"/>
        </w:rPr>
        <w:t xml:space="preserve"> </w:t>
      </w:r>
      <w:r w:rsidR="005D6276" w:rsidRPr="005D6276">
        <w:rPr>
          <w:color w:val="000000" w:themeColor="text1"/>
          <w:sz w:val="24"/>
          <w:lang w:val="nl-NL"/>
        </w:rPr>
        <w:tab/>
      </w:r>
      <w:r w:rsidRPr="005D6276">
        <w:rPr>
          <w:color w:val="000000" w:themeColor="text1"/>
          <w:sz w:val="24"/>
          <w:lang w:val="nl-NL"/>
        </w:rPr>
        <w:t>Het Parlement heeft in de achtste zittingsperiode 36 resoluties aangenomen, en in de negende zittingsperiode 38 resoluties, waarin bezwaar wordt gemaakt tegen het verlenen van vergunningen voor ggo’s. Voorts heeft het Parlement in de tiende zittingsperiode de volgende resoluties aangenomen:</w:t>
      </w:r>
    </w:p>
    <w:p w14:paraId="16E967E2" w14:textId="3D158259" w:rsidR="00883D96" w:rsidRPr="005D6276" w:rsidRDefault="005D6276" w:rsidP="005D6276">
      <w:pPr>
        <w:pStyle w:val="FootnoteText"/>
        <w:ind w:left="567" w:hanging="567"/>
        <w:rPr>
          <w:color w:val="000000" w:themeColor="text1"/>
          <w:sz w:val="24"/>
          <w:vertAlign w:val="superscript"/>
          <w:lang w:val="nl-NL"/>
        </w:rPr>
      </w:pPr>
      <w:r w:rsidRPr="005D6276">
        <w:rPr>
          <w:color w:val="000000" w:themeColor="text1"/>
          <w:sz w:val="24"/>
          <w:lang w:val="nl-NL"/>
        </w:rPr>
        <w:t xml:space="preserve"> </w:t>
      </w:r>
      <w:r w:rsidRPr="005D6276">
        <w:rPr>
          <w:color w:val="000000" w:themeColor="text1"/>
          <w:sz w:val="24"/>
          <w:lang w:val="nl-NL"/>
        </w:rPr>
        <w:tab/>
      </w:r>
      <w:r w:rsidR="00883D96" w:rsidRPr="005D6276">
        <w:rPr>
          <w:color w:val="000000" w:themeColor="text1"/>
          <w:sz w:val="24"/>
          <w:lang w:val="nl-NL"/>
        </w:rPr>
        <w:t>–</w:t>
      </w:r>
      <w:r w:rsidR="00883D96" w:rsidRPr="005D6276">
        <w:rPr>
          <w:color w:val="000000" w:themeColor="text1"/>
          <w:sz w:val="24"/>
          <w:lang w:val="nl-NL"/>
        </w:rPr>
        <w:tab/>
        <w:t>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maïs MON 89034 × 1507 × NK603 overeenkomstig Verordening (EG) nr. 1829/2003 van het Europees Parlement en de Raad (PB C, C/2025/1797, 4.4.2025, ELI: </w:t>
      </w:r>
      <w:hyperlink r:id="rId4" w:history="1">
        <w:r w:rsidR="00883D96" w:rsidRPr="005D6276">
          <w:rPr>
            <w:rStyle w:val="Hyperlink"/>
            <w:sz w:val="24"/>
            <w:lang w:val="nl-NL"/>
          </w:rPr>
          <w:t>http://data.europa.eu/eli/C/2025/1797/oj</w:t>
        </w:r>
      </w:hyperlink>
      <w:r w:rsidR="00883D96" w:rsidRPr="005D6276">
        <w:rPr>
          <w:color w:val="000000" w:themeColor="text1"/>
          <w:sz w:val="24"/>
          <w:lang w:val="nl-NL"/>
        </w:rPr>
        <w:t>).</w:t>
      </w:r>
    </w:p>
    <w:p w14:paraId="134304D3" w14:textId="285AF0C6" w:rsidR="00883D96" w:rsidRPr="005D6276" w:rsidRDefault="005D6276" w:rsidP="005D6276">
      <w:pPr>
        <w:pStyle w:val="FootnoteText"/>
        <w:keepNext/>
        <w:ind w:left="567" w:hanging="567"/>
        <w:rPr>
          <w:color w:val="000000" w:themeColor="text1"/>
          <w:sz w:val="24"/>
          <w:vertAlign w:val="superscript"/>
          <w:lang w:val="nl-NL"/>
        </w:rPr>
      </w:pPr>
      <w:r w:rsidRPr="005D6276">
        <w:rPr>
          <w:color w:val="000000" w:themeColor="text1"/>
          <w:sz w:val="24"/>
          <w:lang w:val="nl-NL"/>
        </w:rPr>
        <w:t xml:space="preserve"> </w:t>
      </w:r>
      <w:r w:rsidRPr="005D6276">
        <w:rPr>
          <w:color w:val="000000" w:themeColor="text1"/>
          <w:sz w:val="24"/>
          <w:lang w:val="nl-NL"/>
        </w:rPr>
        <w:tab/>
      </w:r>
      <w:r w:rsidR="00883D96" w:rsidRPr="005D6276">
        <w:rPr>
          <w:color w:val="000000" w:themeColor="text1"/>
          <w:sz w:val="24"/>
          <w:lang w:val="nl-NL"/>
        </w:rPr>
        <w:t>–</w:t>
      </w:r>
      <w:r w:rsidR="00883D96" w:rsidRPr="005D6276">
        <w:rPr>
          <w:color w:val="000000" w:themeColor="text1"/>
          <w:sz w:val="24"/>
          <w:lang w:val="nl-NL"/>
        </w:rPr>
        <w:tab/>
        <w:t>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 4.4.2025, ELI: </w:t>
      </w:r>
      <w:hyperlink r:id="rId5" w:history="1">
        <w:r w:rsidR="00883D96" w:rsidRPr="005D6276">
          <w:rPr>
            <w:rStyle w:val="Hyperlink"/>
            <w:sz w:val="24"/>
            <w:lang w:val="nl-NL"/>
          </w:rPr>
          <w:t>http://data.europa.eu/eli/C/2025/1798/oj</w:t>
        </w:r>
      </w:hyperlink>
      <w:r w:rsidR="00883D96" w:rsidRPr="005D6276">
        <w:rPr>
          <w:color w:val="000000" w:themeColor="text1"/>
          <w:sz w:val="24"/>
          <w:lang w:val="nl-NL"/>
        </w:rPr>
        <w:t>).</w:t>
      </w:r>
    </w:p>
    <w:p w14:paraId="0D1CBD37" w14:textId="2AE8A423" w:rsidR="00883D96" w:rsidRPr="005D6276" w:rsidRDefault="005D6276" w:rsidP="005D6276">
      <w:pPr>
        <w:pStyle w:val="FootnoteText"/>
        <w:ind w:left="567" w:hanging="567"/>
        <w:rPr>
          <w:color w:val="000000" w:themeColor="text1"/>
          <w:sz w:val="24"/>
          <w:vertAlign w:val="superscript"/>
          <w:lang w:val="nl-NL"/>
        </w:rPr>
      </w:pPr>
      <w:r w:rsidRPr="005D6276">
        <w:rPr>
          <w:color w:val="000000" w:themeColor="text1"/>
          <w:sz w:val="24"/>
          <w:lang w:val="nl-NL"/>
        </w:rPr>
        <w:t xml:space="preserve"> </w:t>
      </w:r>
      <w:r w:rsidRPr="005D6276">
        <w:rPr>
          <w:color w:val="000000" w:themeColor="text1"/>
          <w:sz w:val="24"/>
          <w:lang w:val="nl-NL"/>
        </w:rPr>
        <w:tab/>
      </w:r>
      <w:r w:rsidR="00883D96" w:rsidRPr="005D6276">
        <w:rPr>
          <w:color w:val="000000" w:themeColor="text1"/>
          <w:sz w:val="24"/>
          <w:lang w:val="nl-NL"/>
        </w:rPr>
        <w:t>–</w:t>
      </w:r>
      <w:r w:rsidR="00883D96" w:rsidRPr="005D6276">
        <w:rPr>
          <w:color w:val="000000" w:themeColor="text1"/>
          <w:sz w:val="24"/>
          <w:lang w:val="nl-NL"/>
        </w:rPr>
        <w:tab/>
        <w:t>Resolutie van het Europees Parlement van 26 november 2024 over Uitvoeringsbesluit (EU) 2024/2629 van de Commissie tot verlenging van de vergunning voor het in de handel brengen van producten die geheel of gedeeltelijk bestaan uit of zijn geproduceerd met genetisch gemodificeerd maïs MON 89034 × 1507 × MON 88017 × 59122 en acht subcombinaties daarvan overeenkomstig Verordening (EG) nr. 1829/2003 van het Europees Parlement en de Raad (PB C, C/2025/1799, 4.4.2025, ELI: </w:t>
      </w:r>
      <w:hyperlink r:id="rId6" w:history="1">
        <w:r w:rsidR="00883D96" w:rsidRPr="005D6276">
          <w:rPr>
            <w:rStyle w:val="Hyperlink"/>
            <w:sz w:val="24"/>
            <w:lang w:val="nl-NL"/>
          </w:rPr>
          <w:t>http://data.europa.eu/eli/C/2025/1799/oj</w:t>
        </w:r>
      </w:hyperlink>
      <w:r w:rsidR="00883D96" w:rsidRPr="005D6276">
        <w:rPr>
          <w:color w:val="000000" w:themeColor="text1"/>
          <w:sz w:val="24"/>
          <w:lang w:val="nl-NL"/>
        </w:rPr>
        <w:t>).</w:t>
      </w:r>
    </w:p>
    <w:p w14:paraId="2293A10D" w14:textId="6D43DDCA" w:rsidR="00883D96" w:rsidRPr="005D6276" w:rsidRDefault="005D6276" w:rsidP="005D6276">
      <w:pPr>
        <w:pStyle w:val="FootnoteText"/>
        <w:ind w:left="567" w:hanging="567"/>
        <w:rPr>
          <w:color w:val="000000" w:themeColor="text1"/>
          <w:sz w:val="24"/>
          <w:vertAlign w:val="superscript"/>
          <w:lang w:val="nl-NL"/>
        </w:rPr>
      </w:pPr>
      <w:r w:rsidRPr="005D6276">
        <w:rPr>
          <w:color w:val="000000" w:themeColor="text1"/>
          <w:sz w:val="24"/>
          <w:lang w:val="nl-NL"/>
        </w:rPr>
        <w:t xml:space="preserve"> </w:t>
      </w:r>
      <w:r w:rsidRPr="005D6276">
        <w:rPr>
          <w:color w:val="000000" w:themeColor="text1"/>
          <w:sz w:val="24"/>
          <w:lang w:val="nl-NL"/>
        </w:rPr>
        <w:tab/>
      </w:r>
      <w:r w:rsidR="00883D96" w:rsidRPr="005D6276">
        <w:rPr>
          <w:color w:val="000000" w:themeColor="text1"/>
          <w:sz w:val="24"/>
          <w:lang w:val="nl-NL"/>
        </w:rPr>
        <w:t>–</w:t>
      </w:r>
      <w:r w:rsidR="00883D96" w:rsidRPr="005D6276">
        <w:rPr>
          <w:color w:val="000000" w:themeColor="text1"/>
          <w:sz w:val="24"/>
          <w:lang w:val="nl-NL"/>
        </w:rPr>
        <w:tab/>
        <w:t>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mais MON 810 overeenkomstig Verordening (EG) nr. 1829/2003 van het Europees Parlement en de Raad en tot intrekking van Uitvoeringsbesluit (EU) 2017/1207 van de Commissie (PB C, C/2025/1800, 4.4.2025, ELI: </w:t>
      </w:r>
      <w:hyperlink r:id="rId7" w:history="1">
        <w:r w:rsidR="00883D96" w:rsidRPr="005D6276">
          <w:rPr>
            <w:rStyle w:val="Hyperlink"/>
            <w:sz w:val="24"/>
            <w:lang w:val="nl-NL"/>
          </w:rPr>
          <w:t>http://data.europa.eu/eli/C/2025/1800/oj</w:t>
        </w:r>
      </w:hyperlink>
      <w:r w:rsidR="00883D96" w:rsidRPr="005D6276">
        <w:rPr>
          <w:color w:val="000000" w:themeColor="text1"/>
          <w:sz w:val="24"/>
          <w:lang w:val="nl-NL"/>
        </w:rPr>
        <w:t>).</w:t>
      </w:r>
    </w:p>
    <w:p w14:paraId="149640CC" w14:textId="2DFDDD11" w:rsidR="00883D96" w:rsidRPr="005D6276" w:rsidRDefault="005D6276" w:rsidP="005D6276">
      <w:pPr>
        <w:pStyle w:val="FootnoteText"/>
        <w:ind w:left="567" w:hanging="567"/>
        <w:rPr>
          <w:color w:val="000000" w:themeColor="text1"/>
          <w:sz w:val="24"/>
          <w:vertAlign w:val="superscript"/>
          <w:lang w:val="nl-NL"/>
        </w:rPr>
      </w:pPr>
      <w:r w:rsidRPr="005D6276">
        <w:rPr>
          <w:color w:val="000000" w:themeColor="text1"/>
          <w:sz w:val="24"/>
          <w:lang w:val="nl-NL"/>
        </w:rPr>
        <w:t xml:space="preserve"> </w:t>
      </w:r>
      <w:r w:rsidRPr="005D6276">
        <w:rPr>
          <w:color w:val="000000" w:themeColor="text1"/>
          <w:sz w:val="24"/>
          <w:lang w:val="nl-NL"/>
        </w:rPr>
        <w:tab/>
      </w:r>
      <w:r w:rsidR="00883D96" w:rsidRPr="005D6276">
        <w:rPr>
          <w:color w:val="000000" w:themeColor="text1"/>
          <w:sz w:val="24"/>
          <w:lang w:val="nl-NL"/>
        </w:rPr>
        <w:t>–</w:t>
      </w:r>
      <w:r w:rsidR="00883D96" w:rsidRPr="005D6276">
        <w:rPr>
          <w:color w:val="000000" w:themeColor="text1"/>
          <w:sz w:val="24"/>
          <w:lang w:val="nl-NL"/>
        </w:rPr>
        <w:tab/>
        <w:t>Resolutie van het Europees Parlement van 26 november 2024 over Uitvoeringsbesluit (EU) 2024/1822 van de Commissie betreffende de verlening van een vergunning voor het in de handel brengen van producten die geheel of gedeeltelijk bestaan uit of zijn geproduceerd met de genetisch gemodificeerde mais DP915635 overeenkomstig Verordening (EG) nr. 1829/2003 van het Europees Parlement en de Raad (PB C, C/2025/1801, 4.4.2025, ELI: </w:t>
      </w:r>
      <w:hyperlink r:id="rId8" w:history="1">
        <w:r w:rsidR="00883D96" w:rsidRPr="005D6276">
          <w:rPr>
            <w:rStyle w:val="Hyperlink"/>
            <w:sz w:val="24"/>
            <w:lang w:val="nl-NL"/>
          </w:rPr>
          <w:t>http://data.europa.eu/eli/C/2025/1801/oj</w:t>
        </w:r>
      </w:hyperlink>
      <w:r w:rsidR="00883D96" w:rsidRPr="005D6276">
        <w:rPr>
          <w:color w:val="000000" w:themeColor="text1"/>
          <w:sz w:val="24"/>
          <w:lang w:val="nl-NL"/>
        </w:rPr>
        <w:t>).</w:t>
      </w:r>
    </w:p>
    <w:p w14:paraId="63409A1D" w14:textId="238A2689" w:rsidR="00883D96" w:rsidRPr="005D6276" w:rsidRDefault="005D6276" w:rsidP="005D6276">
      <w:pPr>
        <w:pStyle w:val="FootnoteText"/>
        <w:ind w:left="567" w:hanging="567"/>
        <w:rPr>
          <w:color w:val="000000" w:themeColor="text1"/>
          <w:sz w:val="24"/>
          <w:vertAlign w:val="superscript"/>
          <w:lang w:val="nl-NL"/>
        </w:rPr>
      </w:pPr>
      <w:r w:rsidRPr="005D6276">
        <w:rPr>
          <w:color w:val="000000" w:themeColor="text1"/>
          <w:sz w:val="24"/>
          <w:lang w:val="nl-NL"/>
        </w:rPr>
        <w:t xml:space="preserve"> </w:t>
      </w:r>
      <w:r w:rsidRPr="005D6276">
        <w:rPr>
          <w:color w:val="000000" w:themeColor="text1"/>
          <w:sz w:val="24"/>
          <w:lang w:val="nl-NL"/>
        </w:rPr>
        <w:tab/>
      </w:r>
      <w:r w:rsidR="00883D96" w:rsidRPr="005D6276">
        <w:rPr>
          <w:color w:val="000000" w:themeColor="text1"/>
          <w:sz w:val="24"/>
          <w:lang w:val="nl-NL"/>
        </w:rPr>
        <w:t>–</w:t>
      </w:r>
      <w:r w:rsidR="00883D96" w:rsidRPr="005D6276">
        <w:rPr>
          <w:color w:val="000000" w:themeColor="text1"/>
          <w:sz w:val="24"/>
          <w:lang w:val="nl-NL"/>
        </w:rPr>
        <w:tab/>
        <w:t>Resolutie van het Europees Parlement van 26 november 2024 over Uitvoeringsbesluit (EU) 2024/1826 van de Commissie tot verlening van een vergunning voor het in de handel brengen van producten die geheel of gedeeltelijk bestaan uit of zijn geproduceerd met de genetisch gemodificeerde maïs DP23211 overeenkomstig Verordening (EG) nr. 1829/2003 van het Europees Parlement en de Raad (PB C, C/2025/1802, 4.4.2025, ELI: </w:t>
      </w:r>
      <w:hyperlink r:id="rId9" w:history="1">
        <w:r w:rsidR="00883D96" w:rsidRPr="005D6276">
          <w:rPr>
            <w:rStyle w:val="Hyperlink"/>
            <w:sz w:val="24"/>
            <w:lang w:val="nl-NL"/>
          </w:rPr>
          <w:t>http://data.europa.eu/eli/C/2025/1802/oj</w:t>
        </w:r>
      </w:hyperlink>
      <w:r w:rsidR="00883D96" w:rsidRPr="005D6276">
        <w:rPr>
          <w:color w:val="000000" w:themeColor="text1"/>
          <w:sz w:val="24"/>
          <w:lang w:val="nl-NL"/>
        </w:rPr>
        <w:t>).</w:t>
      </w:r>
    </w:p>
    <w:p w14:paraId="406539BB" w14:textId="2448495F" w:rsidR="00883D96" w:rsidRPr="005D6276" w:rsidRDefault="005D6276" w:rsidP="005D6276">
      <w:pPr>
        <w:pStyle w:val="FootnoteText"/>
        <w:ind w:left="567" w:hanging="567"/>
        <w:rPr>
          <w:color w:val="000000" w:themeColor="text1"/>
          <w:sz w:val="24"/>
          <w:vertAlign w:val="superscript"/>
          <w:lang w:val="nl-NL"/>
        </w:rPr>
      </w:pPr>
      <w:r w:rsidRPr="005D6276">
        <w:rPr>
          <w:color w:val="000000" w:themeColor="text1"/>
          <w:sz w:val="24"/>
          <w:lang w:val="nl-NL"/>
        </w:rPr>
        <w:t xml:space="preserve"> </w:t>
      </w:r>
      <w:r w:rsidRPr="005D6276">
        <w:rPr>
          <w:color w:val="000000" w:themeColor="text1"/>
          <w:sz w:val="24"/>
          <w:lang w:val="nl-NL"/>
        </w:rPr>
        <w:tab/>
      </w:r>
      <w:r w:rsidR="00883D96" w:rsidRPr="005D6276">
        <w:rPr>
          <w:color w:val="000000" w:themeColor="text1"/>
          <w:sz w:val="24"/>
          <w:lang w:val="nl-NL"/>
        </w:rPr>
        <w:t>–</w:t>
      </w:r>
      <w:r w:rsidR="00883D96" w:rsidRPr="005D6276">
        <w:rPr>
          <w:color w:val="000000" w:themeColor="text1"/>
          <w:sz w:val="24"/>
          <w:lang w:val="nl-NL"/>
        </w:rPr>
        <w:tab/>
        <w:t>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 (PB C, C/2025/1803, 4.4.2025, ELI: </w:t>
      </w:r>
      <w:hyperlink r:id="rId10" w:history="1">
        <w:r w:rsidR="00883D96" w:rsidRPr="005D6276">
          <w:rPr>
            <w:rStyle w:val="Hyperlink"/>
            <w:sz w:val="24"/>
            <w:lang w:val="nl-NL"/>
          </w:rPr>
          <w:t>http://data.europa.eu/eli/C/2025/1803/oj</w:t>
        </w:r>
      </w:hyperlink>
      <w:r w:rsidR="00883D96" w:rsidRPr="005D6276">
        <w:rPr>
          <w:color w:val="000000" w:themeColor="text1"/>
          <w:sz w:val="24"/>
          <w:lang w:val="nl-NL"/>
        </w:rPr>
        <w:t>).</w:t>
      </w:r>
    </w:p>
    <w:p w14:paraId="066483B1" w14:textId="47F03EFE" w:rsidR="00883D96" w:rsidRPr="005D6276" w:rsidRDefault="005D6276" w:rsidP="005D6276">
      <w:pPr>
        <w:pStyle w:val="FootnoteText"/>
        <w:ind w:left="567" w:hanging="567"/>
        <w:rPr>
          <w:color w:val="000000" w:themeColor="text1"/>
          <w:sz w:val="24"/>
          <w:vertAlign w:val="superscript"/>
          <w:lang w:val="nl-NL"/>
        </w:rPr>
      </w:pPr>
      <w:r w:rsidRPr="005D6276">
        <w:rPr>
          <w:color w:val="000000" w:themeColor="text1"/>
          <w:sz w:val="24"/>
          <w:lang w:val="nl-NL"/>
        </w:rPr>
        <w:t xml:space="preserve"> </w:t>
      </w:r>
      <w:r w:rsidRPr="005D6276">
        <w:rPr>
          <w:color w:val="000000" w:themeColor="text1"/>
          <w:sz w:val="24"/>
          <w:lang w:val="nl-NL"/>
        </w:rPr>
        <w:tab/>
      </w:r>
      <w:r w:rsidR="00883D96" w:rsidRPr="005D6276">
        <w:rPr>
          <w:color w:val="000000" w:themeColor="text1"/>
          <w:sz w:val="24"/>
          <w:lang w:val="nl-NL"/>
        </w:rPr>
        <w:t>–</w:t>
      </w:r>
      <w:r w:rsidR="00883D96" w:rsidRPr="005D6276">
        <w:rPr>
          <w:color w:val="000000" w:themeColor="text1"/>
          <w:sz w:val="24"/>
          <w:lang w:val="nl-NL"/>
        </w:rPr>
        <w:tab/>
        <w:t>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(PB C, C/2025/1804, 4.4.2025, ELI: </w:t>
      </w:r>
      <w:hyperlink r:id="rId11" w:history="1">
        <w:r w:rsidR="00883D96" w:rsidRPr="005D6276">
          <w:rPr>
            <w:rStyle w:val="Hyperlink"/>
            <w:sz w:val="24"/>
            <w:lang w:val="nl-NL"/>
          </w:rPr>
          <w:t>http://data.europa.eu/eli/C/2025/1804/oj</w:t>
        </w:r>
      </w:hyperlink>
      <w:r w:rsidR="00883D96" w:rsidRPr="005D6276">
        <w:rPr>
          <w:color w:val="000000" w:themeColor="text1"/>
          <w:sz w:val="24"/>
          <w:lang w:val="nl-NL"/>
        </w:rPr>
        <w:t>).</w:t>
      </w:r>
    </w:p>
    <w:p w14:paraId="591CDF16" w14:textId="263A1FA4" w:rsidR="00883D96" w:rsidRPr="005D6276" w:rsidRDefault="005D6276" w:rsidP="005D6276">
      <w:pPr>
        <w:pStyle w:val="FootnoteText"/>
        <w:ind w:left="567" w:hanging="567"/>
        <w:rPr>
          <w:sz w:val="24"/>
          <w:vertAlign w:val="superscript"/>
          <w:lang w:val="nl-NL"/>
        </w:rPr>
      </w:pPr>
      <w:r w:rsidRPr="005D6276">
        <w:rPr>
          <w:color w:val="000000" w:themeColor="text1"/>
          <w:sz w:val="24"/>
          <w:lang w:val="nl-NL"/>
        </w:rPr>
        <w:t xml:space="preserve"> </w:t>
      </w:r>
      <w:r w:rsidRPr="005D6276">
        <w:rPr>
          <w:color w:val="000000" w:themeColor="text1"/>
          <w:sz w:val="24"/>
          <w:lang w:val="nl-NL"/>
        </w:rPr>
        <w:tab/>
      </w:r>
      <w:r w:rsidR="00883D96" w:rsidRPr="005D6276">
        <w:rPr>
          <w:color w:val="000000" w:themeColor="text1"/>
          <w:sz w:val="24"/>
          <w:lang w:val="nl-NL"/>
        </w:rPr>
        <w:t>–</w:t>
      </w:r>
      <w:r w:rsidR="00883D96" w:rsidRPr="005D6276">
        <w:rPr>
          <w:color w:val="000000" w:themeColor="text1"/>
          <w:sz w:val="24"/>
          <w:lang w:val="nl-NL"/>
        </w:rPr>
        <w:tab/>
      </w:r>
      <w:r w:rsidR="00883D96" w:rsidRPr="005D6276">
        <w:rPr>
          <w:sz w:val="24"/>
          <w:lang w:val="nl-NL"/>
        </w:rPr>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 (PB C, C/2025/2246, 29.4.2025, ELI: </w:t>
      </w:r>
      <w:hyperlink r:id="rId12" w:tooltip="Biedt toegang tot dit document via de ELI-URI." w:history="1">
        <w:r w:rsidR="00883D96" w:rsidRPr="005D6276">
          <w:rPr>
            <w:rStyle w:val="Hyperlink"/>
            <w:sz w:val="24"/>
            <w:lang w:val="nl-NL"/>
          </w:rPr>
          <w:t>http://data.europa.eu/eli/C/2025/2246/oj</w:t>
        </w:r>
      </w:hyperlink>
      <w:r w:rsidR="00883D96" w:rsidRPr="005D6276">
        <w:rPr>
          <w:sz w:val="24"/>
          <w:lang w:val="nl-NL"/>
        </w:rPr>
        <w:t>).</w:t>
      </w:r>
    </w:p>
    <w:p w14:paraId="43A73B43" w14:textId="1088EBA7" w:rsidR="00883D96" w:rsidRPr="005D6276" w:rsidRDefault="005D6276" w:rsidP="005D6276">
      <w:pPr>
        <w:pStyle w:val="FootnoteText"/>
        <w:ind w:left="567" w:hanging="567"/>
        <w:rPr>
          <w:sz w:val="24"/>
          <w:vertAlign w:val="superscript"/>
          <w:lang w:val="nl-NL"/>
        </w:rPr>
      </w:pPr>
      <w:r w:rsidRPr="005D6276">
        <w:rPr>
          <w:sz w:val="24"/>
          <w:lang w:val="nl-NL"/>
        </w:rPr>
        <w:t xml:space="preserve"> </w:t>
      </w:r>
      <w:r w:rsidRPr="005D6276">
        <w:rPr>
          <w:sz w:val="24"/>
          <w:lang w:val="nl-NL"/>
        </w:rPr>
        <w:tab/>
      </w:r>
      <w:r w:rsidR="00883D96" w:rsidRPr="005D6276">
        <w:rPr>
          <w:sz w:val="24"/>
          <w:lang w:val="nl-NL"/>
        </w:rPr>
        <w:t>–</w:t>
      </w:r>
      <w:r w:rsidR="00883D96" w:rsidRPr="005D6276">
        <w:rPr>
          <w:sz w:val="24"/>
          <w:lang w:val="nl-NL"/>
        </w:rPr>
        <w:tab/>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MON 95275 overeenkomstig Verordening (EG) nr. 1829/2003 van het Europees Parlement en de Raad (PB C, C/2025/2247, 29.4.2025, ELI: </w:t>
      </w:r>
      <w:hyperlink r:id="rId13" w:history="1">
        <w:r w:rsidR="00883D96" w:rsidRPr="005D6276">
          <w:rPr>
            <w:rStyle w:val="Hyperlink"/>
            <w:sz w:val="24"/>
            <w:lang w:val="nl-NL"/>
          </w:rPr>
          <w:t>http://data.europa.eu/eli/C/2025/2247/oj</w:t>
        </w:r>
      </w:hyperlink>
      <w:r w:rsidR="00883D96" w:rsidRPr="005D6276">
        <w:rPr>
          <w:sz w:val="24"/>
          <w:lang w:val="nl-NL"/>
        </w:rPr>
        <w:t>).</w:t>
      </w:r>
    </w:p>
    <w:p w14:paraId="0199653E" w14:textId="38385DEE" w:rsidR="00883D96" w:rsidRPr="005D6276" w:rsidRDefault="005D6276" w:rsidP="005D6276">
      <w:pPr>
        <w:pStyle w:val="FootnoteText"/>
        <w:ind w:left="567" w:hanging="567"/>
        <w:rPr>
          <w:sz w:val="24"/>
          <w:vertAlign w:val="superscript"/>
          <w:lang w:val="nl-NL"/>
        </w:rPr>
      </w:pPr>
      <w:r w:rsidRPr="005D6276">
        <w:rPr>
          <w:sz w:val="24"/>
          <w:lang w:val="nl-NL"/>
        </w:rPr>
        <w:t xml:space="preserve"> </w:t>
      </w:r>
      <w:r w:rsidRPr="005D6276">
        <w:rPr>
          <w:sz w:val="24"/>
          <w:lang w:val="nl-NL"/>
        </w:rPr>
        <w:tab/>
      </w:r>
      <w:r w:rsidR="00883D96" w:rsidRPr="005D6276">
        <w:rPr>
          <w:sz w:val="24"/>
          <w:lang w:val="nl-NL"/>
        </w:rPr>
        <w:t>–</w:t>
      </w:r>
      <w:r w:rsidR="00883D96" w:rsidRPr="005D6276">
        <w:rPr>
          <w:sz w:val="24"/>
          <w:lang w:val="nl-NL"/>
        </w:rPr>
        <w:tab/>
        <w:t>Resolutie van het Europees Parlement van 8 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 (</w:t>
      </w:r>
      <w:r w:rsidR="00385DF1">
        <w:rPr>
          <w:sz w:val="24"/>
          <w:lang w:val="nl-NL"/>
        </w:rPr>
        <w:t xml:space="preserve">Aangenomen teksten, </w:t>
      </w:r>
      <w:r w:rsidR="00883D96" w:rsidRPr="005D6276">
        <w:rPr>
          <w:sz w:val="24"/>
          <w:lang w:val="nl-NL"/>
        </w:rPr>
        <w:t>P10_TA(2025)0106).</w:t>
      </w:r>
    </w:p>
    <w:p w14:paraId="74CD9E36" w14:textId="4AE51AFE" w:rsidR="00883D96" w:rsidRPr="005D6276" w:rsidRDefault="005D6276" w:rsidP="005D6276">
      <w:pPr>
        <w:pStyle w:val="FootnoteText"/>
        <w:ind w:left="567" w:hanging="567"/>
        <w:rPr>
          <w:sz w:val="24"/>
          <w:vertAlign w:val="superscript"/>
          <w:lang w:val="nl-NL"/>
        </w:rPr>
      </w:pPr>
      <w:r w:rsidRPr="005D6276">
        <w:rPr>
          <w:sz w:val="24"/>
          <w:lang w:val="nl-NL"/>
        </w:rPr>
        <w:t xml:space="preserve"> </w:t>
      </w:r>
      <w:r w:rsidRPr="005D6276">
        <w:rPr>
          <w:sz w:val="24"/>
          <w:lang w:val="nl-NL"/>
        </w:rPr>
        <w:tab/>
      </w:r>
      <w:r w:rsidR="00883D96" w:rsidRPr="005D6276">
        <w:rPr>
          <w:sz w:val="24"/>
          <w:lang w:val="nl-NL"/>
        </w:rPr>
        <w:t>–</w:t>
      </w:r>
      <w:r w:rsidR="00883D96" w:rsidRPr="005D6276">
        <w:rPr>
          <w:sz w:val="24"/>
          <w:lang w:val="nl-NL"/>
        </w:rPr>
        <w:tab/>
        <w:t>Resolutie van het Europees Parlement van 8 oktober 2025 over Uitvoeringsbesluit (EU) 2025/1898 van 22 september 2025 van de Commissie tot verlening van een vergunning voor het in de handel brengen van producten die geheel of gedeeltelijk bestaan uit of zijn geproduceerd met de genetisch gemodificeerde maïs DP51291 overeenkomstig Verordening (EG) nr. 1829/2003 van het Europees Parlement en de Raad (</w:t>
      </w:r>
      <w:r w:rsidR="00385DF1">
        <w:rPr>
          <w:sz w:val="24"/>
          <w:lang w:val="nl-NL"/>
        </w:rPr>
        <w:t xml:space="preserve">Aangenomen teksten, </w:t>
      </w:r>
      <w:r w:rsidR="00883D96" w:rsidRPr="005D6276">
        <w:rPr>
          <w:sz w:val="24"/>
          <w:lang w:val="nl-NL"/>
        </w:rPr>
        <w:t>P10_TA(2025)0222).</w:t>
      </w:r>
    </w:p>
    <w:p w14:paraId="0F3B81A5" w14:textId="089E948A" w:rsidR="00883D96" w:rsidRPr="005D6276" w:rsidRDefault="005D6276" w:rsidP="005D6276">
      <w:pPr>
        <w:pStyle w:val="FootnoteText"/>
        <w:ind w:left="567" w:hanging="567"/>
        <w:rPr>
          <w:sz w:val="24"/>
          <w:vertAlign w:val="superscript"/>
          <w:lang w:val="nl-NL"/>
        </w:rPr>
      </w:pPr>
      <w:r w:rsidRPr="005D6276">
        <w:rPr>
          <w:sz w:val="24"/>
          <w:lang w:val="nl-NL"/>
        </w:rPr>
        <w:t xml:space="preserve"> </w:t>
      </w:r>
      <w:r w:rsidRPr="005D6276">
        <w:rPr>
          <w:sz w:val="24"/>
          <w:lang w:val="nl-NL"/>
        </w:rPr>
        <w:tab/>
      </w:r>
      <w:r w:rsidR="00883D96" w:rsidRPr="005D6276">
        <w:rPr>
          <w:sz w:val="24"/>
          <w:lang w:val="nl-NL"/>
        </w:rPr>
        <w:t>–</w:t>
      </w:r>
      <w:r w:rsidR="00883D96" w:rsidRPr="005D6276">
        <w:rPr>
          <w:sz w:val="24"/>
          <w:lang w:val="nl-NL"/>
        </w:rPr>
        <w:tab/>
        <w:t>Resolutie van het Europees Parlement van 25 november 2025 over het ontwerp van uitvoeringsbesluit van de Commissie tot verlening van een vergunning voor het in de handel brengen van producten die geheel of gedeeltelijk bestaan uit of zijn geproduceerd met de genetisch gemodificeerde mais DAS1131 overeenkomstig Verordening (EG) nr. 1829/2003 van het Europees Parlement en de Raad (</w:t>
      </w:r>
      <w:r w:rsidR="00385DF1" w:rsidRPr="00385DF1">
        <w:rPr>
          <w:sz w:val="24"/>
          <w:lang w:val="nl-NL"/>
        </w:rPr>
        <w:t xml:space="preserve">Aangenomen teksten, </w:t>
      </w:r>
      <w:r w:rsidR="00883D96" w:rsidRPr="005D6276">
        <w:rPr>
          <w:sz w:val="24"/>
          <w:lang w:val="nl-NL"/>
        </w:rPr>
        <w:t>P10_TA(2025)0288).</w:t>
      </w:r>
    </w:p>
    <w:p w14:paraId="78E957E7" w14:textId="46B51090" w:rsidR="00883D96" w:rsidRPr="005D6276" w:rsidRDefault="005D6276" w:rsidP="005D6276">
      <w:pPr>
        <w:pStyle w:val="FootnoteText"/>
        <w:keepNext/>
        <w:ind w:left="567" w:hanging="567"/>
        <w:rPr>
          <w:sz w:val="24"/>
          <w:vertAlign w:val="superscript"/>
          <w:lang w:val="nl-NL"/>
        </w:rPr>
      </w:pPr>
      <w:r w:rsidRPr="005D6276">
        <w:rPr>
          <w:sz w:val="24"/>
          <w:lang w:val="nl-NL"/>
        </w:rPr>
        <w:t xml:space="preserve"> </w:t>
      </w:r>
      <w:r w:rsidRPr="005D6276">
        <w:rPr>
          <w:sz w:val="24"/>
          <w:lang w:val="nl-NL"/>
        </w:rPr>
        <w:tab/>
      </w:r>
      <w:r w:rsidR="00883D96" w:rsidRPr="005D6276">
        <w:rPr>
          <w:sz w:val="24"/>
          <w:lang w:val="nl-NL"/>
        </w:rPr>
        <w:t>–</w:t>
      </w:r>
      <w:r w:rsidR="00883D96" w:rsidRPr="005D6276">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genetisch gemodificeerd katoen MON 88913 (MON-88913-8) overeenkomstig Verordening (EG) nr. 1829/2003 van het Europees Parlement en de Raad (</w:t>
      </w:r>
      <w:r w:rsidR="00385DF1">
        <w:rPr>
          <w:sz w:val="24"/>
          <w:lang w:val="nl-NL"/>
        </w:rPr>
        <w:t xml:space="preserve">Aangenomen teksten, </w:t>
      </w:r>
      <w:r w:rsidR="00883D96" w:rsidRPr="005D6276">
        <w:rPr>
          <w:sz w:val="24"/>
          <w:lang w:val="nl-NL"/>
        </w:rPr>
        <w:t>P10_TA(2025)0289).</w:t>
      </w:r>
    </w:p>
    <w:p w14:paraId="2ADE2544" w14:textId="0C5ABDDA" w:rsidR="00883D96" w:rsidRPr="005D6276" w:rsidRDefault="005D6276" w:rsidP="005D6276">
      <w:pPr>
        <w:pStyle w:val="FootnoteText"/>
        <w:ind w:left="567" w:hanging="567"/>
        <w:rPr>
          <w:sz w:val="24"/>
          <w:vertAlign w:val="superscript"/>
          <w:lang w:val="nl-NL"/>
        </w:rPr>
      </w:pPr>
      <w:r w:rsidRPr="005D6276">
        <w:rPr>
          <w:sz w:val="24"/>
          <w:lang w:val="nl-NL"/>
        </w:rPr>
        <w:t xml:space="preserve"> </w:t>
      </w:r>
      <w:r w:rsidRPr="005D6276">
        <w:rPr>
          <w:sz w:val="24"/>
          <w:lang w:val="nl-NL"/>
        </w:rPr>
        <w:tab/>
      </w:r>
      <w:r w:rsidR="00883D96" w:rsidRPr="005D6276">
        <w:rPr>
          <w:sz w:val="24"/>
          <w:lang w:val="nl-NL"/>
        </w:rPr>
        <w:t>–</w:t>
      </w:r>
      <w:r w:rsidR="00883D96" w:rsidRPr="005D6276">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het genetisch gemodificeerde koolzaad MON 88302 overeenkomstig Verordening (EG) nr. 1829/2003 van het Europees Parlement en de Raad (</w:t>
      </w:r>
      <w:r w:rsidR="00385DF1">
        <w:rPr>
          <w:sz w:val="24"/>
          <w:lang w:val="nl-NL"/>
        </w:rPr>
        <w:t xml:space="preserve">Aangenomen teksten, </w:t>
      </w:r>
      <w:r w:rsidR="00883D96" w:rsidRPr="005D6276">
        <w:rPr>
          <w:sz w:val="24"/>
          <w:lang w:val="nl-NL"/>
        </w:rPr>
        <w:t>P10_TA(2025)0290).</w:t>
      </w:r>
    </w:p>
    <w:p w14:paraId="27486E5B" w14:textId="4AD4EAAE" w:rsidR="00883D96" w:rsidRPr="005D6276" w:rsidRDefault="005D6276" w:rsidP="005D6276">
      <w:pPr>
        <w:pStyle w:val="FootnoteText"/>
        <w:ind w:left="567" w:hanging="567"/>
        <w:rPr>
          <w:sz w:val="24"/>
          <w:vertAlign w:val="superscript"/>
          <w:lang w:val="nl-NL"/>
        </w:rPr>
      </w:pPr>
      <w:r w:rsidRPr="005D6276">
        <w:rPr>
          <w:sz w:val="24"/>
          <w:lang w:val="nl-NL"/>
        </w:rPr>
        <w:t xml:space="preserve"> </w:t>
      </w:r>
      <w:r w:rsidRPr="005D6276">
        <w:rPr>
          <w:sz w:val="24"/>
          <w:lang w:val="nl-NL"/>
        </w:rPr>
        <w:tab/>
      </w:r>
      <w:r w:rsidR="00883D96" w:rsidRPr="005D6276">
        <w:rPr>
          <w:sz w:val="24"/>
          <w:lang w:val="nl-NL"/>
        </w:rPr>
        <w:t>–</w:t>
      </w:r>
      <w:r w:rsidR="00883D96" w:rsidRPr="005D6276">
        <w:rPr>
          <w:sz w:val="24"/>
          <w:lang w:val="nl-NL"/>
        </w:rPr>
        <w:tab/>
        <w:t>Resolutie van het Europees Parlement van 25 november 2025 over het uitvoeringsbesluit van de Commissie tot verlenging van de vergunning voor het in de handel brengen van producten die geheel of gedeeltelijk bestaan uit of zijn geproduceerd met genetisch gemodificeerde soja MON 87708 overeenkomstig Verordening (EG) nr. 1829/2003 van het Europees Parlement en de Raad (</w:t>
      </w:r>
      <w:r w:rsidR="00385DF1">
        <w:rPr>
          <w:sz w:val="24"/>
          <w:lang w:val="nl-NL"/>
        </w:rPr>
        <w:t xml:space="preserve">Aangenomen teksten, </w:t>
      </w:r>
      <w:r w:rsidR="00883D96" w:rsidRPr="005D6276">
        <w:rPr>
          <w:sz w:val="24"/>
          <w:lang w:val="nl-NL"/>
        </w:rPr>
        <w:t>P10_TA(2025)0291).</w:t>
      </w:r>
    </w:p>
    <w:p w14:paraId="20BE6BEE" w14:textId="38AE0D48" w:rsidR="00883D96" w:rsidRPr="005D6276" w:rsidRDefault="005D6276" w:rsidP="005D6276">
      <w:pPr>
        <w:pStyle w:val="FootnoteText"/>
        <w:ind w:left="567" w:hanging="567"/>
        <w:rPr>
          <w:sz w:val="24"/>
          <w:vertAlign w:val="superscript"/>
          <w:lang w:val="nl-NL"/>
        </w:rPr>
      </w:pPr>
      <w:r w:rsidRPr="005D6276">
        <w:rPr>
          <w:sz w:val="24"/>
          <w:lang w:val="nl-NL"/>
        </w:rPr>
        <w:t xml:space="preserve"> </w:t>
      </w:r>
      <w:r w:rsidRPr="005D6276">
        <w:rPr>
          <w:sz w:val="24"/>
          <w:lang w:val="nl-NL"/>
        </w:rPr>
        <w:tab/>
      </w:r>
      <w:r w:rsidR="00883D96" w:rsidRPr="005D6276">
        <w:rPr>
          <w:sz w:val="24"/>
          <w:lang w:val="nl-NL"/>
        </w:rPr>
        <w:t>Resolutie van het Europees Parlement van 25 november 2025 over het ontwerp van uitvoeringsbesluit van de Commissie tot verlenging van de vergunning voor het in de handel brengen van producten die geheel of gedeeltelijk bestaan uit of zijn geproduceerd met de genetisch gemodificeerde mais MON 87427 overeenkomstig Verordening (EG) nr. 1829/2003 van het Europees Parlement en de Raad (</w:t>
      </w:r>
      <w:r w:rsidR="00385DF1">
        <w:rPr>
          <w:sz w:val="24"/>
          <w:lang w:val="nl-NL"/>
        </w:rPr>
        <w:t xml:space="preserve">Aangenomen teksten, </w:t>
      </w:r>
      <w:r w:rsidR="00883D96" w:rsidRPr="005D6276">
        <w:rPr>
          <w:sz w:val="24"/>
          <w:lang w:val="nl-NL"/>
        </w:rPr>
        <w:t>P10_TA(2025)0292).</w:t>
      </w:r>
    </w:p>
    <w:p w14:paraId="443F5F41" w14:textId="0C58AB9F" w:rsidR="00883D96" w:rsidRPr="005D6276" w:rsidRDefault="005D6276" w:rsidP="005D6276">
      <w:pPr>
        <w:pStyle w:val="FootnoteText"/>
        <w:ind w:left="567" w:hanging="567"/>
        <w:rPr>
          <w:sz w:val="24"/>
          <w:vertAlign w:val="superscript"/>
          <w:lang w:val="nl-NL"/>
        </w:rPr>
      </w:pPr>
      <w:r w:rsidRPr="005D6276">
        <w:rPr>
          <w:sz w:val="24"/>
          <w:lang w:val="nl-NL"/>
        </w:rPr>
        <w:t xml:space="preserve"> </w:t>
      </w:r>
      <w:r w:rsidRPr="005D6276">
        <w:rPr>
          <w:sz w:val="24"/>
          <w:lang w:val="nl-NL"/>
        </w:rPr>
        <w:tab/>
      </w:r>
      <w:r w:rsidR="00883D96" w:rsidRPr="005D6276">
        <w:rPr>
          <w:sz w:val="24"/>
          <w:lang w:val="nl-NL"/>
        </w:rPr>
        <w:t>Resolutie van het Europees Parlement van 16 december 2025 over het ontwerp van uitvoeringsbesluit van de Commissie tot verlenging van de vergunning voor het in de handel brengen van producten die geheel of gedeeltelijk bestaan uit of zijn geproduceerd met de genetisch gemodificeerde mais NK603 overeenkomstig Verordening (EG) nr. 1829/2003 van het Europees Parlement en de Raad (</w:t>
      </w:r>
      <w:r w:rsidR="00385DF1">
        <w:rPr>
          <w:sz w:val="24"/>
          <w:lang w:val="nl-NL"/>
        </w:rPr>
        <w:t xml:space="preserve">Aangenomen teksten, </w:t>
      </w:r>
      <w:r w:rsidR="00883D96" w:rsidRPr="005D6276">
        <w:rPr>
          <w:sz w:val="24"/>
          <w:lang w:val="nl-NL"/>
        </w:rPr>
        <w:t>P10_TA(2025)0327).</w:t>
      </w:r>
    </w:p>
    <w:p w14:paraId="4E3619A1" w14:textId="00410F1E" w:rsidR="00883D96" w:rsidRPr="005D6276" w:rsidRDefault="005D6276" w:rsidP="005D6276">
      <w:pPr>
        <w:pStyle w:val="FootnoteText"/>
        <w:ind w:left="567" w:hanging="567"/>
        <w:rPr>
          <w:sz w:val="24"/>
          <w:lang w:val="nl-NL"/>
        </w:rPr>
      </w:pPr>
      <w:r w:rsidRPr="005D6276">
        <w:rPr>
          <w:sz w:val="24"/>
          <w:lang w:val="nl-NL"/>
        </w:rPr>
        <w:t xml:space="preserve"> </w:t>
      </w:r>
      <w:r w:rsidRPr="005D6276">
        <w:rPr>
          <w:sz w:val="24"/>
          <w:lang w:val="nl-NL"/>
        </w:rPr>
        <w:tab/>
      </w:r>
      <w:r w:rsidR="00883D96" w:rsidRPr="005D6276">
        <w:rPr>
          <w:sz w:val="24"/>
          <w:lang w:val="nl-NL"/>
        </w:rPr>
        <w:t>Resolutie van het Europees Parlement van 16 december 2025 over het ontwerp van uitvoeringsbesluit van de Commissie tot verlening van een vergunning voor het in de handel brengen van levensmiddelen, levensmiddeleningrediënten en diervoeders die zijn geproduceerd met de genetisch gemodificeerde suikerbiet KWS20-1 overeenkomstig Verordening (EG) nr. 1829/2003 van het Europees Parlement en de Raad (</w:t>
      </w:r>
      <w:r w:rsidR="00385DF1">
        <w:rPr>
          <w:sz w:val="24"/>
          <w:lang w:val="nl-NL"/>
        </w:rPr>
        <w:t xml:space="preserve">Aangenomen teksten, </w:t>
      </w:r>
      <w:r w:rsidR="00883D96" w:rsidRPr="005D6276">
        <w:rPr>
          <w:sz w:val="24"/>
          <w:lang w:val="nl-NL"/>
        </w:rPr>
        <w:t>P10_TA(2025)0328).</w:t>
      </w:r>
    </w:p>
  </w:footnote>
  <w:footnote w:id="5">
    <w:p w14:paraId="0C82073D" w14:textId="6BEE9FA3" w:rsidR="00883D96" w:rsidRPr="005D6276" w:rsidRDefault="00883D96" w:rsidP="005D6276">
      <w:pPr>
        <w:pStyle w:val="FootnoteText"/>
        <w:ind w:left="567" w:hanging="567"/>
        <w:rPr>
          <w:sz w:val="24"/>
          <w:lang w:val="nl-NL"/>
        </w:rPr>
      </w:pPr>
      <w:r w:rsidRPr="005D6276">
        <w:rPr>
          <w:rStyle w:val="FootnoteReference"/>
          <w:sz w:val="24"/>
          <w:lang w:val="nl-NL"/>
        </w:rPr>
        <w:footnoteRef/>
      </w:r>
      <w:r w:rsidR="005D6276" w:rsidRPr="005D6276">
        <w:rPr>
          <w:sz w:val="24"/>
          <w:lang w:val="nl-NL"/>
        </w:rPr>
        <w:t xml:space="preserve"> </w:t>
      </w:r>
      <w:r w:rsidR="005D6276" w:rsidRPr="005D6276">
        <w:rPr>
          <w:sz w:val="24"/>
          <w:lang w:val="nl-NL"/>
        </w:rPr>
        <w:tab/>
      </w:r>
      <w:r w:rsidRPr="005D6276">
        <w:rPr>
          <w:sz w:val="24"/>
          <w:lang w:val="nl-NL"/>
        </w:rPr>
        <w:t>Uitvoeringsbesluit (EU) 2015/690 van de Commissie van 24 april 2015 tot verlening van een vergunning voor het in de handel brengen van producten die geheel of gedeeltelijk bestaan uit of zijn geproduceerd met het genetisch gemodificeerde katoen GHB614xLLCotton25 (BCS-GHØØ2-5xACS-GHØØ1-3) overeenkomstig Verordening (EG) nr. 1829/2003 van het Europees Parlement en de Raad (PB L 112 van 30.4.2015, blz. 35, ELI: </w:t>
      </w:r>
      <w:hyperlink r:id="rId14" w:history="1">
        <w:r w:rsidRPr="005D6276">
          <w:rPr>
            <w:rStyle w:val="Hyperlink"/>
            <w:sz w:val="24"/>
            <w:lang w:val="nl-NL"/>
          </w:rPr>
          <w:t>http://data.europa.eu/eli/dec_impl/2015/690/oj</w:t>
        </w:r>
      </w:hyperlink>
      <w:r w:rsidRPr="005D6276">
        <w:rPr>
          <w:rStyle w:val="Hyperlink"/>
          <w:sz w:val="24"/>
          <w:lang w:val="nl-NL"/>
        </w:rPr>
        <w:t>).</w:t>
      </w:r>
    </w:p>
  </w:footnote>
  <w:footnote w:id="6">
    <w:p w14:paraId="735C6927" w14:textId="1050CE3E" w:rsidR="00883D96" w:rsidRPr="005D6276" w:rsidRDefault="00883D96" w:rsidP="005D6276">
      <w:pPr>
        <w:pStyle w:val="FootnoteText"/>
        <w:ind w:left="567" w:hanging="567"/>
        <w:rPr>
          <w:sz w:val="24"/>
          <w:lang w:val="nl-NL"/>
        </w:rPr>
      </w:pPr>
      <w:r w:rsidRPr="005D6276">
        <w:rPr>
          <w:rStyle w:val="FootnoteReference"/>
          <w:sz w:val="24"/>
          <w:lang w:val="nl-NL"/>
        </w:rPr>
        <w:footnoteRef/>
      </w:r>
      <w:r w:rsidR="005D6276" w:rsidRPr="005D6276">
        <w:rPr>
          <w:sz w:val="24"/>
          <w:lang w:val="nl-NL"/>
        </w:rPr>
        <w:t xml:space="preserve"> </w:t>
      </w:r>
      <w:r w:rsidR="005D6276" w:rsidRPr="005D6276">
        <w:rPr>
          <w:sz w:val="24"/>
          <w:lang w:val="nl-NL"/>
        </w:rPr>
        <w:tab/>
      </w:r>
      <w:r w:rsidRPr="005D6276">
        <w:rPr>
          <w:sz w:val="24"/>
          <w:lang w:val="nl-NL"/>
        </w:rPr>
        <w:t xml:space="preserve">Wetenschappelijk advies van het EFSA-panel voor genetisch gemodificeerde organismen inzake een aanvraag van Bayer CropScience (EFSA-GMO-NL-2010-77) voor het in de handel brengen van herbicidetolerante genetisch gemodificeerde katoen GHB614 × LLCotton25 voor gebruik in levensmiddelen en diervoeders en de invoer en verwerking ervan, overeenkomstig Verordening (EG) nr. 1829/2003, </w:t>
      </w:r>
      <w:r w:rsidRPr="005D6276">
        <w:rPr>
          <w:i/>
          <w:sz w:val="24"/>
          <w:lang w:val="nl-NL"/>
        </w:rPr>
        <w:t>EFSA Journal</w:t>
      </w:r>
      <w:r w:rsidRPr="005D6276">
        <w:rPr>
          <w:sz w:val="24"/>
          <w:lang w:val="nl-NL"/>
        </w:rPr>
        <w:t xml:space="preserve"> 2014;12(5):3680, </w:t>
      </w:r>
      <w:hyperlink r:id="rId15" w:history="1">
        <w:r w:rsidRPr="005D6276">
          <w:rPr>
            <w:rStyle w:val="Hyperlink"/>
            <w:sz w:val="24"/>
            <w:lang w:val="nl-NL"/>
          </w:rPr>
          <w:t>https://doi.org/10.2903/j.efsa.2014.3680</w:t>
        </w:r>
      </w:hyperlink>
      <w:r w:rsidRPr="005D6276">
        <w:rPr>
          <w:sz w:val="24"/>
          <w:lang w:val="nl-NL"/>
        </w:rPr>
        <w:t>.</w:t>
      </w:r>
    </w:p>
  </w:footnote>
  <w:footnote w:id="7">
    <w:p w14:paraId="3B3AEDA3" w14:textId="482AA4ED" w:rsidR="00883D96" w:rsidRPr="005D6276" w:rsidRDefault="00883D96" w:rsidP="005D6276">
      <w:pPr>
        <w:pStyle w:val="FootnoteText"/>
        <w:ind w:left="567" w:hanging="567"/>
        <w:rPr>
          <w:sz w:val="24"/>
          <w:lang w:val="nl-NL"/>
        </w:rPr>
      </w:pPr>
      <w:r w:rsidRPr="005D6276">
        <w:rPr>
          <w:rStyle w:val="FootnoteReference"/>
          <w:sz w:val="24"/>
          <w:lang w:val="nl-NL"/>
        </w:rPr>
        <w:footnoteRef/>
      </w:r>
      <w:r w:rsidR="005D6276" w:rsidRPr="005D6276">
        <w:rPr>
          <w:sz w:val="24"/>
          <w:shd w:val="clear" w:color="auto" w:fill="FFFFFF"/>
          <w:lang w:val="nl-NL"/>
        </w:rPr>
        <w:t xml:space="preserve"> </w:t>
      </w:r>
      <w:r w:rsidR="005D6276" w:rsidRPr="005D6276">
        <w:rPr>
          <w:sz w:val="24"/>
          <w:shd w:val="clear" w:color="auto" w:fill="FFFFFF"/>
          <w:lang w:val="nl-NL"/>
        </w:rPr>
        <w:tab/>
      </w:r>
      <w:r w:rsidRPr="005D6276">
        <w:rPr>
          <w:sz w:val="24"/>
          <w:shd w:val="clear" w:color="auto" w:fill="FFFFFF"/>
          <w:lang w:val="nl-NL"/>
        </w:rPr>
        <w:t xml:space="preserve">Zie bijvoorbeeld Bonny, S., “Genetically Modified Herbicide-Tolerant Crops, Weeds, and Herbicides: Overview and Impact”, </w:t>
      </w:r>
      <w:r w:rsidRPr="005D6276">
        <w:rPr>
          <w:i/>
          <w:sz w:val="24"/>
          <w:shd w:val="clear" w:color="auto" w:fill="FFFFFF"/>
          <w:lang w:val="nl-NL"/>
        </w:rPr>
        <w:t>Environmental Management</w:t>
      </w:r>
      <w:r w:rsidRPr="005D6276">
        <w:rPr>
          <w:sz w:val="24"/>
          <w:shd w:val="clear" w:color="auto" w:fill="FFFFFF"/>
          <w:lang w:val="nl-NL"/>
        </w:rPr>
        <w:t>, januari 2016, 57(1), blz. 31,</w:t>
      </w:r>
      <w:r w:rsidRPr="005D6276">
        <w:rPr>
          <w:sz w:val="24"/>
          <w:lang w:val="nl-NL"/>
        </w:rPr>
        <w:t xml:space="preserve"> </w:t>
      </w:r>
      <w:hyperlink r:id="rId16" w:history="1">
        <w:r w:rsidRPr="005D6276">
          <w:rPr>
            <w:rStyle w:val="Hyperlink"/>
            <w:sz w:val="24"/>
            <w:shd w:val="clear" w:color="auto" w:fill="FFFFFF"/>
            <w:lang w:val="nl-NL"/>
          </w:rPr>
          <w:t>https://doi.org/10.1007/s00267-015-0589-7</w:t>
        </w:r>
      </w:hyperlink>
      <w:r w:rsidRPr="005D6276">
        <w:rPr>
          <w:sz w:val="24"/>
          <w:shd w:val="clear" w:color="auto" w:fill="FFFFFF"/>
          <w:lang w:val="nl-NL"/>
        </w:rPr>
        <w:t xml:space="preserve"> en Benbrook, C.M., “Impacts of genetically engineered crops on pesticide use in the U.S. – the first sixteen years”, </w:t>
      </w:r>
      <w:r w:rsidRPr="005D6276">
        <w:rPr>
          <w:i/>
          <w:sz w:val="24"/>
          <w:shd w:val="clear" w:color="auto" w:fill="FFFFFF"/>
          <w:lang w:val="nl-NL"/>
        </w:rPr>
        <w:t>Environmental Sciences Europe</w:t>
      </w:r>
      <w:r w:rsidRPr="005D6276">
        <w:rPr>
          <w:sz w:val="24"/>
          <w:shd w:val="clear" w:color="auto" w:fill="FFFFFF"/>
          <w:lang w:val="nl-NL"/>
        </w:rPr>
        <w:t>, 28 september 2012, vol. 24(1),</w:t>
      </w:r>
      <w:r w:rsidRPr="005D6276">
        <w:rPr>
          <w:sz w:val="24"/>
          <w:lang w:val="nl-NL"/>
        </w:rPr>
        <w:t xml:space="preserve"> </w:t>
      </w:r>
      <w:hyperlink r:id="rId17" w:history="1">
        <w:r w:rsidRPr="005D6276">
          <w:rPr>
            <w:rStyle w:val="Hyperlink"/>
            <w:sz w:val="24"/>
            <w:shd w:val="clear" w:color="auto" w:fill="FFFFFF"/>
            <w:lang w:val="nl-NL"/>
          </w:rPr>
          <w:t>https://doi.org/10.1186/2190-4715-24-24</w:t>
        </w:r>
      </w:hyperlink>
      <w:r w:rsidRPr="005D6276">
        <w:rPr>
          <w:sz w:val="24"/>
          <w:lang w:val="nl-NL"/>
        </w:rPr>
        <w:t>.</w:t>
      </w:r>
    </w:p>
  </w:footnote>
  <w:footnote w:id="8">
    <w:p w14:paraId="5EBB526A" w14:textId="27BDF147" w:rsidR="00883D96" w:rsidRPr="005D6276" w:rsidRDefault="00883D96" w:rsidP="005D6276">
      <w:pPr>
        <w:pStyle w:val="FootnoteText"/>
        <w:ind w:left="567" w:hanging="567"/>
        <w:rPr>
          <w:sz w:val="24"/>
          <w:lang w:val="nl-NL"/>
        </w:rPr>
      </w:pPr>
      <w:r w:rsidRPr="005D6276">
        <w:rPr>
          <w:rStyle w:val="FootnoteReference"/>
          <w:sz w:val="24"/>
          <w:lang w:val="nl-NL"/>
        </w:rPr>
        <w:footnoteRef/>
      </w:r>
      <w:r w:rsidR="005D6276" w:rsidRPr="005D6276">
        <w:rPr>
          <w:sz w:val="24"/>
          <w:lang w:val="nl-NL"/>
        </w:rPr>
        <w:t xml:space="preserve"> </w:t>
      </w:r>
      <w:r w:rsidR="005D6276" w:rsidRPr="005D6276">
        <w:rPr>
          <w:sz w:val="24"/>
          <w:lang w:val="nl-NL"/>
        </w:rPr>
        <w:tab/>
      </w:r>
      <w:r w:rsidRPr="005D6276">
        <w:rPr>
          <w:sz w:val="24"/>
          <w:lang w:val="nl-NL"/>
        </w:rPr>
        <w:t xml:space="preserve">Zie bijvoorbeeld: </w:t>
      </w:r>
      <w:hyperlink r:id="rId18" w:history="1">
        <w:r w:rsidRPr="005D6276">
          <w:rPr>
            <w:rStyle w:val="Hyperlink"/>
            <w:sz w:val="24"/>
            <w:lang w:val="nl-NL"/>
          </w:rPr>
          <w:t>https://doi.org/10.1002/ps.8105</w:t>
        </w:r>
      </w:hyperlink>
      <w:r w:rsidRPr="005D6276">
        <w:rPr>
          <w:sz w:val="24"/>
          <w:lang w:val="nl-NL"/>
        </w:rPr>
        <w:t xml:space="preserve">, en </w:t>
      </w:r>
      <w:bookmarkStart w:id="11" w:name="_Hlk219205442"/>
      <w:r w:rsidRPr="005D6276">
        <w:rPr>
          <w:sz w:val="24"/>
          <w:lang w:val="nl-NL"/>
        </w:rPr>
        <w:fldChar w:fldCharType="begin"/>
      </w:r>
      <w:r w:rsidRPr="005D6276">
        <w:rPr>
          <w:sz w:val="24"/>
          <w:lang w:val="nl-NL"/>
        </w:rPr>
        <w:instrText>HYPERLINK "https://doi.org/10.1016/j.geoforum.2009.03.009"</w:instrText>
      </w:r>
      <w:r w:rsidRPr="005D6276">
        <w:rPr>
          <w:sz w:val="24"/>
          <w:lang w:val="nl-NL"/>
        </w:rPr>
      </w:r>
      <w:r w:rsidRPr="005D6276">
        <w:rPr>
          <w:sz w:val="24"/>
          <w:lang w:val="nl-NL"/>
        </w:rPr>
        <w:fldChar w:fldCharType="separate"/>
      </w:r>
      <w:r w:rsidRPr="005D6276">
        <w:rPr>
          <w:rStyle w:val="Hyperlink"/>
          <w:sz w:val="24"/>
          <w:lang w:val="nl-NL"/>
        </w:rPr>
        <w:t>https://doi.org/10.1016/j.geoforum.2009.03.009</w:t>
      </w:r>
      <w:r w:rsidRPr="005D6276">
        <w:rPr>
          <w:sz w:val="24"/>
          <w:lang w:val="nl-NL"/>
        </w:rPr>
        <w:fldChar w:fldCharType="end"/>
      </w:r>
      <w:bookmarkEnd w:id="11"/>
      <w:r w:rsidRPr="005D6276">
        <w:rPr>
          <w:sz w:val="24"/>
          <w:lang w:val="nl-NL"/>
        </w:rPr>
        <w:t>.</w:t>
      </w:r>
    </w:p>
  </w:footnote>
  <w:footnote w:id="9">
    <w:p w14:paraId="5355A24B" w14:textId="2BEC0A4D" w:rsidR="00883D96" w:rsidRPr="005D6276" w:rsidRDefault="00883D96" w:rsidP="005D6276">
      <w:pPr>
        <w:pStyle w:val="FootnoteText"/>
        <w:ind w:left="567" w:hanging="567"/>
        <w:rPr>
          <w:sz w:val="24"/>
          <w:lang w:val="nl-NL"/>
        </w:rPr>
      </w:pPr>
      <w:r w:rsidRPr="005D6276">
        <w:rPr>
          <w:rStyle w:val="FootnoteReference"/>
          <w:sz w:val="24"/>
          <w:lang w:val="nl-NL"/>
        </w:rPr>
        <w:footnoteRef/>
      </w:r>
      <w:r w:rsidR="005D6276" w:rsidRPr="005D6276">
        <w:rPr>
          <w:sz w:val="24"/>
          <w:lang w:val="nl-NL"/>
        </w:rPr>
        <w:t xml:space="preserve"> </w:t>
      </w:r>
      <w:r w:rsidR="005D6276" w:rsidRPr="005D6276">
        <w:rPr>
          <w:sz w:val="24"/>
          <w:lang w:val="nl-NL"/>
        </w:rPr>
        <w:tab/>
      </w:r>
      <w:r w:rsidRPr="005D6276">
        <w:rPr>
          <w:sz w:val="24"/>
          <w:lang w:val="nl-NL"/>
        </w:rPr>
        <w:t>Verordening (EG) nr. 1107/2009 van het Europees Parlement en de Raad van 21 oktober 2009 betreffende het op de markt brengen van gewasbeschermingsmiddelen en tot intrekking van de Richtlijnen 79/117/EEG en 91/414/EEG van de Raad (PB L 309 van 24.11.2009, blz. 1, ELI: </w:t>
      </w:r>
      <w:hyperlink r:id="rId19" w:tooltip="Biedt toegang tot dit document via de ELI-URI." w:history="1">
        <w:r w:rsidRPr="005D6276">
          <w:rPr>
            <w:rStyle w:val="Hyperlink"/>
            <w:sz w:val="24"/>
            <w:lang w:val="nl-NL"/>
          </w:rPr>
          <w:t>http://data.europa.eu/eli/reg/2009/1107/oj</w:t>
        </w:r>
      </w:hyperlink>
      <w:r w:rsidRPr="005D6276">
        <w:rPr>
          <w:sz w:val="24"/>
          <w:lang w:val="nl-NL"/>
        </w:rPr>
        <w:t>).</w:t>
      </w:r>
    </w:p>
  </w:footnote>
  <w:footnote w:id="10">
    <w:p w14:paraId="174005C5" w14:textId="47F9C807" w:rsidR="00883D96" w:rsidRPr="005D6276" w:rsidRDefault="00883D96" w:rsidP="005D6276">
      <w:pPr>
        <w:pStyle w:val="FootnoteText"/>
        <w:ind w:left="567" w:hanging="567"/>
        <w:rPr>
          <w:sz w:val="24"/>
          <w:lang w:val="nl-NL"/>
        </w:rPr>
      </w:pPr>
      <w:r w:rsidRPr="005D6276">
        <w:rPr>
          <w:rStyle w:val="FootnoteReference"/>
          <w:sz w:val="24"/>
          <w:lang w:val="nl-NL"/>
        </w:rPr>
        <w:footnoteRef/>
      </w:r>
      <w:r w:rsidR="005D6276" w:rsidRPr="005D6276">
        <w:rPr>
          <w:sz w:val="24"/>
          <w:lang w:val="nl-NL"/>
        </w:rPr>
        <w:t xml:space="preserve"> </w:t>
      </w:r>
      <w:r w:rsidR="005D6276" w:rsidRPr="005D6276">
        <w:rPr>
          <w:sz w:val="24"/>
          <w:lang w:val="nl-NL"/>
        </w:rPr>
        <w:tab/>
      </w:r>
      <w:r w:rsidRPr="005D6276">
        <w:rPr>
          <w:sz w:val="24"/>
          <w:lang w:val="nl-NL"/>
        </w:rPr>
        <w:t>Zie bijvoorbeeld:</w:t>
      </w:r>
      <w:r w:rsidRPr="005D6276">
        <w:rPr>
          <w:sz w:val="24"/>
          <w:lang w:val="nl-NL"/>
        </w:rPr>
        <w:br/>
      </w:r>
      <w:hyperlink r:id="rId20" w:history="1">
        <w:r w:rsidRPr="005D6276">
          <w:rPr>
            <w:rStyle w:val="Hyperlink"/>
            <w:sz w:val="24"/>
            <w:lang w:val="nl-NL"/>
          </w:rPr>
          <w:t>https://doi.org/10.1016/j.mrrev.2019.02.001</w:t>
        </w:r>
      </w:hyperlink>
      <w:r w:rsidRPr="005D6276">
        <w:rPr>
          <w:sz w:val="24"/>
          <w:lang w:val="nl-NL"/>
        </w:rPr>
        <w:t>,</w:t>
      </w:r>
      <w:r w:rsidRPr="005D6276">
        <w:rPr>
          <w:sz w:val="24"/>
          <w:lang w:val="nl-NL"/>
        </w:rPr>
        <w:br/>
      </w:r>
      <w:hyperlink r:id="rId21" w:history="1">
        <w:r w:rsidRPr="005D6276">
          <w:rPr>
            <w:rStyle w:val="Hyperlink"/>
            <w:sz w:val="24"/>
            <w:lang w:val="nl-NL"/>
          </w:rPr>
          <w:t>https://doi.org/10.1093/ije/dyz017</w:t>
        </w:r>
      </w:hyperlink>
      <w:r w:rsidRPr="005D6276">
        <w:rPr>
          <w:sz w:val="24"/>
          <w:lang w:val="nl-NL"/>
        </w:rPr>
        <w:t>,</w:t>
      </w:r>
      <w:r w:rsidRPr="005D6276">
        <w:rPr>
          <w:sz w:val="24"/>
          <w:lang w:val="nl-NL"/>
        </w:rPr>
        <w:br/>
      </w:r>
      <w:hyperlink r:id="rId22" w:history="1">
        <w:r w:rsidRPr="005D6276">
          <w:rPr>
            <w:rStyle w:val="Hyperlink"/>
            <w:sz w:val="24"/>
            <w:lang w:val="nl-NL"/>
          </w:rPr>
          <w:t>https://doi.org/10.1371/journal.pone.0219610</w:t>
        </w:r>
      </w:hyperlink>
      <w:r w:rsidRPr="005D6276">
        <w:rPr>
          <w:sz w:val="24"/>
          <w:lang w:val="nl-NL"/>
        </w:rPr>
        <w:t>, en</w:t>
      </w:r>
      <w:r w:rsidRPr="005D6276">
        <w:rPr>
          <w:sz w:val="24"/>
          <w:lang w:val="nl-NL"/>
        </w:rPr>
        <w:br/>
      </w:r>
      <w:hyperlink r:id="rId23" w:history="1">
        <w:r w:rsidRPr="005D6276">
          <w:rPr>
            <w:rStyle w:val="Hyperlink"/>
            <w:sz w:val="24"/>
            <w:lang w:val="nl-NL"/>
          </w:rPr>
          <w:t>https://doi.org/10.1186/s13045-019-0767-9</w:t>
        </w:r>
      </w:hyperlink>
      <w:r w:rsidRPr="005D6276">
        <w:rPr>
          <w:sz w:val="24"/>
          <w:lang w:val="nl-NL"/>
        </w:rPr>
        <w:t>.</w:t>
      </w:r>
    </w:p>
  </w:footnote>
  <w:footnote w:id="11">
    <w:p w14:paraId="0E2A06F9" w14:textId="221AE266" w:rsidR="00883D96" w:rsidRPr="005D6276" w:rsidRDefault="00883D96" w:rsidP="005D6276">
      <w:pPr>
        <w:pStyle w:val="FootnoteText"/>
        <w:ind w:left="567" w:hanging="567"/>
        <w:rPr>
          <w:sz w:val="24"/>
          <w:lang w:val="nl-NL"/>
        </w:rPr>
      </w:pPr>
      <w:r w:rsidRPr="005D6276">
        <w:rPr>
          <w:rStyle w:val="FootnoteReference"/>
          <w:sz w:val="24"/>
          <w:lang w:val="nl-NL"/>
        </w:rPr>
        <w:footnoteRef/>
      </w:r>
      <w:r w:rsidR="005D6276" w:rsidRPr="005D6276">
        <w:rPr>
          <w:sz w:val="24"/>
          <w:lang w:val="nl-NL"/>
        </w:rPr>
        <w:t xml:space="preserve"> </w:t>
      </w:r>
      <w:r w:rsidR="005D6276" w:rsidRPr="005D6276">
        <w:rPr>
          <w:sz w:val="24"/>
          <w:lang w:val="nl-NL"/>
        </w:rPr>
        <w:tab/>
      </w:r>
      <w:hyperlink r:id="rId24" w:tgtFrame="_blank" w:tooltip="Permanente link op basis van de digital object identifier" w:history="1">
        <w:r w:rsidRPr="005D6276">
          <w:rPr>
            <w:rStyle w:val="Hyperlink"/>
            <w:sz w:val="24"/>
            <w:lang w:val="nl-NL"/>
          </w:rPr>
          <w:t>https://doi.org/10.1006/rtph.1999.1371</w:t>
        </w:r>
      </w:hyperlink>
      <w:r w:rsidRPr="005D6276">
        <w:rPr>
          <w:sz w:val="24"/>
          <w:lang w:val="nl-NL"/>
        </w:rPr>
        <w:t>.</w:t>
      </w:r>
    </w:p>
  </w:footnote>
  <w:footnote w:id="12">
    <w:p w14:paraId="7D5A3EF8" w14:textId="5AF6A213" w:rsidR="00883D96" w:rsidRPr="005D6276" w:rsidRDefault="00883D96" w:rsidP="005D6276">
      <w:pPr>
        <w:pStyle w:val="FootnoteText"/>
        <w:ind w:left="567" w:hanging="567"/>
        <w:rPr>
          <w:sz w:val="24"/>
          <w:lang w:val="nl-NL"/>
        </w:rPr>
      </w:pPr>
      <w:r w:rsidRPr="005D6276">
        <w:rPr>
          <w:rStyle w:val="FootnoteReference"/>
          <w:sz w:val="24"/>
          <w:lang w:val="nl-NL"/>
        </w:rPr>
        <w:footnoteRef/>
      </w:r>
      <w:r w:rsidR="005D6276" w:rsidRPr="005D6276">
        <w:rPr>
          <w:color w:val="000000" w:themeColor="text1"/>
          <w:sz w:val="24"/>
          <w:lang w:val="nl-NL"/>
        </w:rPr>
        <w:t xml:space="preserve"> </w:t>
      </w:r>
      <w:r w:rsidR="005D6276" w:rsidRPr="005D6276">
        <w:rPr>
          <w:color w:val="000000" w:themeColor="text1"/>
          <w:sz w:val="24"/>
          <w:lang w:val="nl-NL"/>
        </w:rPr>
        <w:tab/>
      </w:r>
      <w:r w:rsidRPr="005D6276">
        <w:rPr>
          <w:color w:val="000000" w:themeColor="text1"/>
          <w:sz w:val="24"/>
          <w:lang w:val="nl-NL"/>
        </w:rPr>
        <w:t xml:space="preserve">In december 2022 is tijdens de COP15 van het Verdrag van de Verenigde Naties inzake biologische diversiteit een mondiaal kader voor biodiversiteit overeengekomen dat een mondiale doelstelling bevat om het risico van pesticiden tegen 2030 met ten minste 50 % terug te dringen (zie: </w:t>
      </w:r>
      <w:hyperlink r:id="rId25" w:history="1">
        <w:r w:rsidRPr="005D6276">
          <w:rPr>
            <w:rStyle w:val="Hyperlink"/>
            <w:sz w:val="24"/>
            <w:lang w:val="nl-NL"/>
          </w:rPr>
          <w:t>https://ec.europa.eu/commission/presscorner/detail/nl/ip_22_7834</w:t>
        </w:r>
      </w:hyperlink>
      <w:r w:rsidRPr="005D6276">
        <w:rPr>
          <w:sz w:val="24"/>
          <w:lang w:val="nl-NL"/>
        </w:rPr>
        <w:t>).</w:t>
      </w:r>
    </w:p>
  </w:footnote>
  <w:footnote w:id="13">
    <w:p w14:paraId="0A2E98FF" w14:textId="26960385" w:rsidR="00883D96" w:rsidRPr="005D6276" w:rsidRDefault="00883D96" w:rsidP="005D6276">
      <w:pPr>
        <w:pStyle w:val="FootnoteText"/>
        <w:ind w:left="567" w:hanging="567"/>
        <w:rPr>
          <w:sz w:val="24"/>
          <w:lang w:val="nl-NL"/>
        </w:rPr>
      </w:pPr>
      <w:r w:rsidRPr="005D6276">
        <w:rPr>
          <w:rStyle w:val="FootnoteReference"/>
          <w:sz w:val="24"/>
          <w:lang w:val="nl-NL"/>
        </w:rPr>
        <w:footnoteRef/>
      </w:r>
      <w:r w:rsidR="005D6276" w:rsidRPr="005D6276">
        <w:rPr>
          <w:sz w:val="24"/>
          <w:lang w:val="nl-NL"/>
        </w:rPr>
        <w:t xml:space="preserve"> </w:t>
      </w:r>
      <w:r w:rsidR="005D6276" w:rsidRPr="005D6276">
        <w:rPr>
          <w:sz w:val="24"/>
          <w:lang w:val="nl-NL"/>
        </w:rPr>
        <w:tab/>
      </w:r>
      <w:hyperlink r:id="rId26" w:history="1">
        <w:r w:rsidRPr="005D6276">
          <w:rPr>
            <w:rStyle w:val="Hyperlink"/>
            <w:sz w:val="24"/>
            <w:lang w:val="nl-NL"/>
          </w:rPr>
          <w:t>https://commission.europa.eu/strategy-and-policy/priorities-2019-2024/european-green-deal/agriculture-and-green-deal/strategic-dialogue-future-eu-agriculture_nl</w:t>
        </w:r>
      </w:hyperlink>
      <w:r w:rsidRPr="005D6276">
        <w:rPr>
          <w:rStyle w:val="Hyperlink"/>
          <w:sz w:val="24"/>
          <w:lang w:val="nl-NL"/>
        </w:rPr>
        <w:t>.</w:t>
      </w:r>
    </w:p>
  </w:footnote>
  <w:footnote w:id="14">
    <w:p w14:paraId="38B02D81" w14:textId="1B57A277" w:rsidR="00883D96" w:rsidRPr="005D6276" w:rsidRDefault="00883D96" w:rsidP="005D6276">
      <w:pPr>
        <w:pStyle w:val="FootnoteText"/>
        <w:ind w:left="567" w:hanging="567"/>
        <w:rPr>
          <w:sz w:val="24"/>
          <w:lang w:val="nl-NL"/>
        </w:rPr>
      </w:pPr>
      <w:r w:rsidRPr="005D6276">
        <w:rPr>
          <w:rStyle w:val="FootnoteReference"/>
          <w:sz w:val="24"/>
          <w:lang w:val="nl-NL"/>
        </w:rPr>
        <w:footnoteRef/>
      </w:r>
      <w:r w:rsidR="005D6276" w:rsidRPr="005D6276">
        <w:rPr>
          <w:sz w:val="24"/>
          <w:lang w:val="nl-NL"/>
        </w:rPr>
        <w:t xml:space="preserve"> </w:t>
      </w:r>
      <w:r w:rsidR="005D6276" w:rsidRPr="005D6276">
        <w:rPr>
          <w:sz w:val="24"/>
          <w:lang w:val="nl-NL"/>
        </w:rPr>
        <w:tab/>
      </w:r>
      <w:r w:rsidRPr="005D6276">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w:t>
      </w:r>
      <w:r w:rsidRPr="005D6276">
        <w:rPr>
          <w:color w:val="000000" w:themeColor="text1"/>
          <w:sz w:val="24"/>
          <w:lang w:val="nl-NL"/>
        </w:rPr>
        <w:t xml:space="preserve"> ELI: </w:t>
      </w:r>
      <w:hyperlink r:id="rId27" w:tgtFrame="Gives access to this document through its ELI URI." w:history="1">
        <w:r w:rsidRPr="005D6276">
          <w:rPr>
            <w:rStyle w:val="Hyperlink"/>
            <w:color w:val="0070C0"/>
            <w:sz w:val="24"/>
            <w:lang w:val="nl-NL"/>
          </w:rPr>
          <w:t>http://data.europa.eu/eli/reg/2002/178/oj</w:t>
        </w:r>
      </w:hyperlink>
      <w:r w:rsidRPr="005D6276">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40B34" w14:textId="77777777" w:rsidR="00064002" w:rsidRPr="005D627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71C1D" w14:textId="77777777" w:rsidR="00064002" w:rsidRPr="005D627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838F4" w14:textId="77777777" w:rsidR="00064002" w:rsidRPr="005D62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145403">
    <w:abstractNumId w:val="9"/>
  </w:num>
  <w:num w:numId="2" w16cid:durableId="1216625411">
    <w:abstractNumId w:val="9"/>
  </w:num>
  <w:num w:numId="3" w16cid:durableId="551037697">
    <w:abstractNumId w:val="7"/>
  </w:num>
  <w:num w:numId="4" w16cid:durableId="1344239854">
    <w:abstractNumId w:val="7"/>
  </w:num>
  <w:num w:numId="5" w16cid:durableId="1271013332">
    <w:abstractNumId w:val="6"/>
  </w:num>
  <w:num w:numId="6" w16cid:durableId="106511134">
    <w:abstractNumId w:val="6"/>
  </w:num>
  <w:num w:numId="7" w16cid:durableId="1479154900">
    <w:abstractNumId w:val="5"/>
  </w:num>
  <w:num w:numId="8" w16cid:durableId="1996571956">
    <w:abstractNumId w:val="5"/>
  </w:num>
  <w:num w:numId="9" w16cid:durableId="196509078">
    <w:abstractNumId w:val="4"/>
  </w:num>
  <w:num w:numId="10" w16cid:durableId="1530142194">
    <w:abstractNumId w:val="4"/>
  </w:num>
  <w:num w:numId="11" w16cid:durableId="1563980460">
    <w:abstractNumId w:val="8"/>
  </w:num>
  <w:num w:numId="12" w16cid:durableId="1018194891">
    <w:abstractNumId w:val="8"/>
  </w:num>
  <w:num w:numId="13" w16cid:durableId="371999105">
    <w:abstractNumId w:val="3"/>
  </w:num>
  <w:num w:numId="14" w16cid:durableId="1582257955">
    <w:abstractNumId w:val="3"/>
  </w:num>
  <w:num w:numId="15" w16cid:durableId="962690568">
    <w:abstractNumId w:val="2"/>
  </w:num>
  <w:num w:numId="16" w16cid:durableId="531654993">
    <w:abstractNumId w:val="2"/>
  </w:num>
  <w:num w:numId="17" w16cid:durableId="1459687098">
    <w:abstractNumId w:val="1"/>
  </w:num>
  <w:num w:numId="18" w16cid:durableId="304700250">
    <w:abstractNumId w:val="1"/>
  </w:num>
  <w:num w:numId="19" w16cid:durableId="1347362031">
    <w:abstractNumId w:val="0"/>
  </w:num>
  <w:num w:numId="20" w16cid:durableId="1844516024">
    <w:abstractNumId w:val="0"/>
  </w:num>
  <w:num w:numId="21" w16cid:durableId="1949434030">
    <w:abstractNumId w:val="9"/>
  </w:num>
  <w:num w:numId="22" w16cid:durableId="1799375068">
    <w:abstractNumId w:val="7"/>
  </w:num>
  <w:num w:numId="23" w16cid:durableId="1724909121">
    <w:abstractNumId w:val="6"/>
  </w:num>
  <w:num w:numId="24" w16cid:durableId="2103992733">
    <w:abstractNumId w:val="5"/>
  </w:num>
  <w:num w:numId="25" w16cid:durableId="684290935">
    <w:abstractNumId w:val="4"/>
  </w:num>
  <w:num w:numId="26" w16cid:durableId="1127772092">
    <w:abstractNumId w:val="8"/>
  </w:num>
  <w:num w:numId="27" w16cid:durableId="319388335">
    <w:abstractNumId w:val="3"/>
  </w:num>
  <w:num w:numId="28" w16cid:durableId="1230386302">
    <w:abstractNumId w:val="2"/>
  </w:num>
  <w:num w:numId="29" w16cid:durableId="1704086934">
    <w:abstractNumId w:val="1"/>
  </w:num>
  <w:num w:numId="30" w16cid:durableId="322858555">
    <w:abstractNumId w:val="0"/>
  </w:num>
  <w:num w:numId="31" w16cid:durableId="1294748820">
    <w:abstractNumId w:val="9"/>
  </w:num>
  <w:num w:numId="32" w16cid:durableId="400296862">
    <w:abstractNumId w:val="7"/>
  </w:num>
  <w:num w:numId="33" w16cid:durableId="384715866">
    <w:abstractNumId w:val="6"/>
  </w:num>
  <w:num w:numId="34" w16cid:durableId="890002720">
    <w:abstractNumId w:val="5"/>
  </w:num>
  <w:num w:numId="35" w16cid:durableId="1491822578">
    <w:abstractNumId w:val="4"/>
  </w:num>
  <w:num w:numId="36" w16cid:durableId="1675693176">
    <w:abstractNumId w:val="8"/>
  </w:num>
  <w:num w:numId="37" w16cid:durableId="1328485050">
    <w:abstractNumId w:val="3"/>
  </w:num>
  <w:num w:numId="38" w16cid:durableId="1388141512">
    <w:abstractNumId w:val="2"/>
  </w:num>
  <w:num w:numId="39" w16cid:durableId="1570725193">
    <w:abstractNumId w:val="1"/>
  </w:num>
  <w:num w:numId="40" w16cid:durableId="1176916276">
    <w:abstractNumId w:val="0"/>
  </w:num>
  <w:num w:numId="41" w16cid:durableId="1340740915">
    <w:abstractNumId w:val="10"/>
  </w:num>
  <w:num w:numId="42" w16cid:durableId="1256091681">
    <w:abstractNumId w:val="10"/>
  </w:num>
  <w:num w:numId="43" w16cid:durableId="1056464527">
    <w:abstractNumId w:val="10"/>
  </w:num>
  <w:num w:numId="44" w16cid:durableId="13127131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NL"/>
    <w:docVar w:name="dvnumam" w:val="0"/>
    <w:docVar w:name="dvpe" w:val="782.197"/>
    <w:docVar w:name="dvtitre" w:val="Besluit van het Europees Parlement van xx februari 2026 over het ontwerp van uitvoeringsbesluit van de Commissie tot verlenging van de vergunning voor het in de handel brengen van producten die geheel of gedeeltelijk bestaan uit of zijn geproduceerd met genetisch gemodificeerd katoen GHB614 × LLCotton25 overeenkomstig Verordening (EG) nr. 1829/2003 van het Europees Parlement en de Raad(D111476/01 - 2026/2519(RSP))"/>
  </w:docVars>
  <w:rsids>
    <w:rsidRoot w:val="00C67E76"/>
    <w:rsid w:val="00002272"/>
    <w:rsid w:val="00064002"/>
    <w:rsid w:val="000677B9"/>
    <w:rsid w:val="000831BA"/>
    <w:rsid w:val="000A42CC"/>
    <w:rsid w:val="000E7DD9"/>
    <w:rsid w:val="0010095E"/>
    <w:rsid w:val="00125B37"/>
    <w:rsid w:val="00130CA0"/>
    <w:rsid w:val="00187494"/>
    <w:rsid w:val="001F32AE"/>
    <w:rsid w:val="002767FF"/>
    <w:rsid w:val="002B18FE"/>
    <w:rsid w:val="002B5493"/>
    <w:rsid w:val="00343214"/>
    <w:rsid w:val="00361C00"/>
    <w:rsid w:val="00385DF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276"/>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D96"/>
    <w:rsid w:val="008840E5"/>
    <w:rsid w:val="00887B3E"/>
    <w:rsid w:val="008C2AC6"/>
    <w:rsid w:val="00930C23"/>
    <w:rsid w:val="0093193B"/>
    <w:rsid w:val="009509D8"/>
    <w:rsid w:val="00950B64"/>
    <w:rsid w:val="009814E9"/>
    <w:rsid w:val="00981893"/>
    <w:rsid w:val="00A1687D"/>
    <w:rsid w:val="00A43E52"/>
    <w:rsid w:val="00A4678D"/>
    <w:rsid w:val="00A778C7"/>
    <w:rsid w:val="00AB441E"/>
    <w:rsid w:val="00AB6293"/>
    <w:rsid w:val="00AC692B"/>
    <w:rsid w:val="00AE0928"/>
    <w:rsid w:val="00AF3B82"/>
    <w:rsid w:val="00B12E95"/>
    <w:rsid w:val="00B22876"/>
    <w:rsid w:val="00B558F0"/>
    <w:rsid w:val="00BD48FE"/>
    <w:rsid w:val="00BD7BD8"/>
    <w:rsid w:val="00BE6ADC"/>
    <w:rsid w:val="00C05BFE"/>
    <w:rsid w:val="00C23CD4"/>
    <w:rsid w:val="00C61C0C"/>
    <w:rsid w:val="00C67E76"/>
    <w:rsid w:val="00C941CB"/>
    <w:rsid w:val="00CC2357"/>
    <w:rsid w:val="00CF071A"/>
    <w:rsid w:val="00D04204"/>
    <w:rsid w:val="00D058B8"/>
    <w:rsid w:val="00D32DE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833EC"/>
  <w15:chartTrackingRefBased/>
  <w15:docId w15:val="{9B2B7B73-CCDE-4ECE-A8FD-2C69F95B2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883D96"/>
    <w:pPr>
      <w:spacing w:before="480" w:after="240"/>
    </w:pPr>
  </w:style>
  <w:style w:type="paragraph" w:customStyle="1" w:styleId="NormalHanging12a">
    <w:name w:val="NormalHanging12a"/>
    <w:basedOn w:val="Normal"/>
    <w:uiPriority w:val="99"/>
    <w:qFormat/>
    <w:rsid w:val="00883D96"/>
    <w:pPr>
      <w:spacing w:after="240"/>
      <w:ind w:left="567" w:hanging="567"/>
    </w:pPr>
  </w:style>
  <w:style w:type="character" w:styleId="Hyperlink">
    <w:name w:val="Hyperlink"/>
    <w:basedOn w:val="DefaultParagraphFont"/>
    <w:uiPriority w:val="99"/>
    <w:rsid w:val="00883D96"/>
    <w:rPr>
      <w:color w:val="0563C1" w:themeColor="hyperlink"/>
      <w:u w:val="single"/>
    </w:rPr>
  </w:style>
  <w:style w:type="paragraph" w:styleId="NormalWeb">
    <w:name w:val="Normal (Web)"/>
    <w:basedOn w:val="Normal"/>
    <w:uiPriority w:val="99"/>
    <w:unhideWhenUsed/>
    <w:rsid w:val="00883D96"/>
    <w:pPr>
      <w:widowControl/>
      <w:spacing w:before="100" w:beforeAutospacing="1" w:after="100" w:afterAutospacing="1"/>
    </w:pPr>
    <w:rPr>
      <w:szCs w:val="24"/>
    </w:rPr>
  </w:style>
  <w:style w:type="paragraph" w:styleId="Revision">
    <w:name w:val="Revision"/>
    <w:hidden/>
    <w:uiPriority w:val="99"/>
    <w:semiHidden/>
    <w:rsid w:val="00385DF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strategy-and-policy/priorities-2019-2024/european-green-deal/agriculture-and-green-deal/strategic-dialogue-future-eu-agriculture_nl"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nl/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1806</Words>
  <Characters>11033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2026-02-11T12:40:00Z</dcterms:created>
  <dcterms:modified xsi:type="dcterms:W3CDTF">2026-02-11T12:40:00Z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B10-0109/2026</vt:lpwstr>
  </property>
  <property fmtid="{D5CDD505-2E9C-101B-9397-08002B2CF9AE}" pid="4" name="&lt;Type&gt;">
    <vt:lpwstr>RR</vt:lpwstr>
  </property>
</Properties>
</file>