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486C" w14:paraId="641634E3" w14:textId="77777777" w:rsidTr="0010095E">
        <w:trPr>
          <w:trHeight w:hRule="exact" w:val="1418"/>
        </w:trPr>
        <w:tc>
          <w:tcPr>
            <w:tcW w:w="6804" w:type="dxa"/>
            <w:shd w:val="clear" w:color="auto" w:fill="auto"/>
            <w:vAlign w:val="center"/>
          </w:tcPr>
          <w:p w14:paraId="31B5C3ED" w14:textId="03B586C1" w:rsidR="00751A4A" w:rsidRPr="0012486C" w:rsidRDefault="000F2BDB" w:rsidP="0010095E">
            <w:pPr>
              <w:pStyle w:val="EPName"/>
            </w:pPr>
            <w:r w:rsidRPr="0012486C">
              <w:t xml:space="preserve">Parlamento </w:t>
            </w:r>
            <w:proofErr w:type="gramStart"/>
            <w:r w:rsidRPr="0012486C">
              <w:t>Europeu</w:t>
            </w:r>
            <w:proofErr w:type="gramEnd"/>
          </w:p>
          <w:p w14:paraId="252A311E" w14:textId="77777777" w:rsidR="00751A4A" w:rsidRPr="0012486C" w:rsidRDefault="005F1B17" w:rsidP="005F1B17">
            <w:pPr>
              <w:pStyle w:val="EPTerm"/>
              <w:rPr>
                <w:rStyle w:val="HideTWBExt"/>
                <w:noProof w:val="0"/>
                <w:vanish w:val="0"/>
                <w:color w:val="auto"/>
              </w:rPr>
            </w:pPr>
            <w:r w:rsidRPr="0012486C">
              <w:t>2024</w:t>
            </w:r>
            <w:r w:rsidR="00817416" w:rsidRPr="0012486C">
              <w:t>-202</w:t>
            </w:r>
            <w:r w:rsidRPr="0012486C">
              <w:t>9</w:t>
            </w:r>
          </w:p>
        </w:tc>
        <w:tc>
          <w:tcPr>
            <w:tcW w:w="2268" w:type="dxa"/>
            <w:shd w:val="clear" w:color="auto" w:fill="auto"/>
          </w:tcPr>
          <w:p w14:paraId="5EAB1374" w14:textId="77777777" w:rsidR="00751A4A" w:rsidRPr="0012486C" w:rsidRDefault="00187494" w:rsidP="0010095E">
            <w:pPr>
              <w:pStyle w:val="EPLogo"/>
            </w:pPr>
            <w:r w:rsidRPr="0012486C">
              <w:rPr>
                <w:noProof/>
                <w:lang w:eastAsia="ja-JP"/>
              </w:rPr>
              <w:drawing>
                <wp:inline distT="0" distB="0" distL="0" distR="0" wp14:anchorId="49B68458" wp14:editId="7A000D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F7C9F2" w14:textId="77777777" w:rsidR="00D058B8" w:rsidRPr="0012486C" w:rsidRDefault="00D058B8" w:rsidP="004C5D52">
      <w:pPr>
        <w:pStyle w:val="LineTop"/>
      </w:pPr>
    </w:p>
    <w:p w14:paraId="370B2ED1" w14:textId="0D92B411" w:rsidR="00680577" w:rsidRPr="0012486C" w:rsidRDefault="000F2BDB" w:rsidP="00680577">
      <w:pPr>
        <w:pStyle w:val="EPBodyTA1"/>
      </w:pPr>
      <w:r w:rsidRPr="0012486C">
        <w:t>TEXTOS APROVADOS</w:t>
      </w:r>
    </w:p>
    <w:p w14:paraId="430FE2F7" w14:textId="77777777" w:rsidR="00D058B8" w:rsidRPr="0012486C" w:rsidRDefault="00D058B8" w:rsidP="00D058B8">
      <w:pPr>
        <w:pStyle w:val="LineBottom"/>
      </w:pPr>
    </w:p>
    <w:p w14:paraId="216AFB67" w14:textId="44EFA430" w:rsidR="000F2BDB" w:rsidRPr="0012486C" w:rsidRDefault="000F2BDB" w:rsidP="000F2BDB">
      <w:pPr>
        <w:pStyle w:val="ATHeading1"/>
      </w:pPr>
      <w:bookmarkStart w:id="0" w:name="TANumber"/>
      <w:r w:rsidRPr="0012486C">
        <w:t>P10_</w:t>
      </w:r>
      <w:proofErr w:type="gramStart"/>
      <w:r w:rsidRPr="0012486C">
        <w:t>TA(</w:t>
      </w:r>
      <w:proofErr w:type="gramEnd"/>
      <w:r w:rsidRPr="0012486C">
        <w:t>2026)</w:t>
      </w:r>
      <w:bookmarkEnd w:id="0"/>
      <w:r w:rsidR="0012486C" w:rsidRPr="0012486C">
        <w:t>00</w:t>
      </w:r>
      <w:r w:rsidR="0012486C" w:rsidRPr="0012486C">
        <w:t>43</w:t>
      </w:r>
    </w:p>
    <w:p w14:paraId="72E638A0" w14:textId="77777777" w:rsidR="000F2BDB" w:rsidRPr="0012486C" w:rsidRDefault="000F2BDB" w:rsidP="000F2BDB">
      <w:pPr>
        <w:pStyle w:val="ATHeading2"/>
      </w:pPr>
      <w:bookmarkStart w:id="1" w:name="title"/>
      <w:r w:rsidRPr="0012486C">
        <w:t>Algodão geneticamente modificado GHB614 × LLCotton25</w:t>
      </w:r>
      <w:bookmarkEnd w:id="1"/>
    </w:p>
    <w:p w14:paraId="001D8B56" w14:textId="77777777" w:rsidR="000F2BDB" w:rsidRPr="0012486C" w:rsidRDefault="000F2BDB" w:rsidP="000F2BDB">
      <w:pPr>
        <w:rPr>
          <w:i/>
          <w:vanish/>
        </w:rPr>
      </w:pPr>
      <w:r w:rsidRPr="0012486C">
        <w:rPr>
          <w:i/>
        </w:rPr>
        <w:fldChar w:fldCharType="begin"/>
      </w:r>
      <w:r w:rsidRPr="0012486C">
        <w:rPr>
          <w:i/>
        </w:rPr>
        <w:instrText xml:space="preserve"> TC"(</w:instrText>
      </w:r>
      <w:bookmarkStart w:id="2" w:name="DocNumber"/>
      <w:r w:rsidRPr="0012486C">
        <w:rPr>
          <w:i/>
        </w:rPr>
        <w:instrText>B10-0109/2026</w:instrText>
      </w:r>
      <w:bookmarkEnd w:id="2"/>
      <w:r w:rsidRPr="0012486C">
        <w:rPr>
          <w:i/>
        </w:rPr>
        <w:instrText xml:space="preserve">)"\l3 \n&gt; \* MERGEFORMAT </w:instrText>
      </w:r>
      <w:r w:rsidRPr="0012486C">
        <w:rPr>
          <w:i/>
        </w:rPr>
        <w:fldChar w:fldCharType="end"/>
      </w:r>
    </w:p>
    <w:p w14:paraId="4053147D" w14:textId="77777777" w:rsidR="000F2BDB" w:rsidRPr="0012486C" w:rsidRDefault="000F2BDB" w:rsidP="000F2BDB">
      <w:pPr>
        <w:rPr>
          <w:vanish/>
        </w:rPr>
      </w:pPr>
      <w:bookmarkStart w:id="3" w:name="PE"/>
      <w:r w:rsidRPr="0012486C">
        <w:rPr>
          <w:vanish/>
        </w:rPr>
        <w:t>PE782.197</w:t>
      </w:r>
      <w:bookmarkEnd w:id="3"/>
    </w:p>
    <w:p w14:paraId="1F4427AD" w14:textId="6EC67FD8" w:rsidR="000F2BDB" w:rsidRPr="0012486C" w:rsidRDefault="000F2BDB" w:rsidP="000F2BDB">
      <w:pPr>
        <w:pStyle w:val="ATHeading3"/>
      </w:pPr>
      <w:bookmarkStart w:id="4" w:name="Sujet"/>
      <w:r w:rsidRPr="0012486C">
        <w:t xml:space="preserve">Resolução do Parlamento Europeu, de </w:t>
      </w:r>
      <w:r w:rsidR="00656B9D" w:rsidRPr="0012486C">
        <w:t xml:space="preserve">11 </w:t>
      </w:r>
      <w:r w:rsidRPr="0012486C">
        <w:t xml:space="preserve">de </w:t>
      </w:r>
      <w:r w:rsidR="00656B9D" w:rsidRPr="0012486C">
        <w:t xml:space="preserve">fevereiro </w:t>
      </w:r>
      <w:r w:rsidRPr="0012486C">
        <w:t>de 2026, sobre o projeto de decisão de execução da Comissão que renova a autorização de colocação no mercado de produtos que contenham, sejam constituídos por, ou sejam produzidos a partir de algodão geneticamente modificado GHB614 × LLCotton25, nos termos do Regulamento (CE) n.º 1829/2003 do Parlamento Europeu e do Conselho</w:t>
      </w:r>
      <w:bookmarkEnd w:id="4"/>
      <w:r w:rsidRPr="0012486C">
        <w:t xml:space="preserve"> </w:t>
      </w:r>
      <w:bookmarkStart w:id="5" w:name="References"/>
      <w:r w:rsidRPr="0012486C">
        <w:t>(D111476/</w:t>
      </w:r>
      <w:r w:rsidR="00656B9D" w:rsidRPr="0012486C">
        <w:t xml:space="preserve">02 </w:t>
      </w:r>
      <w:r w:rsidRPr="0012486C">
        <w:t>- 2026/2519(RSP))</w:t>
      </w:r>
      <w:bookmarkEnd w:id="5"/>
    </w:p>
    <w:p w14:paraId="7903413C" w14:textId="77777777" w:rsidR="005C1B8E" w:rsidRPr="0012486C" w:rsidRDefault="005C1B8E" w:rsidP="005C1B8E">
      <w:pPr>
        <w:pStyle w:val="EPComma"/>
      </w:pPr>
      <w:bookmarkStart w:id="6" w:name="TextBodyBegin"/>
      <w:bookmarkEnd w:id="6"/>
      <w:r w:rsidRPr="0012486C">
        <w:rPr>
          <w:i/>
          <w:iCs/>
        </w:rPr>
        <w:t>O Parlamento Europeu</w:t>
      </w:r>
      <w:r w:rsidRPr="0012486C">
        <w:t>,</w:t>
      </w:r>
    </w:p>
    <w:p w14:paraId="0CEA96BB" w14:textId="66542CBF" w:rsidR="005C1B8E" w:rsidRPr="0012486C" w:rsidRDefault="005C1B8E" w:rsidP="005C1B8E">
      <w:pPr>
        <w:pStyle w:val="NormalHanging12a"/>
      </w:pPr>
      <w:r w:rsidRPr="0012486C">
        <w:t>–</w:t>
      </w:r>
      <w:r w:rsidRPr="0012486C">
        <w:tab/>
        <w:t>Tendo em conta o projeto de decisão de execução da Comissão que renova a autorização de colocação no mercado de produtos que contenham, sejam constituídos por, ou sejam produzidos a partir de algodão geneticamente modificado GHB614 × LLCotton25, nos termos do Regulamento (CE) n.º 1829/2003 do Parlamento Europeu e do Conselho (D111476/</w:t>
      </w:r>
      <w:r w:rsidR="00656B9D" w:rsidRPr="0012486C">
        <w:t>02</w:t>
      </w:r>
      <w:r w:rsidRPr="0012486C">
        <w:t>),</w:t>
      </w:r>
    </w:p>
    <w:p w14:paraId="1EA54832" w14:textId="77777777" w:rsidR="005C1B8E" w:rsidRPr="0012486C" w:rsidRDefault="005C1B8E" w:rsidP="005C1B8E">
      <w:pPr>
        <w:pStyle w:val="NormalHanging12a"/>
      </w:pPr>
      <w:r w:rsidRPr="0012486C">
        <w:t>–</w:t>
      </w:r>
      <w:r w:rsidRPr="0012486C">
        <w:tab/>
        <w:t>Tendo em conta o Regulamento (CE) n.º 1829/2003 do Parlamento Europeu e do Conselho, de 22 de setembro de 2003, relativo a géneros alimentícios e alimentos para animais geneticamente modificados</w:t>
      </w:r>
      <w:r w:rsidRPr="0012486C">
        <w:rPr>
          <w:vertAlign w:val="superscript"/>
        </w:rPr>
        <w:footnoteReference w:id="1"/>
      </w:r>
      <w:r w:rsidRPr="0012486C">
        <w:t>, nomeadamente o artigo 11.º, n.º 3, e o artigo 23.º, n.º 3,</w:t>
      </w:r>
    </w:p>
    <w:p w14:paraId="45CF6BD9" w14:textId="2FAA1FC2" w:rsidR="005C1B8E" w:rsidRPr="0012486C" w:rsidRDefault="005C1B8E" w:rsidP="005C1B8E">
      <w:pPr>
        <w:pStyle w:val="NormalHanging12a"/>
      </w:pPr>
      <w:r w:rsidRPr="0012486C">
        <w:t>–</w:t>
      </w:r>
      <w:r w:rsidRPr="0012486C">
        <w:tab/>
        <w:t xml:space="preserve">Tendo em conta a votação de 12 de dezembro de 2025 no </w:t>
      </w:r>
      <w:bookmarkStart w:id="7" w:name="_Hlk210664905"/>
      <w:r w:rsidRPr="0012486C">
        <w:t>Comité Permanente dos Vegetais, Animais e Alimentos para Consumo Humano e Animal</w:t>
      </w:r>
      <w:bookmarkEnd w:id="7"/>
      <w:r w:rsidRPr="0012486C">
        <w:t xml:space="preserve">, referido no </w:t>
      </w:r>
      <w:r w:rsidR="00656B9D" w:rsidRPr="0012486C">
        <w:t>artigo </w:t>
      </w:r>
      <w:r w:rsidRPr="0012486C">
        <w:t xml:space="preserve">35.º do Regulamento (CE) n.º 1829/2003, na qual não foi emitido parecer, </w:t>
      </w:r>
      <w:r w:rsidR="00656B9D" w:rsidRPr="0012486C">
        <w:t>bem como a votação do Comité de Recurso realizada em 27 de janeiro de 2026, no âmbito da qual também não foi emitido nenhum parecer,</w:t>
      </w:r>
    </w:p>
    <w:p w14:paraId="41693AD3" w14:textId="77777777" w:rsidR="005C1B8E" w:rsidRPr="0012486C" w:rsidRDefault="005C1B8E" w:rsidP="005C1B8E">
      <w:pPr>
        <w:pStyle w:val="NormalHanging12a"/>
      </w:pPr>
      <w:r w:rsidRPr="0012486C">
        <w:t>–</w:t>
      </w:r>
      <w:r w:rsidRPr="0012486C">
        <w:tab/>
        <w:t>Tendo em conta o artigo 11.º do Regulamento (UE) n.º 182/2011 do Parlamento Europeu e do Conselho, de 16 de fevereiro de 2011, que estabelece as regras e os princípios gerais relativos aos mecanismos de controlo pelos Estados</w:t>
      </w:r>
      <w:r w:rsidRPr="0012486C">
        <w:noBreakHyphen/>
        <w:t>Membros do exercício das competências de execução pela Comissão</w:t>
      </w:r>
      <w:r w:rsidRPr="0012486C">
        <w:rPr>
          <w:vertAlign w:val="superscript"/>
        </w:rPr>
        <w:footnoteReference w:id="2"/>
      </w:r>
      <w:r w:rsidRPr="0012486C">
        <w:t>,</w:t>
      </w:r>
    </w:p>
    <w:p w14:paraId="7D028611" w14:textId="77777777" w:rsidR="005C1B8E" w:rsidRPr="0012486C" w:rsidRDefault="005C1B8E" w:rsidP="005C1B8E">
      <w:pPr>
        <w:pStyle w:val="NormalHanging12a"/>
      </w:pPr>
      <w:r w:rsidRPr="0012486C">
        <w:t>–</w:t>
      </w:r>
      <w:r w:rsidRPr="0012486C">
        <w:tab/>
        <w:t xml:space="preserve">Tendo em conta o parecer adotado pela Autoridade Europeia para a Segurança dos </w:t>
      </w:r>
      <w:r w:rsidRPr="0012486C">
        <w:lastRenderedPageBreak/>
        <w:t>Alimentos (EFSA), em 30 de junho de 2025, e publicado em 7 de agosto de 2025</w:t>
      </w:r>
      <w:r w:rsidRPr="0012486C">
        <w:rPr>
          <w:vertAlign w:val="superscript"/>
        </w:rPr>
        <w:footnoteReference w:id="3"/>
      </w:r>
      <w:r w:rsidRPr="0012486C">
        <w:t>,</w:t>
      </w:r>
    </w:p>
    <w:p w14:paraId="64DE3D13" w14:textId="77777777" w:rsidR="005C1B8E" w:rsidRPr="0012486C" w:rsidRDefault="005C1B8E" w:rsidP="005C1B8E">
      <w:pPr>
        <w:pStyle w:val="NormalHanging12a"/>
      </w:pPr>
      <w:r w:rsidRPr="0012486C">
        <w:t>–</w:t>
      </w:r>
      <w:r w:rsidRPr="0012486C">
        <w:tab/>
        <w:t>Tendo em conta as suas anteriores resoluções em que se opôs à autorização de organismos geneticamente modificados («OGM»)</w:t>
      </w:r>
      <w:bookmarkStart w:id="9" w:name="_Hlk210666451"/>
      <w:r w:rsidRPr="0012486C">
        <w:rPr>
          <w:vertAlign w:val="superscript"/>
        </w:rPr>
        <w:footnoteReference w:id="4"/>
      </w:r>
      <w:bookmarkEnd w:id="9"/>
      <w:r w:rsidRPr="0012486C">
        <w:t xml:space="preserve">, </w:t>
      </w:r>
    </w:p>
    <w:p w14:paraId="3CD9E854" w14:textId="77777777" w:rsidR="005C1B8E" w:rsidRPr="0012486C" w:rsidRDefault="005C1B8E" w:rsidP="005C1B8E">
      <w:pPr>
        <w:pStyle w:val="NormalHanging12a"/>
      </w:pPr>
      <w:r w:rsidRPr="0012486C">
        <w:lastRenderedPageBreak/>
        <w:t>–</w:t>
      </w:r>
      <w:r w:rsidRPr="0012486C">
        <w:tab/>
        <w:t xml:space="preserve">Tendo em conta o artigo 115.º, </w:t>
      </w:r>
      <w:proofErr w:type="spellStart"/>
      <w:proofErr w:type="gramStart"/>
      <w:r w:rsidRPr="0012486C">
        <w:t>n.</w:t>
      </w:r>
      <w:r w:rsidRPr="0012486C">
        <w:rPr>
          <w:vertAlign w:val="superscript"/>
        </w:rPr>
        <w:t>os</w:t>
      </w:r>
      <w:proofErr w:type="spellEnd"/>
      <w:proofErr w:type="gramEnd"/>
      <w:r w:rsidRPr="0012486C">
        <w:t xml:space="preserve"> 2 e 3, do seu Regimento,</w:t>
      </w:r>
    </w:p>
    <w:p w14:paraId="0EB2C3F9" w14:textId="77777777" w:rsidR="005C1B8E" w:rsidRPr="0012486C" w:rsidRDefault="005C1B8E" w:rsidP="005C1B8E">
      <w:pPr>
        <w:pStyle w:val="NormalHanging12a"/>
      </w:pPr>
      <w:r w:rsidRPr="0012486C">
        <w:t>–</w:t>
      </w:r>
      <w:r w:rsidRPr="0012486C">
        <w:tab/>
        <w:t>Tendo em conta a proposta de resolução da Comissão do Ambiente, do Clima e da Segurança Alimentar,</w:t>
      </w:r>
    </w:p>
    <w:p w14:paraId="7B14D8AF" w14:textId="77777777" w:rsidR="005C1B8E" w:rsidRPr="0012486C" w:rsidRDefault="005C1B8E" w:rsidP="005C1B8E">
      <w:pPr>
        <w:pStyle w:val="NormalHanging12a"/>
        <w:ind w:hanging="570"/>
      </w:pPr>
      <w:r w:rsidRPr="0012486C">
        <w:t>A.</w:t>
      </w:r>
      <w:r w:rsidRPr="0012486C">
        <w:tab/>
        <w:t>Considerando que a Decisão de Execução (UE) 2015/690</w:t>
      </w:r>
      <w:r w:rsidRPr="0012486C">
        <w:rPr>
          <w:rStyle w:val="FootnoteReference"/>
        </w:rPr>
        <w:footnoteReference w:id="5"/>
      </w:r>
      <w:r w:rsidRPr="0012486C">
        <w:t xml:space="preserve"> da Comissão autorizou a colocação no mercado de géneros alimentícios e alimentos para animais que contenham, sejam constituídos por, ou produzidos a partir de algodão geneticamente modificado GHB614 × LLCotton25 (doravante designado por «algodão GM»); que o âmbito de aplicação dessa autorização abrange igualmente a colocação no mercado de produtos que não sejam géneros alimentícios nem alimentos para animais que contenham ou </w:t>
      </w:r>
      <w:r w:rsidRPr="0012486C">
        <w:lastRenderedPageBreak/>
        <w:t>sejam constituídos por algodão GM e se destinem às utilizações habituais de qualquer outro algodão, com exceção do cultivo;</w:t>
      </w:r>
    </w:p>
    <w:p w14:paraId="69C99860" w14:textId="77777777" w:rsidR="005C1B8E" w:rsidRPr="0012486C" w:rsidRDefault="005C1B8E" w:rsidP="005C1B8E">
      <w:pPr>
        <w:pStyle w:val="NormalHanging12a"/>
        <w:ind w:hanging="570"/>
      </w:pPr>
      <w:bookmarkStart w:id="10" w:name="_Hlk218675754"/>
      <w:r w:rsidRPr="0012486C">
        <w:t>B.</w:t>
      </w:r>
      <w:r w:rsidRPr="0012486C">
        <w:tab/>
        <w:t xml:space="preserve">Considerando que, em 22 de março de 2024, a </w:t>
      </w:r>
      <w:r w:rsidRPr="0012486C">
        <w:rPr>
          <w:snapToGrid w:val="0"/>
        </w:rPr>
        <w:t>BASF SE, sediada na Alemanha</w:t>
      </w:r>
      <w:r w:rsidRPr="0012486C">
        <w:t xml:space="preserve">, apresentou à Comissão, em nome da empresa BASF </w:t>
      </w:r>
      <w:proofErr w:type="spellStart"/>
      <w:r w:rsidRPr="0012486C">
        <w:t>Agricultural</w:t>
      </w:r>
      <w:proofErr w:type="spellEnd"/>
      <w:r w:rsidRPr="0012486C">
        <w:t xml:space="preserve"> </w:t>
      </w:r>
      <w:proofErr w:type="spellStart"/>
      <w:r w:rsidRPr="0012486C">
        <w:t>Solutions</w:t>
      </w:r>
      <w:proofErr w:type="spellEnd"/>
      <w:r w:rsidRPr="0012486C">
        <w:t xml:space="preserve"> </w:t>
      </w:r>
      <w:proofErr w:type="spellStart"/>
      <w:r w:rsidRPr="0012486C">
        <w:t>Seed</w:t>
      </w:r>
      <w:proofErr w:type="spellEnd"/>
      <w:r w:rsidRPr="0012486C">
        <w:t xml:space="preserve"> US LLC, sediada nos Estados Unidos, um pedido para a renovação dessa autorização;</w:t>
      </w:r>
    </w:p>
    <w:p w14:paraId="75E77CCE" w14:textId="77777777" w:rsidR="005C1B8E" w:rsidRPr="0012486C" w:rsidRDefault="005C1B8E" w:rsidP="005C1B8E">
      <w:pPr>
        <w:pStyle w:val="NormalHanging12a"/>
        <w:ind w:hanging="570"/>
      </w:pPr>
      <w:r w:rsidRPr="0012486C">
        <w:t>C.</w:t>
      </w:r>
      <w:r w:rsidRPr="0012486C">
        <w:tab/>
        <w:t>Considerando que, em 7 de agosto de 2025, a EFSA emitiu um parecer científico favorável sobre o algodão GM, em conformidade com os artigos 11.º e 23.º do Regulamento (CE) n.º 1829/2003, em que concluiu que não existiam, no pedido de renovação, elementos de prova de novos perigos, modificação da exposição ou incertezas científicas que pudessem alterar as conclusões da avaliação dos riscos inicial relativa ao algodão GM, adotada pela EFSA em 2014</w:t>
      </w:r>
      <w:r w:rsidRPr="0012486C">
        <w:rPr>
          <w:rStyle w:val="FootnoteReference"/>
        </w:rPr>
        <w:footnoteReference w:id="6"/>
      </w:r>
      <w:r w:rsidRPr="0012486C">
        <w:t>; que esses pareceres não versaram sobre vários impactos ambientais, socioeconómicos e cumulativos mais vastos, que a EFSA considera não serem da sua competência;</w:t>
      </w:r>
    </w:p>
    <w:p w14:paraId="4CABD42F" w14:textId="77777777" w:rsidR="005C1B8E" w:rsidRPr="0012486C" w:rsidRDefault="005C1B8E" w:rsidP="005C1B8E">
      <w:pPr>
        <w:pStyle w:val="NormalHanging12a"/>
      </w:pPr>
      <w:r w:rsidRPr="0012486C">
        <w:t>D.</w:t>
      </w:r>
      <w:r w:rsidRPr="0012486C">
        <w:tab/>
        <w:t xml:space="preserve">Considerando que o algodão geneticamente modificado foi desenvolvido para ser tolerante ao glifosato e ao </w:t>
      </w:r>
      <w:proofErr w:type="spellStart"/>
      <w:r w:rsidRPr="0012486C">
        <w:t>glufosinato</w:t>
      </w:r>
      <w:proofErr w:type="spellEnd"/>
      <w:r w:rsidRPr="0012486C">
        <w:t xml:space="preserve">; </w:t>
      </w:r>
    </w:p>
    <w:bookmarkEnd w:id="10"/>
    <w:p w14:paraId="76F7F7E5" w14:textId="77777777" w:rsidR="005C1B8E" w:rsidRPr="0012486C" w:rsidRDefault="005C1B8E" w:rsidP="005C1B8E">
      <w:pPr>
        <w:pStyle w:val="NormalHanging12a"/>
      </w:pPr>
      <w:r w:rsidRPr="0012486C">
        <w:t>E.</w:t>
      </w:r>
      <w:r w:rsidRPr="0012486C">
        <w:tab/>
        <w:t>Considerando que as avaliações dos riscos efetuadas pela EFSA não incluíram estudos toxicológicos a longo prazo nem uma análise pormenorizada dos efeitos cumulativos e combinatórios, incluindo interações potenciais com resíduos de pesticidas comummente utilizados no cultivo do algodão;</w:t>
      </w:r>
    </w:p>
    <w:p w14:paraId="21EE10D1" w14:textId="77777777" w:rsidR="005C1B8E" w:rsidRPr="0012486C" w:rsidRDefault="005C1B8E" w:rsidP="005C1B8E">
      <w:pPr>
        <w:pStyle w:val="NormalHanging12a"/>
        <w:rPr>
          <w:color w:val="000000" w:themeColor="text1"/>
          <w:szCs w:val="24"/>
        </w:rPr>
      </w:pPr>
      <w:r w:rsidRPr="0012486C">
        <w:rPr>
          <w:color w:val="000000" w:themeColor="text1"/>
        </w:rPr>
        <w:t>F.</w:t>
      </w:r>
      <w:r w:rsidRPr="0012486C">
        <w:rPr>
          <w:color w:val="000000" w:themeColor="text1"/>
        </w:rPr>
        <w:tab/>
      </w:r>
      <w:r w:rsidRPr="0012486C">
        <w:t xml:space="preserve">Considerando que a grande maioria das culturas GM, incluindo o algodão GM, foi geneticamente modificada para ser tolerante a um ou mais herbicidas «complementares», que podem ser utilizados ao longo de todo o cultivo da cultura GM sem causar a sua morte, como aconteceria com uma cultura que não tolera herbicidas; </w:t>
      </w:r>
      <w:r w:rsidRPr="0012486C">
        <w:rPr>
          <w:color w:val="000000" w:themeColor="text1"/>
        </w:rPr>
        <w:t>que vários estudos demonstram que as culturas GM tolerantes a herbicidas resultam numa maior utilização de herbicidas complementares, em grande medida devido ao aparecimento de ervas daninhas tolerantes a herbicidas</w:t>
      </w:r>
      <w:r w:rsidRPr="0012486C">
        <w:rPr>
          <w:rStyle w:val="FootnoteReference"/>
          <w:color w:val="000000" w:themeColor="text1"/>
          <w:szCs w:val="24"/>
        </w:rPr>
        <w:footnoteReference w:id="7"/>
      </w:r>
      <w:r w:rsidRPr="0012486C">
        <w:rPr>
          <w:color w:val="000000" w:themeColor="text1"/>
        </w:rPr>
        <w:t>;</w:t>
      </w:r>
    </w:p>
    <w:p w14:paraId="4507E8E2" w14:textId="77777777" w:rsidR="005C1B8E" w:rsidRPr="0012486C" w:rsidRDefault="005C1B8E" w:rsidP="005C1B8E">
      <w:pPr>
        <w:spacing w:after="240"/>
        <w:ind w:left="567" w:hanging="567"/>
        <w:rPr>
          <w:color w:val="000000" w:themeColor="text1"/>
          <w:szCs w:val="24"/>
        </w:rPr>
      </w:pPr>
      <w:r w:rsidRPr="0012486C">
        <w:t>G.</w:t>
      </w:r>
      <w:r w:rsidRPr="0012486C">
        <w:tab/>
        <w:t xml:space="preserve">Considerando que </w:t>
      </w:r>
      <w:r w:rsidRPr="0012486C">
        <w:rPr>
          <w:color w:val="000000" w:themeColor="text1"/>
        </w:rPr>
        <w:t xml:space="preserve">as culturas GM tolerantes aos herbicidas vinculam os agricultores a um sistema de gestão de ervas daninhas que depende, em grande parte ou totalmente, dos herbicidas, sendo cobrado um preço superior pelas sementes GM, o que só se justifica se os agricultores que compram essas sementes também recorrerem à </w:t>
      </w:r>
      <w:r w:rsidRPr="0012486C">
        <w:rPr>
          <w:color w:val="000000" w:themeColor="text1"/>
        </w:rPr>
        <w:lastRenderedPageBreak/>
        <w:t>pulverização com herbicidas complementares; que uma maior dependência dos herbicidas complementares nas explorações dedicadas à cultura de algodão GM acelerará o aparecimento e a propagação de ervas daninhas resistentes a esses herbicidas, desencadeando, assim, a necessidade de uma utilização ainda maior de herbicidas, conhecida como «círculo vicioso dos herbicidas»; que, consequentemente, os impactos adversos decorrentes da dependência excessiva dos herbicidas piorarão a saúde dos solos, a qualidade da água e a biodiversidade por cima e por baixo do solo, bem como resultarão num aumento da exposição dos seres humanos e dos animais, potencialmente também através do aumento dos resíduos de herbicidas nos géneros alimentícios e nos alimentos para animais</w:t>
      </w:r>
      <w:r w:rsidRPr="0012486C">
        <w:rPr>
          <w:rStyle w:val="FootnoteReference"/>
          <w:color w:val="000000" w:themeColor="text1"/>
          <w:szCs w:val="24"/>
        </w:rPr>
        <w:footnoteReference w:id="8"/>
      </w:r>
      <w:r w:rsidRPr="0012486C">
        <w:rPr>
          <w:color w:val="000000" w:themeColor="text1"/>
        </w:rPr>
        <w:t>;</w:t>
      </w:r>
    </w:p>
    <w:p w14:paraId="5B7E0077" w14:textId="77777777" w:rsidR="005C1B8E" w:rsidRPr="0012486C" w:rsidRDefault="005C1B8E" w:rsidP="005C1B8E">
      <w:pPr>
        <w:pStyle w:val="NormalWeb"/>
        <w:widowControl w:val="0"/>
        <w:spacing w:before="0" w:beforeAutospacing="0" w:after="240" w:afterAutospacing="0"/>
        <w:ind w:left="567" w:hanging="567"/>
      </w:pPr>
      <w:r w:rsidRPr="0012486C">
        <w:t>H.</w:t>
      </w:r>
      <w:r w:rsidRPr="0012486C">
        <w:tab/>
        <w:t xml:space="preserve">Considerando que o </w:t>
      </w:r>
      <w:proofErr w:type="spellStart"/>
      <w:r w:rsidRPr="0012486C">
        <w:t>glufosinato</w:t>
      </w:r>
      <w:proofErr w:type="spellEnd"/>
      <w:r w:rsidRPr="0012486C">
        <w:t xml:space="preserve"> está classificado como substância tóxica para a reprodução na categoria 1B e, por conseguinte, cumpre os «critérios de exclusão» estabelecidos no Regulamento (CE) n.º 1107/2009 do Parlamento Europeu e do Conselho</w:t>
      </w:r>
      <w:r w:rsidRPr="0012486C">
        <w:rPr>
          <w:rStyle w:val="FootnoteReference"/>
        </w:rPr>
        <w:footnoteReference w:id="9"/>
      </w:r>
      <w:r w:rsidRPr="0012486C">
        <w:t xml:space="preserve">; que a aprovação do </w:t>
      </w:r>
      <w:proofErr w:type="spellStart"/>
      <w:r w:rsidRPr="0012486C">
        <w:t>glufosinato</w:t>
      </w:r>
      <w:proofErr w:type="spellEnd"/>
      <w:r w:rsidRPr="0012486C">
        <w:t xml:space="preserve"> para utilização na União expirou em 31 de julho de 2018;</w:t>
      </w:r>
    </w:p>
    <w:p w14:paraId="0BE4B152" w14:textId="2C9129B3" w:rsidR="005C1B8E" w:rsidRPr="0012486C" w:rsidRDefault="005C1B8E" w:rsidP="005C1B8E">
      <w:pPr>
        <w:pStyle w:val="NormalHanging12a"/>
      </w:pPr>
      <w:r w:rsidRPr="0012486C">
        <w:t>I.</w:t>
      </w:r>
      <w:r w:rsidRPr="0012486C">
        <w:tab/>
        <w:t>Considerando que subsistem questões sérias sobre o potencial carcinogénico do glifosato; que, em novembro de 2015, a EFSA concluiu que era improvável que o glifosato fosse cancerígeno e que, em março de 2017, a Agência Europeia dos Produtos Químicos concluiu que não se justificava a sua classificação como tal; que, pelo contrário, em 2015, o Centro Internacional de Investigação do Cancro, a agência da Organização Mundial da Saúde especializada nessa doença, classificou o glifosato como provavelmente cancerígeno para o ser humano; que vários estudos científicos recentes, revistos por pares, confirmam o potencial carcinogénico do glifosato</w:t>
      </w:r>
      <w:r w:rsidRPr="0012486C">
        <w:rPr>
          <w:rStyle w:val="FootnoteReference"/>
        </w:rPr>
        <w:footnoteReference w:id="10"/>
      </w:r>
      <w:r w:rsidRPr="0012486C">
        <w:t xml:space="preserve">; </w:t>
      </w:r>
      <w:bookmarkStart w:id="12" w:name="_Hlk218688545"/>
      <w:r w:rsidRPr="0012486C">
        <w:t>que a revista «</w:t>
      </w:r>
      <w:proofErr w:type="spellStart"/>
      <w:r w:rsidRPr="0012486C">
        <w:t>Regulatory</w:t>
      </w:r>
      <w:proofErr w:type="spellEnd"/>
      <w:r w:rsidRPr="0012486C">
        <w:t xml:space="preserve"> </w:t>
      </w:r>
      <w:proofErr w:type="spellStart"/>
      <w:r w:rsidRPr="0012486C">
        <w:t>Toxicology</w:t>
      </w:r>
      <w:proofErr w:type="spellEnd"/>
      <w:r w:rsidRPr="0012486C">
        <w:t xml:space="preserve"> </w:t>
      </w:r>
      <w:proofErr w:type="spellStart"/>
      <w:r w:rsidRPr="0012486C">
        <w:t>and</w:t>
      </w:r>
      <w:proofErr w:type="spellEnd"/>
      <w:r w:rsidRPr="0012486C">
        <w:t xml:space="preserve"> </w:t>
      </w:r>
      <w:proofErr w:type="spellStart"/>
      <w:r w:rsidRPr="0012486C">
        <w:t>Pharmacology</w:t>
      </w:r>
      <w:proofErr w:type="spellEnd"/>
      <w:r w:rsidRPr="0012486C">
        <w:t>» retirou formalmente o artigo científico «</w:t>
      </w:r>
      <w:proofErr w:type="spellStart"/>
      <w:r w:rsidRPr="0012486C">
        <w:t>Safety</w:t>
      </w:r>
      <w:proofErr w:type="spellEnd"/>
      <w:r w:rsidRPr="0012486C">
        <w:t xml:space="preserve"> </w:t>
      </w:r>
      <w:proofErr w:type="spellStart"/>
      <w:r w:rsidRPr="0012486C">
        <w:t>Evaluation</w:t>
      </w:r>
      <w:proofErr w:type="spellEnd"/>
      <w:r w:rsidRPr="0012486C">
        <w:t xml:space="preserve"> </w:t>
      </w:r>
      <w:proofErr w:type="spellStart"/>
      <w:r w:rsidRPr="0012486C">
        <w:t>and</w:t>
      </w:r>
      <w:proofErr w:type="spellEnd"/>
      <w:r w:rsidRPr="0012486C">
        <w:t xml:space="preserve"> </w:t>
      </w:r>
      <w:proofErr w:type="spellStart"/>
      <w:r w:rsidRPr="0012486C">
        <w:t>Risk</w:t>
      </w:r>
      <w:proofErr w:type="spellEnd"/>
      <w:r w:rsidRPr="0012486C">
        <w:t xml:space="preserve"> </w:t>
      </w:r>
      <w:proofErr w:type="spellStart"/>
      <w:r w:rsidRPr="0012486C">
        <w:t>Assessment</w:t>
      </w:r>
      <w:proofErr w:type="spellEnd"/>
      <w:r w:rsidRPr="0012486C">
        <w:t xml:space="preserve"> </w:t>
      </w:r>
      <w:proofErr w:type="spellStart"/>
      <w:r w:rsidRPr="0012486C">
        <w:t>of</w:t>
      </w:r>
      <w:proofErr w:type="spellEnd"/>
      <w:r w:rsidRPr="0012486C">
        <w:t xml:space="preserve"> the </w:t>
      </w:r>
      <w:proofErr w:type="spellStart"/>
      <w:r w:rsidRPr="0012486C">
        <w:t>Herbicide</w:t>
      </w:r>
      <w:proofErr w:type="spellEnd"/>
      <w:r w:rsidRPr="0012486C">
        <w:t xml:space="preserve"> </w:t>
      </w:r>
      <w:proofErr w:type="spellStart"/>
      <w:r w:rsidRPr="0012486C">
        <w:t>Roundup</w:t>
      </w:r>
      <w:proofErr w:type="spellEnd"/>
      <w:r w:rsidRPr="0012486C">
        <w:t xml:space="preserve"> </w:t>
      </w:r>
      <w:proofErr w:type="spellStart"/>
      <w:r w:rsidRPr="0012486C">
        <w:t>and</w:t>
      </w:r>
      <w:proofErr w:type="spellEnd"/>
      <w:r w:rsidRPr="0012486C">
        <w:t xml:space="preserve"> </w:t>
      </w:r>
      <w:proofErr w:type="spellStart"/>
      <w:r w:rsidRPr="0012486C">
        <w:t>Its</w:t>
      </w:r>
      <w:proofErr w:type="spellEnd"/>
      <w:r w:rsidRPr="0012486C">
        <w:t xml:space="preserve"> Active </w:t>
      </w:r>
      <w:proofErr w:type="spellStart"/>
      <w:r w:rsidRPr="0012486C">
        <w:t>Ingredient</w:t>
      </w:r>
      <w:proofErr w:type="spellEnd"/>
      <w:r w:rsidRPr="0012486C">
        <w:t xml:space="preserve">, </w:t>
      </w:r>
      <w:proofErr w:type="spellStart"/>
      <w:r w:rsidRPr="0012486C">
        <w:t>Glyphosate</w:t>
      </w:r>
      <w:proofErr w:type="spellEnd"/>
      <w:r w:rsidRPr="0012486C">
        <w:t xml:space="preserve">, for </w:t>
      </w:r>
      <w:proofErr w:type="spellStart"/>
      <w:r w:rsidRPr="0012486C">
        <w:t>Humans</w:t>
      </w:r>
      <w:proofErr w:type="spellEnd"/>
      <w:r w:rsidRPr="0012486C">
        <w:t xml:space="preserve">» [Avaliação da segurança e dos riscos do herbicida </w:t>
      </w:r>
      <w:proofErr w:type="spellStart"/>
      <w:r w:rsidRPr="0012486C">
        <w:t>Roundup</w:t>
      </w:r>
      <w:proofErr w:type="spellEnd"/>
      <w:r w:rsidRPr="0012486C">
        <w:t xml:space="preserve"> e do seu ingrediente ativo, o glifosato, para os seres humanos], publicado </w:t>
      </w:r>
      <w:r w:rsidR="00656B9D" w:rsidRPr="0012486C">
        <w:t>em </w:t>
      </w:r>
      <w:r w:rsidRPr="0012486C">
        <w:t>2000, que foi utilizado para defender a segurança do glifosato em muitas avaliações de risco, uma vez que «foram manifestadas preocupações quanto à sua autoria, à validade dos resultados da investigação no contexto da apresentação errada das contribuições pelos autores e pelo patrocinador do estudo e aos potenciais conflitos de interesses dos autores»</w:t>
      </w:r>
      <w:r w:rsidRPr="0012486C">
        <w:rPr>
          <w:rStyle w:val="FootnoteReference"/>
        </w:rPr>
        <w:footnoteReference w:id="11"/>
      </w:r>
      <w:r w:rsidRPr="0012486C">
        <w:t>;</w:t>
      </w:r>
      <w:bookmarkEnd w:id="12"/>
    </w:p>
    <w:p w14:paraId="5F735354" w14:textId="77777777" w:rsidR="005C1B8E" w:rsidRPr="0012486C" w:rsidRDefault="005C1B8E" w:rsidP="005C1B8E">
      <w:pPr>
        <w:pStyle w:val="NormalHanging12a"/>
      </w:pPr>
      <w:r w:rsidRPr="0012486C">
        <w:t>J.</w:t>
      </w:r>
      <w:r w:rsidRPr="0012486C">
        <w:tab/>
        <w:t xml:space="preserve">Considerando que a monitorização e a vigilância independentes dos potenciais efeitos adversos na biodiversidade, na saúde dos solos, nos polinizadores e nos organismos não </w:t>
      </w:r>
      <w:r w:rsidRPr="0012486C">
        <w:lastRenderedPageBreak/>
        <w:t>visados continuam a ser insuficientemente garantidas;</w:t>
      </w:r>
    </w:p>
    <w:p w14:paraId="6650B4B9" w14:textId="77777777" w:rsidR="005C1B8E" w:rsidRPr="0012486C" w:rsidRDefault="005C1B8E" w:rsidP="005C1B8E">
      <w:pPr>
        <w:spacing w:after="240"/>
        <w:ind w:left="567" w:hanging="567"/>
      </w:pPr>
      <w:r w:rsidRPr="0012486C">
        <w:t>K.</w:t>
      </w:r>
      <w:r w:rsidRPr="0012486C">
        <w:tab/>
        <w:t>Considerando que o princípio da precaução, consagrado no artigo 191.º do Tratado sobre o Funcionamento da União Europeia, deve ser aplicado nos casos de incerteza científica;</w:t>
      </w:r>
    </w:p>
    <w:p w14:paraId="41321D09" w14:textId="77777777" w:rsidR="005C1B8E" w:rsidRPr="0012486C" w:rsidRDefault="005C1B8E" w:rsidP="005C1B8E">
      <w:pPr>
        <w:spacing w:after="240"/>
        <w:ind w:left="567" w:hanging="567"/>
      </w:pPr>
      <w:r w:rsidRPr="0012486C">
        <w:t>L.</w:t>
      </w:r>
      <w:r w:rsidRPr="0012486C">
        <w:tab/>
        <w:t>Considerando que o Regulamento (CE) n.º 1829/2003 exige que os géneros alimentícios e os alimentos para animais GM não tenham efeitos nocivos para a saúde humana, a saúde animal ou o ambiente;</w:t>
      </w:r>
    </w:p>
    <w:p w14:paraId="3A90B777" w14:textId="77777777" w:rsidR="005C1B8E" w:rsidRPr="0012486C" w:rsidRDefault="005C1B8E" w:rsidP="005C1B8E">
      <w:pPr>
        <w:pStyle w:val="NormalWeb"/>
        <w:widowControl w:val="0"/>
        <w:spacing w:before="0" w:beforeAutospacing="0" w:after="240" w:afterAutospacing="0"/>
        <w:ind w:left="567" w:hanging="567"/>
      </w:pPr>
      <w:r w:rsidRPr="0012486C">
        <w:t>M.</w:t>
      </w:r>
      <w:r w:rsidRPr="0012486C">
        <w:tab/>
        <w:t>Considerando que a renovação da autorização do algodão GM pela União não seria coerente com os compromissos internacionais em matéria de redução dos pesticidas</w:t>
      </w:r>
      <w:r w:rsidRPr="0012486C">
        <w:rPr>
          <w:vertAlign w:val="superscript"/>
        </w:rPr>
        <w:footnoteReference w:id="12"/>
      </w:r>
      <w:r w:rsidRPr="0012486C">
        <w:t xml:space="preserve">, dado o aumento da exposição humana, animal e ambiental ao glifosato e ao </w:t>
      </w:r>
      <w:proofErr w:type="spellStart"/>
      <w:r w:rsidRPr="0012486C">
        <w:t>glufosinato</w:t>
      </w:r>
      <w:proofErr w:type="spellEnd"/>
      <w:r w:rsidRPr="0012486C">
        <w:t xml:space="preserve"> nos países que cultivam esta cultura geneticamente modificada, tolerante aos herbicidas, além dos efeitos associados, potencialmente graves, na saúde;</w:t>
      </w:r>
    </w:p>
    <w:p w14:paraId="5CDB17DC" w14:textId="77777777" w:rsidR="005C1B8E" w:rsidRPr="0012486C" w:rsidRDefault="005C1B8E" w:rsidP="005C1B8E">
      <w:pPr>
        <w:spacing w:after="240"/>
        <w:ind w:left="567" w:hanging="567"/>
      </w:pPr>
      <w:r w:rsidRPr="0012486C">
        <w:t>N.</w:t>
      </w:r>
      <w:r w:rsidRPr="0012486C">
        <w:tab/>
        <w:t>Considerando que a decisão de execução da Comissão continuaria a permitir a importação para a União de produtos que não cumprem as normas respeitadas pelos agricultores da União, colocando</w:t>
      </w:r>
      <w:r w:rsidRPr="0012486C">
        <w:noBreakHyphen/>
        <w:t>os, assim, em desvantagem concorrencial;</w:t>
      </w:r>
    </w:p>
    <w:p w14:paraId="5C2F45A3" w14:textId="77777777" w:rsidR="005C1B8E" w:rsidRPr="0012486C" w:rsidRDefault="005C1B8E" w:rsidP="005C1B8E">
      <w:pPr>
        <w:spacing w:after="240"/>
        <w:ind w:left="567" w:hanging="567"/>
      </w:pPr>
      <w:r w:rsidRPr="0012486C">
        <w:t>O.</w:t>
      </w:r>
      <w:r w:rsidRPr="0012486C">
        <w:tab/>
        <w:t>Considerando que as conclusões do Diálogo Estratégico sobre o Futuro da Agricultura na UE</w:t>
      </w:r>
      <w:r w:rsidRPr="0012486C">
        <w:rPr>
          <w:rStyle w:val="FootnoteReference"/>
        </w:rPr>
        <w:footnoteReference w:id="13"/>
      </w:r>
      <w:r w:rsidRPr="0012486C">
        <w:t xml:space="preserve"> instam a Comissão a reavaliar a sua abordagem relativamente ao acesso ao mercado das importações e exportações de produtos agroalimentares, tendo em conta o problema das divergências entre as normas da União e as dos seus parceiros comerciais; que relações comerciais mais justas a nível mundial e coerentes com os objetivos relativos a um ambiente saudável foram uma das principais reivindicações dos agricultores durante as manifestações de 2023, 2024 e 2025;</w:t>
      </w:r>
    </w:p>
    <w:p w14:paraId="1C8F5B94" w14:textId="77777777" w:rsidR="005C1B8E" w:rsidRPr="0012486C" w:rsidRDefault="005C1B8E" w:rsidP="005C1B8E">
      <w:pPr>
        <w:spacing w:after="240"/>
        <w:ind w:left="567" w:hanging="567"/>
      </w:pPr>
      <w:r w:rsidRPr="0012486C">
        <w:t>P.</w:t>
      </w:r>
      <w:r w:rsidRPr="0012486C">
        <w:tab/>
        <w:t>Considerando que o Parlamento tem salientado repetidamente que a Comissão não deve autorizar OGM nos casos em que os Estados</w:t>
      </w:r>
      <w:r w:rsidRPr="0012486C">
        <w:noBreakHyphen/>
        <w:t>Membros não obtenham uma maioria qualificada no Comité Permanente dos Vegetais, Animais e Alimentos para Consumo Humano e Animal ou no Comité de Recurso, a fim de resolver o défice democrático persistente;</w:t>
      </w:r>
    </w:p>
    <w:p w14:paraId="42B8FCAE" w14:textId="77777777" w:rsidR="005C1B8E" w:rsidRPr="0012486C" w:rsidRDefault="005C1B8E" w:rsidP="005C1B8E">
      <w:pPr>
        <w:pStyle w:val="NormalWeb"/>
        <w:widowControl w:val="0"/>
        <w:shd w:val="clear" w:color="auto" w:fill="FFFFFF"/>
        <w:spacing w:before="0" w:beforeAutospacing="0" w:after="240" w:afterAutospacing="0"/>
        <w:ind w:left="567" w:hanging="567"/>
        <w:rPr>
          <w:color w:val="000000" w:themeColor="text1"/>
        </w:rPr>
      </w:pPr>
      <w:r w:rsidRPr="0012486C">
        <w:rPr>
          <w:color w:val="000000" w:themeColor="text1"/>
        </w:rPr>
        <w:t>Q.</w:t>
      </w:r>
      <w:r w:rsidRPr="0012486C">
        <w:rPr>
          <w:color w:val="000000" w:themeColor="text1"/>
        </w:rPr>
        <w:tab/>
        <w:t>Considerando que, apesar de reconhecer a existência de lacunas democráticas, bem como a falta de apoio dos Estados</w:t>
      </w:r>
      <w:r w:rsidRPr="0012486C">
        <w:rPr>
          <w:color w:val="000000" w:themeColor="text1"/>
        </w:rPr>
        <w:noBreakHyphen/>
        <w:t>Membros e as objeções do Parlamento, a Comissão continua a autorizar OGM;</w:t>
      </w:r>
    </w:p>
    <w:p w14:paraId="4DC276BA" w14:textId="77777777" w:rsidR="005C1B8E" w:rsidRPr="0012486C" w:rsidRDefault="005C1B8E" w:rsidP="005C1B8E">
      <w:pPr>
        <w:spacing w:after="240"/>
        <w:ind w:left="567" w:hanging="567"/>
      </w:pPr>
      <w:r w:rsidRPr="0012486C">
        <w:t>R.</w:t>
      </w:r>
      <w:r w:rsidRPr="0012486C">
        <w:tab/>
        <w:t>Considerando que a abordagem «Uma Só Saúde» exige que se tenha em conta a interdependência entre a saúde humana, animal, vegetal e ambiental ao avaliar a sustentabilidade e a segurança a longo prazo dos OGM;</w:t>
      </w:r>
    </w:p>
    <w:p w14:paraId="38519D68" w14:textId="77777777" w:rsidR="005C1B8E" w:rsidRPr="0012486C" w:rsidRDefault="005C1B8E" w:rsidP="005C1B8E">
      <w:pPr>
        <w:pStyle w:val="NormalHanging12a"/>
      </w:pPr>
      <w:r w:rsidRPr="0012486C">
        <w:t>1.</w:t>
      </w:r>
      <w:r w:rsidRPr="0012486C">
        <w:tab/>
        <w:t xml:space="preserve">Entende que o projeto de decisão de execução da Comissão excede as competências de </w:t>
      </w:r>
      <w:r w:rsidRPr="0012486C">
        <w:lastRenderedPageBreak/>
        <w:t>execução previstas no Regulamento (CE) n.º 1829/2003;</w:t>
      </w:r>
    </w:p>
    <w:p w14:paraId="2E105E79" w14:textId="77777777" w:rsidR="005C1B8E" w:rsidRPr="0012486C" w:rsidRDefault="005C1B8E" w:rsidP="005C1B8E">
      <w:pPr>
        <w:pStyle w:val="NormalHanging12a"/>
      </w:pPr>
      <w:bookmarkStart w:id="13" w:name="_Hlk218675825"/>
      <w:r w:rsidRPr="0012486C">
        <w:t>2.</w:t>
      </w:r>
      <w:r w:rsidRPr="0012486C">
        <w:tab/>
        <w:t>Considera que o projeto de decisão de execução da Comissão não está em conformidade com o direito da União, na medida em que é incompatível com o objetivo do Regulamento (CE) n.º 1829/2003, o qual, em conformidade com os princípios gerais estabelecidos no Regulamento (CE) n.º 178/2002 do Parlamento Europeu e do Conselho</w:t>
      </w:r>
      <w:r w:rsidRPr="0012486C">
        <w:rPr>
          <w:vertAlign w:val="superscript"/>
        </w:rPr>
        <w:footnoteReference w:id="14"/>
      </w:r>
      <w:r w:rsidRPr="0012486C">
        <w:t>, consiste em estabelecer os fundamentos para garantir um nível elevado de proteção da vida e da saúde humanas, da saúde e do bem</w:t>
      </w:r>
      <w:r w:rsidRPr="0012486C">
        <w:noBreakHyphen/>
        <w:t xml:space="preserve">estar dos animais, do ambiente e dos interesses dos consumidores em relação aos géneros alimentícios e alimentos para animais GM, assegurando, simultaneamente, o funcionamento eficaz do mercado interno; </w:t>
      </w:r>
    </w:p>
    <w:bookmarkEnd w:id="13"/>
    <w:p w14:paraId="45050A91" w14:textId="77777777" w:rsidR="005C1B8E" w:rsidRPr="0012486C" w:rsidRDefault="005C1B8E" w:rsidP="005C1B8E">
      <w:pPr>
        <w:pStyle w:val="NormalHanging12a"/>
      </w:pPr>
      <w:r w:rsidRPr="0012486C">
        <w:t>3.</w:t>
      </w:r>
      <w:r w:rsidRPr="0012486C">
        <w:tab/>
        <w:t>Solicita à Comissão que retire o seu projeto de decisão de execução;</w:t>
      </w:r>
    </w:p>
    <w:p w14:paraId="6D7348DF" w14:textId="77777777" w:rsidR="005C1B8E" w:rsidRPr="0012486C" w:rsidRDefault="005C1B8E" w:rsidP="005C1B8E">
      <w:pPr>
        <w:spacing w:after="240"/>
        <w:ind w:left="567" w:hanging="567"/>
      </w:pPr>
      <w:r w:rsidRPr="0012486C">
        <w:t>4.</w:t>
      </w:r>
      <w:r w:rsidRPr="0012486C">
        <w:tab/>
        <w:t>Urge a Comissão a não renovar a autorização do algodão GM por não existirem elementos de prova suficientes relativos aos impactos a longo prazo na biodiversidade, na segurança alimentar, nos meios de subsistência dos agricultores e na saúde animal, em consonância com a abordagem «Uma Só Saúde»;</w:t>
      </w:r>
    </w:p>
    <w:p w14:paraId="7ABF77F0" w14:textId="77777777" w:rsidR="005C1B8E" w:rsidRPr="0012486C" w:rsidRDefault="005C1B8E" w:rsidP="005C1B8E">
      <w:pPr>
        <w:spacing w:after="240"/>
        <w:ind w:left="567" w:hanging="567"/>
      </w:pPr>
      <w:bookmarkStart w:id="14" w:name="_Hlk210900300"/>
      <w:r w:rsidRPr="0012486C">
        <w:t>5.</w:t>
      </w:r>
      <w:r w:rsidRPr="0012486C">
        <w:tab/>
        <w:t>Solicita à Comissão que apresente, sem demora, uma proposta legislativa para reformar o processo de tomada de decisão sobre os OGM, a fim de dar resposta às objeções reiteradas do Parlamento e à falta de apoio por maioria qualificada dos Estados</w:t>
      </w:r>
      <w:r w:rsidRPr="0012486C">
        <w:noBreakHyphen/>
        <w:t>Membros</w:t>
      </w:r>
      <w:bookmarkEnd w:id="14"/>
      <w:r w:rsidRPr="0012486C">
        <w:t>;</w:t>
      </w:r>
    </w:p>
    <w:p w14:paraId="1E6925CE" w14:textId="77777777" w:rsidR="005C1B8E" w:rsidRPr="0012486C" w:rsidRDefault="005C1B8E" w:rsidP="005C1B8E">
      <w:pPr>
        <w:spacing w:after="240"/>
        <w:ind w:left="567" w:hanging="567"/>
      </w:pPr>
      <w:bookmarkStart w:id="15" w:name="_Hlk210900241"/>
      <w:r w:rsidRPr="0012486C">
        <w:t>6.</w:t>
      </w:r>
      <w:r w:rsidRPr="0012486C">
        <w:tab/>
        <w:t xml:space="preserve">Realça, a esse respeito, que autorizar a importação para utilização, em géneros alimentícios, alimentos para animais ou produtos, de qualquer planta GM que se tenha tornado tolerante a herbicidas proibidos na União, como o </w:t>
      </w:r>
      <w:proofErr w:type="spellStart"/>
      <w:r w:rsidRPr="0012486C">
        <w:t>glufosinato</w:t>
      </w:r>
      <w:proofErr w:type="spellEnd"/>
      <w:r w:rsidRPr="0012486C">
        <w:t>, é incoerente com os compromissos internacionais da União ao abrigo, nomeadamente, da Convenção das Nações Unidas sobre a Diversidade Biológica e dos Objetivos de Desenvolvimento Sustentável das Nações Unidas, incluindo o Quadro de Kunming</w:t>
      </w:r>
      <w:r w:rsidRPr="0012486C">
        <w:noBreakHyphen/>
        <w:t>Montreal, e cria condições de concorrência desiguais para os agricultores da União;</w:t>
      </w:r>
    </w:p>
    <w:bookmarkEnd w:id="15"/>
    <w:p w14:paraId="42DC0DCD" w14:textId="2C8C36C5" w:rsidR="00951347" w:rsidRPr="0012486C" w:rsidRDefault="005C1B8E" w:rsidP="00951347">
      <w:pPr>
        <w:pStyle w:val="NormalHanging12a"/>
      </w:pPr>
      <w:r w:rsidRPr="0012486C">
        <w:t>7.</w:t>
      </w:r>
      <w:r w:rsidRPr="0012486C">
        <w:tab/>
        <w:t>Encarrega a sua Presidente de transmitir a presente resolução ao Conselho, à Comissão e aos governos e parlamentos dos Estados</w:t>
      </w:r>
      <w:r w:rsidRPr="0012486C">
        <w:noBreakHyphen/>
        <w:t>Membros.</w:t>
      </w:r>
    </w:p>
    <w:p w14:paraId="0EC13E79" w14:textId="193E1639" w:rsidR="00E365E1" w:rsidRPr="0012486C" w:rsidRDefault="00E365E1" w:rsidP="000F2BDB"/>
    <w:sectPr w:rsidR="00E365E1" w:rsidRPr="0012486C" w:rsidSect="009513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4F17B" w14:textId="77777777" w:rsidR="000F2BDB" w:rsidRPr="00951347" w:rsidRDefault="000F2BDB">
      <w:r w:rsidRPr="00951347">
        <w:separator/>
      </w:r>
    </w:p>
  </w:endnote>
  <w:endnote w:type="continuationSeparator" w:id="0">
    <w:p w14:paraId="574E38F1" w14:textId="77777777" w:rsidR="000F2BDB" w:rsidRPr="00951347" w:rsidRDefault="000F2BDB">
      <w:r w:rsidRPr="009513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2C324" w14:textId="77777777" w:rsidR="00064002" w:rsidRPr="0095134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CC50E" w14:textId="77777777" w:rsidR="00064002" w:rsidRPr="0095134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292CE" w14:textId="77777777" w:rsidR="00064002" w:rsidRPr="009513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EDCE1" w14:textId="77777777" w:rsidR="000F2BDB" w:rsidRPr="00951347" w:rsidRDefault="000F2BDB">
      <w:r w:rsidRPr="00951347">
        <w:separator/>
      </w:r>
    </w:p>
  </w:footnote>
  <w:footnote w:type="continuationSeparator" w:id="0">
    <w:p w14:paraId="1840FB95" w14:textId="77777777" w:rsidR="000F2BDB" w:rsidRPr="00951347" w:rsidRDefault="000F2BDB">
      <w:r w:rsidRPr="00951347">
        <w:continuationSeparator/>
      </w:r>
    </w:p>
  </w:footnote>
  <w:footnote w:id="1">
    <w:p w14:paraId="1A371F62" w14:textId="178F7AAD" w:rsidR="005C1B8E" w:rsidRPr="0012486C" w:rsidRDefault="005C1B8E" w:rsidP="00951347">
      <w:pPr>
        <w:pStyle w:val="FootnoteText"/>
        <w:ind w:left="567" w:hanging="567"/>
        <w:rPr>
          <w:sz w:val="24"/>
          <w:lang w:val="da-DK"/>
        </w:rPr>
      </w:pPr>
      <w:r w:rsidRPr="00951347">
        <w:rPr>
          <w:rStyle w:val="FootnoteReference"/>
          <w:sz w:val="24"/>
          <w:lang w:val="pt-PT"/>
        </w:rPr>
        <w:footnoteRef/>
      </w:r>
      <w:r w:rsidR="00951347" w:rsidRPr="0012486C">
        <w:rPr>
          <w:sz w:val="24"/>
          <w:lang w:val="da-DK"/>
        </w:rPr>
        <w:t xml:space="preserve"> </w:t>
      </w:r>
      <w:r w:rsidR="00951347" w:rsidRPr="0012486C">
        <w:rPr>
          <w:sz w:val="24"/>
          <w:lang w:val="da-DK"/>
        </w:rPr>
        <w:tab/>
      </w:r>
      <w:r w:rsidRPr="0012486C">
        <w:rPr>
          <w:sz w:val="24"/>
          <w:lang w:val="da-DK"/>
        </w:rPr>
        <w:t>JO L 268 de 18.10.2003, p. 1, ELI: </w:t>
      </w:r>
      <w:hyperlink r:id="rId1" w:history="1">
        <w:r w:rsidRPr="0012486C">
          <w:rPr>
            <w:rStyle w:val="Hyperlink"/>
            <w:sz w:val="24"/>
            <w:lang w:val="da-DK"/>
          </w:rPr>
          <w:t>https://eur</w:t>
        </w:r>
        <w:r w:rsidRPr="0012486C">
          <w:rPr>
            <w:rStyle w:val="Hyperlink"/>
            <w:sz w:val="24"/>
            <w:lang w:val="da-DK"/>
          </w:rPr>
          <w:noBreakHyphen/>
          <w:t>lex.europa.eu/eli/reg/2003/1829/oj</w:t>
        </w:r>
      </w:hyperlink>
      <w:r w:rsidR="00656B9D" w:rsidRPr="0012486C">
        <w:rPr>
          <w:rStyle w:val="Hyperlink"/>
          <w:sz w:val="24"/>
          <w:lang w:val="da-DK"/>
        </w:rPr>
        <w:t>.</w:t>
      </w:r>
    </w:p>
  </w:footnote>
  <w:footnote w:id="2">
    <w:p w14:paraId="4FBBA88D" w14:textId="3632D5F6" w:rsidR="005C1B8E" w:rsidRPr="0012486C" w:rsidRDefault="005C1B8E" w:rsidP="00951347">
      <w:pPr>
        <w:pStyle w:val="FootnoteText"/>
        <w:ind w:left="567" w:hanging="567"/>
        <w:rPr>
          <w:sz w:val="24"/>
          <w:lang w:val="da-DK"/>
        </w:rPr>
      </w:pPr>
      <w:r w:rsidRPr="00951347">
        <w:rPr>
          <w:rStyle w:val="FootnoteReference"/>
          <w:sz w:val="24"/>
          <w:lang w:val="pt-PT"/>
        </w:rPr>
        <w:footnoteRef/>
      </w:r>
      <w:r w:rsidR="00951347" w:rsidRPr="0012486C">
        <w:rPr>
          <w:sz w:val="24"/>
          <w:lang w:val="da-DK"/>
        </w:rPr>
        <w:t xml:space="preserve"> </w:t>
      </w:r>
      <w:r w:rsidR="00951347" w:rsidRPr="0012486C">
        <w:rPr>
          <w:sz w:val="24"/>
          <w:lang w:val="da-DK"/>
        </w:rPr>
        <w:tab/>
      </w:r>
      <w:r w:rsidRPr="0012486C">
        <w:rPr>
          <w:sz w:val="24"/>
          <w:lang w:val="da-DK"/>
        </w:rPr>
        <w:t>JO L 55 de 28.2.2011, p. 13, ELI: </w:t>
      </w:r>
      <w:hyperlink r:id="rId2" w:history="1">
        <w:r w:rsidRPr="0012486C">
          <w:rPr>
            <w:rStyle w:val="Hyperlink"/>
            <w:sz w:val="24"/>
            <w:lang w:val="da-DK"/>
          </w:rPr>
          <w:t>http://data.europa.eu/eli/reg/2011/182/oj</w:t>
        </w:r>
      </w:hyperlink>
      <w:r w:rsidRPr="0012486C">
        <w:rPr>
          <w:sz w:val="24"/>
          <w:lang w:val="da-DK"/>
        </w:rPr>
        <w:t>.</w:t>
      </w:r>
    </w:p>
  </w:footnote>
  <w:footnote w:id="3">
    <w:p w14:paraId="6D3DFAAB" w14:textId="7860ED36" w:rsidR="005C1B8E" w:rsidRPr="00951347" w:rsidRDefault="005C1B8E" w:rsidP="00951347">
      <w:pPr>
        <w:pStyle w:val="FootnoteText"/>
        <w:ind w:left="567" w:hanging="567"/>
        <w:rPr>
          <w:sz w:val="24"/>
          <w:lang w:val="pt-PT"/>
        </w:rPr>
      </w:pPr>
      <w:r w:rsidRPr="00951347">
        <w:rPr>
          <w:sz w:val="24"/>
          <w:vertAlign w:val="superscript"/>
          <w:lang w:val="pt-PT"/>
        </w:rPr>
        <w:footnoteRef/>
      </w:r>
      <w:bookmarkStart w:id="8" w:name="_Hlk167202528"/>
      <w:r w:rsidR="00951347" w:rsidRPr="00951347">
        <w:rPr>
          <w:sz w:val="24"/>
          <w:lang w:val="pt-PT"/>
        </w:rPr>
        <w:t xml:space="preserve"> </w:t>
      </w:r>
      <w:r w:rsidR="00951347" w:rsidRPr="00951347">
        <w:rPr>
          <w:sz w:val="24"/>
          <w:lang w:val="pt-PT"/>
        </w:rPr>
        <w:tab/>
      </w:r>
      <w:r w:rsidRPr="00951347">
        <w:rPr>
          <w:sz w:val="24"/>
          <w:lang w:val="pt-PT"/>
        </w:rPr>
        <w:t>Parecer científico do Painel dos Organismos Geneticamente Modificados da EFSA sobre a avaliação do algodão GHB614 × LLCotton25 geneticamente modificado para renovação da autorização nos termos do Regulamento (CE) n.º 1829/2003 (processo GMFF</w:t>
      </w:r>
      <w:r w:rsidRPr="00951347">
        <w:rPr>
          <w:sz w:val="24"/>
          <w:lang w:val="pt-PT"/>
        </w:rPr>
        <w:noBreakHyphen/>
        <w:t>2024</w:t>
      </w:r>
      <w:r w:rsidRPr="00951347">
        <w:rPr>
          <w:sz w:val="24"/>
          <w:lang w:val="pt-PT"/>
        </w:rPr>
        <w:noBreakHyphen/>
        <w:t xml:space="preserve">21890), </w:t>
      </w:r>
      <w:r w:rsidRPr="00951347">
        <w:rPr>
          <w:i/>
          <w:iCs/>
          <w:sz w:val="24"/>
          <w:lang w:val="pt-PT"/>
        </w:rPr>
        <w:t>EFSA Journal</w:t>
      </w:r>
      <w:r w:rsidRPr="00951347">
        <w:rPr>
          <w:sz w:val="24"/>
          <w:lang w:val="pt-PT"/>
        </w:rPr>
        <w:t>2025, 23(8</w:t>
      </w:r>
      <w:proofErr w:type="gramStart"/>
      <w:r w:rsidRPr="00951347">
        <w:rPr>
          <w:sz w:val="24"/>
          <w:lang w:val="pt-PT"/>
        </w:rPr>
        <w:t>):e</w:t>
      </w:r>
      <w:proofErr w:type="gramEnd"/>
      <w:r w:rsidRPr="00951347">
        <w:rPr>
          <w:sz w:val="24"/>
          <w:lang w:val="pt-PT"/>
        </w:rPr>
        <w:t>9572,</w:t>
      </w:r>
      <w:bookmarkEnd w:id="8"/>
      <w:r w:rsidRPr="00951347">
        <w:rPr>
          <w:sz w:val="24"/>
          <w:lang w:val="pt-PT"/>
        </w:rPr>
        <w:t xml:space="preserve"> </w:t>
      </w:r>
      <w:hyperlink r:id="rId3" w:history="1">
        <w:r w:rsidRPr="00951347">
          <w:rPr>
            <w:rStyle w:val="Hyperlink"/>
            <w:sz w:val="24"/>
            <w:lang w:val="pt-PT"/>
          </w:rPr>
          <w:t>https://doi.org/10.2903/j.efsa.2025.9572</w:t>
        </w:r>
      </w:hyperlink>
      <w:r w:rsidRPr="00951347">
        <w:rPr>
          <w:sz w:val="24"/>
          <w:lang w:val="pt-PT"/>
        </w:rPr>
        <w:t xml:space="preserve">. </w:t>
      </w:r>
    </w:p>
  </w:footnote>
  <w:footnote w:id="4">
    <w:p w14:paraId="7DC65CF7" w14:textId="6A4E733E" w:rsidR="005C1B8E" w:rsidRPr="00951347" w:rsidRDefault="005C1B8E" w:rsidP="00951347">
      <w:pPr>
        <w:pStyle w:val="FootnoteText"/>
        <w:ind w:left="567" w:hanging="567"/>
        <w:rPr>
          <w:color w:val="000000" w:themeColor="text1"/>
          <w:sz w:val="24"/>
          <w:vertAlign w:val="superscript"/>
          <w:lang w:val="pt-PT"/>
        </w:rPr>
      </w:pPr>
      <w:r w:rsidRPr="00951347">
        <w:rPr>
          <w:rStyle w:val="FootnoteReference"/>
          <w:sz w:val="24"/>
          <w:lang w:val="pt-PT"/>
        </w:rPr>
        <w:footnoteRef/>
      </w:r>
      <w:r w:rsidR="00951347" w:rsidRPr="00951347">
        <w:rPr>
          <w:color w:val="000000" w:themeColor="text1"/>
          <w:sz w:val="24"/>
          <w:lang w:val="pt-PT"/>
        </w:rPr>
        <w:t xml:space="preserve"> </w:t>
      </w:r>
      <w:r w:rsidR="00951347" w:rsidRPr="00951347">
        <w:rPr>
          <w:color w:val="000000" w:themeColor="text1"/>
          <w:sz w:val="24"/>
          <w:lang w:val="pt-PT"/>
        </w:rPr>
        <w:tab/>
      </w:r>
      <w:r w:rsidRPr="00951347">
        <w:rPr>
          <w:color w:val="000000" w:themeColor="text1"/>
          <w:sz w:val="24"/>
          <w:lang w:val="pt-PT"/>
        </w:rPr>
        <w:t>Na sua 8.ª legislatura, o Parlamento aprovou 36 resoluções e, na sua 9.ª legislatura, 38 resoluções em que se opôs à autorização de OGM. Além disso, na sua 10.ª legislatura, o Parlamento aprovou as seguintes resoluções:</w:t>
      </w:r>
    </w:p>
    <w:p w14:paraId="3DE970D5" w14:textId="6DC60062" w:rsidR="005C1B8E" w:rsidRPr="00951347" w:rsidRDefault="00951347" w:rsidP="00951347">
      <w:pPr>
        <w:pStyle w:val="FootnoteText"/>
        <w:ind w:left="567" w:hanging="567"/>
        <w:rPr>
          <w:color w:val="000000" w:themeColor="text1"/>
          <w:sz w:val="24"/>
          <w:vertAlign w:val="superscript"/>
          <w:lang w:val="pt-PT"/>
        </w:rPr>
      </w:pPr>
      <w:r w:rsidRPr="00951347">
        <w:rPr>
          <w:color w:val="000000" w:themeColor="text1"/>
          <w:sz w:val="24"/>
          <w:lang w:val="pt-PT"/>
        </w:rPr>
        <w:t xml:space="preserve"> </w:t>
      </w:r>
      <w:r w:rsidRPr="00951347">
        <w:rPr>
          <w:color w:val="000000" w:themeColor="text1"/>
          <w:sz w:val="24"/>
          <w:lang w:val="pt-PT"/>
        </w:rPr>
        <w:tab/>
      </w:r>
      <w:r w:rsidR="005C1B8E" w:rsidRPr="00951347">
        <w:rPr>
          <w:color w:val="000000" w:themeColor="text1"/>
          <w:sz w:val="24"/>
          <w:lang w:val="pt-PT"/>
        </w:rPr>
        <w:t>–</w:t>
      </w:r>
      <w:r w:rsidR="005C1B8E" w:rsidRPr="00951347">
        <w:rPr>
          <w:color w:val="000000" w:themeColor="text1"/>
          <w:sz w:val="24"/>
          <w:lang w:val="pt-PT"/>
        </w:rPr>
        <w:tab/>
        <w:t>Resolução do Parlamento Europeu, de 26 de novembro de 2024, sobre a Decisão de Execução (UE) 2024/2628 da Comissão que renova a autorização de colocação no mercado de produtos que contenham, sejam constituídos por ou produzidos a partir de milho geneticamente modificado MON 89034 × 1507 × NK603, nos termos do Regulamento (CE) n.º 1829/2003 do Parlamento Europeu e do Conselho (JO C, C/2025/1797, 4.4.2025, ELI: </w:t>
      </w:r>
      <w:hyperlink r:id="rId4" w:history="1">
        <w:r w:rsidR="005C1B8E" w:rsidRPr="00951347">
          <w:rPr>
            <w:rStyle w:val="Hyperlink"/>
            <w:sz w:val="24"/>
            <w:lang w:val="pt-PT"/>
          </w:rPr>
          <w:t>http://data.europa.eu/eli/C/2025/1797/oj</w:t>
        </w:r>
      </w:hyperlink>
      <w:r w:rsidR="005C1B8E" w:rsidRPr="00951347">
        <w:rPr>
          <w:color w:val="000000" w:themeColor="text1"/>
          <w:sz w:val="24"/>
          <w:lang w:val="pt-PT"/>
        </w:rPr>
        <w:t>).</w:t>
      </w:r>
    </w:p>
    <w:p w14:paraId="3F9A7405" w14:textId="6AEA2EC6" w:rsidR="005C1B8E" w:rsidRPr="00951347" w:rsidRDefault="00951347" w:rsidP="00951347">
      <w:pPr>
        <w:pStyle w:val="FootnoteText"/>
        <w:keepNext/>
        <w:ind w:left="567" w:hanging="567"/>
        <w:rPr>
          <w:color w:val="000000" w:themeColor="text1"/>
          <w:sz w:val="24"/>
          <w:vertAlign w:val="superscript"/>
          <w:lang w:val="pt-PT"/>
        </w:rPr>
      </w:pPr>
      <w:r w:rsidRPr="00951347">
        <w:rPr>
          <w:color w:val="000000" w:themeColor="text1"/>
          <w:sz w:val="24"/>
          <w:lang w:val="pt-PT"/>
        </w:rPr>
        <w:t xml:space="preserve"> </w:t>
      </w:r>
      <w:r w:rsidRPr="00951347">
        <w:rPr>
          <w:color w:val="000000" w:themeColor="text1"/>
          <w:sz w:val="24"/>
          <w:lang w:val="pt-PT"/>
        </w:rPr>
        <w:tab/>
      </w:r>
      <w:r w:rsidR="005C1B8E" w:rsidRPr="00951347">
        <w:rPr>
          <w:color w:val="000000" w:themeColor="text1"/>
          <w:sz w:val="24"/>
          <w:lang w:val="pt-PT"/>
        </w:rPr>
        <w:t>–</w:t>
      </w:r>
      <w:r w:rsidR="005C1B8E" w:rsidRPr="00951347">
        <w:rPr>
          <w:color w:val="000000" w:themeColor="text1"/>
          <w:sz w:val="24"/>
          <w:lang w:val="pt-PT"/>
        </w:rPr>
        <w:tab/>
        <w:t>Resolução do Parlamento Europeu, de 26 de novembro de 2024, sobre a Decisão de Execução da Comissão (UE) 2024/2627 que autoriza a colocação no mercado de produtos que contenham, sejam constituídos por, ou produzidos a partir de algodão geneticamente modificado COT102 nos termos do Regulamento (CE) n.º 1829/2003 do Parlamento Europeu e do Conselho (JO C, C/2025/1798, 4.4.2025, ELI: </w:t>
      </w:r>
      <w:hyperlink r:id="rId5" w:history="1">
        <w:r w:rsidR="005C1B8E" w:rsidRPr="00951347">
          <w:rPr>
            <w:rStyle w:val="Hyperlink"/>
            <w:sz w:val="24"/>
            <w:lang w:val="pt-PT"/>
          </w:rPr>
          <w:t>http://data.europa.eu/eli/C/2025/1798/oj</w:t>
        </w:r>
      </w:hyperlink>
      <w:r w:rsidR="005C1B8E" w:rsidRPr="00951347">
        <w:rPr>
          <w:color w:val="000000" w:themeColor="text1"/>
          <w:sz w:val="24"/>
          <w:lang w:val="pt-PT"/>
        </w:rPr>
        <w:t>).</w:t>
      </w:r>
    </w:p>
    <w:p w14:paraId="2361B916" w14:textId="773660CA" w:rsidR="005C1B8E" w:rsidRPr="00951347" w:rsidRDefault="00951347" w:rsidP="00951347">
      <w:pPr>
        <w:pStyle w:val="FootnoteText"/>
        <w:ind w:left="567" w:hanging="567"/>
        <w:rPr>
          <w:color w:val="000000" w:themeColor="text1"/>
          <w:sz w:val="24"/>
          <w:vertAlign w:val="superscript"/>
          <w:lang w:val="pt-PT"/>
        </w:rPr>
      </w:pPr>
      <w:r w:rsidRPr="00951347">
        <w:rPr>
          <w:color w:val="000000" w:themeColor="text1"/>
          <w:sz w:val="24"/>
          <w:lang w:val="pt-PT"/>
        </w:rPr>
        <w:t xml:space="preserve"> </w:t>
      </w:r>
      <w:r w:rsidRPr="00951347">
        <w:rPr>
          <w:color w:val="000000" w:themeColor="text1"/>
          <w:sz w:val="24"/>
          <w:lang w:val="pt-PT"/>
        </w:rPr>
        <w:tab/>
      </w:r>
      <w:r w:rsidR="005C1B8E" w:rsidRPr="00951347">
        <w:rPr>
          <w:color w:val="000000" w:themeColor="text1"/>
          <w:sz w:val="24"/>
          <w:lang w:val="pt-PT"/>
        </w:rPr>
        <w:t>–</w:t>
      </w:r>
      <w:r w:rsidR="005C1B8E" w:rsidRPr="00951347">
        <w:rPr>
          <w:color w:val="000000" w:themeColor="text1"/>
          <w:sz w:val="24"/>
          <w:lang w:val="pt-PT"/>
        </w:rPr>
        <w:tab/>
        <w:t xml:space="preserve">Resolução do Parlamento Europeu, de 26 de novembro de 2024, sobre a Decisão de Execução da Comissão (UE) 2024/2629 que renova a autorização de colocação no mercado de produtos que contenham, sejam constituídos por ou sejam produzidos a partir de milho geneticamente modificado MON 89034 x 1507 x MON 88017 x 59122 e oito das suas </w:t>
      </w:r>
      <w:proofErr w:type="spellStart"/>
      <w:r w:rsidR="005C1B8E" w:rsidRPr="00951347">
        <w:rPr>
          <w:color w:val="000000" w:themeColor="text1"/>
          <w:sz w:val="24"/>
          <w:lang w:val="pt-PT"/>
        </w:rPr>
        <w:t>subcombinações</w:t>
      </w:r>
      <w:proofErr w:type="spellEnd"/>
      <w:r w:rsidR="005C1B8E" w:rsidRPr="00951347">
        <w:rPr>
          <w:color w:val="000000" w:themeColor="text1"/>
          <w:sz w:val="24"/>
          <w:lang w:val="pt-PT"/>
        </w:rPr>
        <w:t>, nos termos do Regulamento (CE) n.º 1829/2003 do Parlamento Europeu e do Conselho (JO C, C/2025/1799, 4.4.2025, ELI: </w:t>
      </w:r>
      <w:hyperlink r:id="rId6" w:history="1">
        <w:r w:rsidR="005C1B8E" w:rsidRPr="00951347">
          <w:rPr>
            <w:rStyle w:val="Hyperlink"/>
            <w:sz w:val="24"/>
            <w:lang w:val="pt-PT"/>
          </w:rPr>
          <w:t>http://data.europa.eu/eli/C/2025/1799/oj</w:t>
        </w:r>
      </w:hyperlink>
      <w:r w:rsidR="005C1B8E" w:rsidRPr="00951347">
        <w:rPr>
          <w:color w:val="000000" w:themeColor="text1"/>
          <w:sz w:val="24"/>
          <w:lang w:val="pt-PT"/>
        </w:rPr>
        <w:t>).</w:t>
      </w:r>
    </w:p>
    <w:p w14:paraId="77064F97" w14:textId="40A88B7C" w:rsidR="005C1B8E" w:rsidRPr="00951347" w:rsidRDefault="00951347" w:rsidP="00951347">
      <w:pPr>
        <w:pStyle w:val="FootnoteText"/>
        <w:ind w:left="567" w:hanging="567"/>
        <w:rPr>
          <w:color w:val="000000" w:themeColor="text1"/>
          <w:sz w:val="24"/>
          <w:vertAlign w:val="superscript"/>
          <w:lang w:val="pt-PT"/>
        </w:rPr>
      </w:pPr>
      <w:r w:rsidRPr="00951347">
        <w:rPr>
          <w:color w:val="000000" w:themeColor="text1"/>
          <w:sz w:val="24"/>
          <w:lang w:val="pt-PT"/>
        </w:rPr>
        <w:t xml:space="preserve"> </w:t>
      </w:r>
      <w:r w:rsidRPr="00951347">
        <w:rPr>
          <w:color w:val="000000" w:themeColor="text1"/>
          <w:sz w:val="24"/>
          <w:lang w:val="pt-PT"/>
        </w:rPr>
        <w:tab/>
      </w:r>
      <w:r w:rsidR="005C1B8E" w:rsidRPr="00951347">
        <w:rPr>
          <w:color w:val="000000" w:themeColor="text1"/>
          <w:sz w:val="24"/>
          <w:lang w:val="pt-PT"/>
        </w:rPr>
        <w:t>–</w:t>
      </w:r>
      <w:r w:rsidR="005C1B8E" w:rsidRPr="00951347">
        <w:rPr>
          <w:color w:val="000000" w:themeColor="text1"/>
          <w:sz w:val="24"/>
          <w:lang w:val="pt-PT"/>
        </w:rPr>
        <w:tab/>
        <w:t>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7" w:history="1">
        <w:r w:rsidR="005C1B8E" w:rsidRPr="00951347">
          <w:rPr>
            <w:rStyle w:val="Hyperlink"/>
            <w:sz w:val="24"/>
            <w:lang w:val="pt-PT"/>
          </w:rPr>
          <w:t>http://data.europa.eu/eli/C/2025/1800/oj</w:t>
        </w:r>
      </w:hyperlink>
      <w:r w:rsidR="005C1B8E" w:rsidRPr="00951347">
        <w:rPr>
          <w:color w:val="000000" w:themeColor="text1"/>
          <w:sz w:val="24"/>
          <w:lang w:val="pt-PT"/>
        </w:rPr>
        <w:t>).</w:t>
      </w:r>
    </w:p>
    <w:p w14:paraId="48284273" w14:textId="062D02CC" w:rsidR="005C1B8E" w:rsidRPr="00951347" w:rsidRDefault="00951347" w:rsidP="00951347">
      <w:pPr>
        <w:pStyle w:val="FootnoteText"/>
        <w:ind w:left="567" w:hanging="567"/>
        <w:rPr>
          <w:color w:val="000000" w:themeColor="text1"/>
          <w:sz w:val="24"/>
          <w:vertAlign w:val="superscript"/>
          <w:lang w:val="pt-PT"/>
        </w:rPr>
      </w:pPr>
      <w:r w:rsidRPr="00951347">
        <w:rPr>
          <w:color w:val="000000" w:themeColor="text1"/>
          <w:sz w:val="24"/>
          <w:lang w:val="pt-PT"/>
        </w:rPr>
        <w:t xml:space="preserve"> </w:t>
      </w:r>
      <w:r w:rsidRPr="00951347">
        <w:rPr>
          <w:color w:val="000000" w:themeColor="text1"/>
          <w:sz w:val="24"/>
          <w:lang w:val="pt-PT"/>
        </w:rPr>
        <w:tab/>
      </w:r>
      <w:r w:rsidR="005C1B8E" w:rsidRPr="00951347">
        <w:rPr>
          <w:color w:val="000000" w:themeColor="text1"/>
          <w:sz w:val="24"/>
          <w:lang w:val="pt-PT"/>
        </w:rPr>
        <w:t>–</w:t>
      </w:r>
      <w:r w:rsidR="005C1B8E" w:rsidRPr="00951347">
        <w:rPr>
          <w:color w:val="000000" w:themeColor="text1"/>
          <w:sz w:val="24"/>
          <w:lang w:val="pt-PT"/>
        </w:rPr>
        <w:tab/>
        <w:t>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8" w:history="1">
        <w:r w:rsidR="005C1B8E" w:rsidRPr="00951347">
          <w:rPr>
            <w:rStyle w:val="Hyperlink"/>
            <w:sz w:val="24"/>
            <w:lang w:val="pt-PT"/>
          </w:rPr>
          <w:t>http://data.europa.eu/eli/C/2025/1801/oj</w:t>
        </w:r>
      </w:hyperlink>
      <w:r w:rsidR="005C1B8E" w:rsidRPr="00951347">
        <w:rPr>
          <w:color w:val="000000" w:themeColor="text1"/>
          <w:sz w:val="24"/>
          <w:lang w:val="pt-PT"/>
        </w:rPr>
        <w:t>).</w:t>
      </w:r>
    </w:p>
    <w:p w14:paraId="4B8A1383" w14:textId="79BB9A36" w:rsidR="005C1B8E" w:rsidRPr="00951347" w:rsidRDefault="00951347" w:rsidP="00951347">
      <w:pPr>
        <w:pStyle w:val="FootnoteText"/>
        <w:ind w:left="567" w:hanging="567"/>
        <w:rPr>
          <w:color w:val="000000" w:themeColor="text1"/>
          <w:sz w:val="24"/>
          <w:vertAlign w:val="superscript"/>
          <w:lang w:val="pt-PT"/>
        </w:rPr>
      </w:pPr>
      <w:r w:rsidRPr="00951347">
        <w:rPr>
          <w:color w:val="000000" w:themeColor="text1"/>
          <w:sz w:val="24"/>
          <w:lang w:val="pt-PT"/>
        </w:rPr>
        <w:t xml:space="preserve"> </w:t>
      </w:r>
      <w:r w:rsidRPr="00951347">
        <w:rPr>
          <w:color w:val="000000" w:themeColor="text1"/>
          <w:sz w:val="24"/>
          <w:lang w:val="pt-PT"/>
        </w:rPr>
        <w:tab/>
      </w:r>
      <w:r w:rsidR="005C1B8E" w:rsidRPr="00951347">
        <w:rPr>
          <w:color w:val="000000" w:themeColor="text1"/>
          <w:sz w:val="24"/>
          <w:lang w:val="pt-PT"/>
        </w:rPr>
        <w:t>–</w:t>
      </w:r>
      <w:r w:rsidR="005C1B8E" w:rsidRPr="00951347">
        <w:rPr>
          <w:color w:val="000000" w:themeColor="text1"/>
          <w:sz w:val="24"/>
          <w:lang w:val="pt-PT"/>
        </w:rPr>
        <w:tab/>
        <w:t xml:space="preserve"> 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9" w:history="1">
        <w:r w:rsidR="005C1B8E" w:rsidRPr="00951347">
          <w:rPr>
            <w:rStyle w:val="Hyperlink"/>
            <w:sz w:val="24"/>
            <w:lang w:val="pt-PT"/>
          </w:rPr>
          <w:t>http://data.europa.eu/eli/C/2025/1802/oj</w:t>
        </w:r>
      </w:hyperlink>
      <w:r w:rsidR="005C1B8E" w:rsidRPr="00951347">
        <w:rPr>
          <w:color w:val="000000" w:themeColor="text1"/>
          <w:sz w:val="24"/>
          <w:lang w:val="pt-PT"/>
        </w:rPr>
        <w:t>).</w:t>
      </w:r>
    </w:p>
    <w:p w14:paraId="0B1B6B59" w14:textId="0BDC2A75" w:rsidR="005C1B8E" w:rsidRPr="00951347" w:rsidRDefault="00951347" w:rsidP="00951347">
      <w:pPr>
        <w:pStyle w:val="FootnoteText"/>
        <w:ind w:left="567" w:hanging="567"/>
        <w:rPr>
          <w:color w:val="000000" w:themeColor="text1"/>
          <w:sz w:val="24"/>
          <w:vertAlign w:val="superscript"/>
          <w:lang w:val="pt-PT"/>
        </w:rPr>
      </w:pPr>
      <w:r w:rsidRPr="00951347">
        <w:rPr>
          <w:color w:val="000000" w:themeColor="text1"/>
          <w:sz w:val="24"/>
          <w:lang w:val="pt-PT"/>
        </w:rPr>
        <w:t xml:space="preserve"> </w:t>
      </w:r>
      <w:r w:rsidRPr="00951347">
        <w:rPr>
          <w:color w:val="000000" w:themeColor="text1"/>
          <w:sz w:val="24"/>
          <w:lang w:val="pt-PT"/>
        </w:rPr>
        <w:tab/>
      </w:r>
      <w:r w:rsidR="005C1B8E" w:rsidRPr="00951347">
        <w:rPr>
          <w:color w:val="000000" w:themeColor="text1"/>
          <w:sz w:val="24"/>
          <w:lang w:val="pt-PT"/>
        </w:rPr>
        <w:t>–</w:t>
      </w:r>
      <w:r w:rsidR="005C1B8E" w:rsidRPr="00951347">
        <w:rPr>
          <w:color w:val="000000" w:themeColor="text1"/>
          <w:sz w:val="24"/>
          <w:lang w:val="pt-PT"/>
        </w:rPr>
        <w:tab/>
        <w:t>Resolução do Parlamento Europeu, de 26 de novembro de 2024, sobre a decisão de Execução da Comissão (UE) 2024/2618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0" w:history="1">
        <w:r w:rsidR="005C1B8E" w:rsidRPr="00951347">
          <w:rPr>
            <w:rStyle w:val="Hyperlink"/>
            <w:sz w:val="24"/>
            <w:lang w:val="pt-PT"/>
          </w:rPr>
          <w:t>http://data.europa.eu/eli/C/2025/1803/oj</w:t>
        </w:r>
      </w:hyperlink>
      <w:r w:rsidR="005C1B8E" w:rsidRPr="00951347">
        <w:rPr>
          <w:color w:val="000000" w:themeColor="text1"/>
          <w:sz w:val="24"/>
          <w:lang w:val="pt-PT"/>
        </w:rPr>
        <w:t>).</w:t>
      </w:r>
    </w:p>
    <w:p w14:paraId="35F1F83E" w14:textId="227B7B9C" w:rsidR="005C1B8E" w:rsidRPr="00951347" w:rsidRDefault="00951347" w:rsidP="00951347">
      <w:pPr>
        <w:pStyle w:val="FootnoteText"/>
        <w:ind w:left="567" w:hanging="567"/>
        <w:rPr>
          <w:color w:val="000000" w:themeColor="text1"/>
          <w:sz w:val="24"/>
          <w:vertAlign w:val="superscript"/>
          <w:lang w:val="pt-PT"/>
        </w:rPr>
      </w:pPr>
      <w:r w:rsidRPr="00951347">
        <w:rPr>
          <w:color w:val="000000" w:themeColor="text1"/>
          <w:sz w:val="24"/>
          <w:lang w:val="pt-PT"/>
        </w:rPr>
        <w:t xml:space="preserve"> </w:t>
      </w:r>
      <w:r w:rsidRPr="00951347">
        <w:rPr>
          <w:color w:val="000000" w:themeColor="text1"/>
          <w:sz w:val="24"/>
          <w:lang w:val="pt-PT"/>
        </w:rPr>
        <w:tab/>
      </w:r>
      <w:r w:rsidR="005C1B8E" w:rsidRPr="00951347">
        <w:rPr>
          <w:color w:val="000000" w:themeColor="text1"/>
          <w:sz w:val="24"/>
          <w:lang w:val="pt-PT"/>
        </w:rPr>
        <w:t>–</w:t>
      </w:r>
      <w:r w:rsidR="005C1B8E" w:rsidRPr="00951347">
        <w:rPr>
          <w:color w:val="000000" w:themeColor="text1"/>
          <w:sz w:val="24"/>
          <w:lang w:val="pt-PT"/>
        </w:rPr>
        <w:tab/>
        <w:t>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(JO C, C/2025/1804, 4.4.2025, ELI: </w:t>
      </w:r>
      <w:hyperlink r:id="rId11" w:history="1">
        <w:r w:rsidR="005C1B8E" w:rsidRPr="00951347">
          <w:rPr>
            <w:rStyle w:val="Hyperlink"/>
            <w:sz w:val="24"/>
            <w:lang w:val="pt-PT"/>
          </w:rPr>
          <w:t>http://data.europa.eu/eli/C/2025/1804/oj</w:t>
        </w:r>
      </w:hyperlink>
      <w:r w:rsidR="005C1B8E" w:rsidRPr="00951347">
        <w:rPr>
          <w:color w:val="000000" w:themeColor="text1"/>
          <w:sz w:val="24"/>
          <w:lang w:val="pt-PT"/>
        </w:rPr>
        <w:t>).</w:t>
      </w:r>
    </w:p>
    <w:p w14:paraId="1ECD443B" w14:textId="5480B39F" w:rsidR="005C1B8E" w:rsidRPr="00951347" w:rsidRDefault="00951347" w:rsidP="00951347">
      <w:pPr>
        <w:pStyle w:val="FootnoteText"/>
        <w:ind w:left="567" w:hanging="567"/>
        <w:rPr>
          <w:sz w:val="24"/>
          <w:vertAlign w:val="superscript"/>
          <w:lang w:val="pt-PT"/>
        </w:rPr>
      </w:pPr>
      <w:r w:rsidRPr="00951347">
        <w:rPr>
          <w:color w:val="000000" w:themeColor="text1"/>
          <w:sz w:val="24"/>
          <w:lang w:val="pt-PT"/>
        </w:rPr>
        <w:t xml:space="preserve"> </w:t>
      </w:r>
      <w:r w:rsidRPr="00951347">
        <w:rPr>
          <w:color w:val="000000" w:themeColor="text1"/>
          <w:sz w:val="24"/>
          <w:lang w:val="pt-PT"/>
        </w:rPr>
        <w:tab/>
      </w:r>
      <w:r w:rsidR="005C1B8E" w:rsidRPr="00951347">
        <w:rPr>
          <w:color w:val="000000" w:themeColor="text1"/>
          <w:sz w:val="24"/>
          <w:lang w:val="pt-PT"/>
        </w:rPr>
        <w:t>–</w:t>
      </w:r>
      <w:r w:rsidR="005C1B8E" w:rsidRPr="00951347">
        <w:rPr>
          <w:color w:val="000000" w:themeColor="text1"/>
          <w:sz w:val="24"/>
          <w:lang w:val="pt-PT"/>
        </w:rPr>
        <w:tab/>
      </w:r>
      <w:r w:rsidR="005C1B8E" w:rsidRPr="00951347">
        <w:rPr>
          <w:sz w:val="24"/>
          <w:lang w:val="pt-PT"/>
        </w:rPr>
        <w:t>Resolução do Parlamento Europeu, de 12 de fevereiro 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(JO C, C/2025/2246, 29.4.2025, ELI: </w:t>
      </w:r>
      <w:hyperlink r:id="rId12" w:tooltip="Permite aceder ao documento através do seu identificador do ELI." w:history="1">
        <w:r w:rsidR="005C1B8E" w:rsidRPr="00951347">
          <w:rPr>
            <w:rStyle w:val="Hyperlink"/>
            <w:sz w:val="24"/>
            <w:lang w:val="pt-PT"/>
          </w:rPr>
          <w:t>http://data.europa.eu/eli/C/2025/2246/oj</w:t>
        </w:r>
      </w:hyperlink>
      <w:r w:rsidR="005C1B8E" w:rsidRPr="00951347">
        <w:rPr>
          <w:sz w:val="24"/>
          <w:lang w:val="pt-PT"/>
        </w:rPr>
        <w:t>).</w:t>
      </w:r>
    </w:p>
    <w:p w14:paraId="43BF5FE1" w14:textId="550D35F5" w:rsidR="005C1B8E" w:rsidRPr="00951347" w:rsidRDefault="00951347" w:rsidP="00951347">
      <w:pPr>
        <w:pStyle w:val="FootnoteText"/>
        <w:ind w:left="567" w:hanging="567"/>
        <w:rPr>
          <w:sz w:val="24"/>
          <w:vertAlign w:val="superscript"/>
          <w:lang w:val="pt-PT"/>
        </w:rPr>
      </w:pPr>
      <w:r w:rsidRPr="00951347">
        <w:rPr>
          <w:sz w:val="24"/>
          <w:lang w:val="pt-PT"/>
        </w:rPr>
        <w:t xml:space="preserve"> </w:t>
      </w:r>
      <w:r w:rsidRPr="00951347">
        <w:rPr>
          <w:sz w:val="24"/>
          <w:lang w:val="pt-PT"/>
        </w:rPr>
        <w:tab/>
      </w:r>
      <w:r w:rsidR="005C1B8E" w:rsidRPr="00951347">
        <w:rPr>
          <w:sz w:val="24"/>
          <w:lang w:val="pt-PT"/>
        </w:rPr>
        <w:t>–</w:t>
      </w:r>
      <w:r w:rsidR="005C1B8E" w:rsidRPr="00951347">
        <w:rPr>
          <w:sz w:val="24"/>
          <w:lang w:val="pt-PT"/>
        </w:rPr>
        <w:tab/>
        <w:t>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(JO C, C/2025/2247, 29.4.2025, ELI: </w:t>
      </w:r>
      <w:hyperlink r:id="rId13" w:history="1">
        <w:r w:rsidR="005C1B8E" w:rsidRPr="00951347">
          <w:rPr>
            <w:rStyle w:val="Hyperlink"/>
            <w:sz w:val="24"/>
            <w:lang w:val="pt-PT"/>
          </w:rPr>
          <w:t>http://data.europa.eu/eli/C/2025/2247/oj</w:t>
        </w:r>
      </w:hyperlink>
      <w:r w:rsidR="005C1B8E" w:rsidRPr="00951347">
        <w:rPr>
          <w:sz w:val="24"/>
          <w:lang w:val="pt-PT"/>
        </w:rPr>
        <w:t>).</w:t>
      </w:r>
    </w:p>
    <w:p w14:paraId="1FCE096A" w14:textId="60EE2A03" w:rsidR="005C1B8E" w:rsidRPr="00951347" w:rsidRDefault="00951347" w:rsidP="00951347">
      <w:pPr>
        <w:pStyle w:val="FootnoteText"/>
        <w:ind w:left="567" w:hanging="567"/>
        <w:rPr>
          <w:sz w:val="24"/>
          <w:vertAlign w:val="superscript"/>
          <w:lang w:val="pt-PT"/>
        </w:rPr>
      </w:pPr>
      <w:r w:rsidRPr="00951347">
        <w:rPr>
          <w:sz w:val="24"/>
          <w:lang w:val="pt-PT"/>
        </w:rPr>
        <w:t xml:space="preserve"> </w:t>
      </w:r>
      <w:r w:rsidRPr="00951347">
        <w:rPr>
          <w:sz w:val="24"/>
          <w:lang w:val="pt-PT"/>
        </w:rPr>
        <w:tab/>
      </w:r>
      <w:r w:rsidR="005C1B8E" w:rsidRPr="00951347">
        <w:rPr>
          <w:sz w:val="24"/>
          <w:lang w:val="pt-PT"/>
        </w:rPr>
        <w:t>–</w:t>
      </w:r>
      <w:r w:rsidR="005C1B8E" w:rsidRPr="00951347">
        <w:rPr>
          <w:sz w:val="24"/>
          <w:lang w:val="pt-PT"/>
        </w:rPr>
        <w:tab/>
        <w:t>Resolução do Parlamento Europeu, de 8 de maio 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w:t>
      </w:r>
      <w:r w:rsidR="00656B9D">
        <w:rPr>
          <w:sz w:val="24"/>
          <w:lang w:val="pt-PT"/>
        </w:rPr>
        <w:t xml:space="preserve">Textos Aprovados, </w:t>
      </w:r>
      <w:r w:rsidR="005C1B8E" w:rsidRPr="00951347">
        <w:rPr>
          <w:sz w:val="24"/>
          <w:lang w:val="pt-PT"/>
        </w:rPr>
        <w:t>P10_</w:t>
      </w:r>
      <w:proofErr w:type="gramStart"/>
      <w:r w:rsidR="005C1B8E" w:rsidRPr="00951347">
        <w:rPr>
          <w:sz w:val="24"/>
          <w:lang w:val="pt-PT"/>
        </w:rPr>
        <w:t>TA(</w:t>
      </w:r>
      <w:proofErr w:type="gramEnd"/>
      <w:r w:rsidR="005C1B8E" w:rsidRPr="00951347">
        <w:rPr>
          <w:sz w:val="24"/>
          <w:lang w:val="pt-PT"/>
        </w:rPr>
        <w:t>2025)0106).</w:t>
      </w:r>
    </w:p>
    <w:p w14:paraId="3E4BF6B5" w14:textId="361EF3A1" w:rsidR="005C1B8E" w:rsidRPr="00951347" w:rsidRDefault="00951347" w:rsidP="00951347">
      <w:pPr>
        <w:pStyle w:val="FootnoteText"/>
        <w:ind w:left="567" w:hanging="567"/>
        <w:rPr>
          <w:sz w:val="24"/>
          <w:vertAlign w:val="superscript"/>
          <w:lang w:val="pt-PT"/>
        </w:rPr>
      </w:pPr>
      <w:r w:rsidRPr="00951347">
        <w:rPr>
          <w:sz w:val="24"/>
          <w:lang w:val="pt-PT"/>
        </w:rPr>
        <w:t xml:space="preserve"> </w:t>
      </w:r>
      <w:r w:rsidRPr="00951347">
        <w:rPr>
          <w:sz w:val="24"/>
          <w:lang w:val="pt-PT"/>
        </w:rPr>
        <w:tab/>
      </w:r>
      <w:r w:rsidR="005C1B8E" w:rsidRPr="00951347">
        <w:rPr>
          <w:sz w:val="24"/>
          <w:lang w:val="pt-PT"/>
        </w:rPr>
        <w:t>–</w:t>
      </w:r>
      <w:r w:rsidR="005C1B8E" w:rsidRPr="00951347">
        <w:rPr>
          <w:sz w:val="24"/>
          <w:lang w:val="pt-PT"/>
        </w:rPr>
        <w:tab/>
        <w:t>Resolução do Parlamento Europeu, de 8 de outubro de 2025, sobre a Decisão de Execução (UE) 2025/1898 da Comissão, de 22 de setembro de 2025, que autoriza a colocação no mercado de produtos que contenham, sejam constituídos por ou sejam produzidos a partir de milho geneticamente modificado DP51291 nos termos do Regulamento (CE) n.º 1829/2003 do Parlamento Europeu e do Conselho (</w:t>
      </w:r>
      <w:r w:rsidR="00656B9D">
        <w:rPr>
          <w:sz w:val="24"/>
          <w:lang w:val="pt-PT"/>
        </w:rPr>
        <w:t xml:space="preserve">Textos Aprovados, </w:t>
      </w:r>
      <w:r w:rsidR="005C1B8E" w:rsidRPr="00951347">
        <w:rPr>
          <w:sz w:val="24"/>
          <w:lang w:val="pt-PT"/>
        </w:rPr>
        <w:t>P10_</w:t>
      </w:r>
      <w:proofErr w:type="gramStart"/>
      <w:r w:rsidR="005C1B8E" w:rsidRPr="00951347">
        <w:rPr>
          <w:sz w:val="24"/>
          <w:lang w:val="pt-PT"/>
        </w:rPr>
        <w:t>TA(</w:t>
      </w:r>
      <w:proofErr w:type="gramEnd"/>
      <w:r w:rsidR="005C1B8E" w:rsidRPr="00951347">
        <w:rPr>
          <w:sz w:val="24"/>
          <w:lang w:val="pt-PT"/>
        </w:rPr>
        <w:t>2025)0222).</w:t>
      </w:r>
    </w:p>
    <w:p w14:paraId="0344575F" w14:textId="7A07B428" w:rsidR="005C1B8E" w:rsidRPr="00951347" w:rsidRDefault="00951347" w:rsidP="00951347">
      <w:pPr>
        <w:pStyle w:val="FootnoteText"/>
        <w:ind w:left="567" w:hanging="567"/>
        <w:rPr>
          <w:sz w:val="24"/>
          <w:vertAlign w:val="superscript"/>
          <w:lang w:val="pt-PT"/>
        </w:rPr>
      </w:pPr>
      <w:r w:rsidRPr="00951347">
        <w:rPr>
          <w:sz w:val="24"/>
          <w:lang w:val="pt-PT"/>
        </w:rPr>
        <w:t xml:space="preserve"> </w:t>
      </w:r>
      <w:r w:rsidRPr="00951347">
        <w:rPr>
          <w:sz w:val="24"/>
          <w:lang w:val="pt-PT"/>
        </w:rPr>
        <w:tab/>
      </w:r>
      <w:r w:rsidR="005C1B8E" w:rsidRPr="00951347">
        <w:rPr>
          <w:sz w:val="24"/>
          <w:lang w:val="pt-PT"/>
        </w:rPr>
        <w:t>–</w:t>
      </w:r>
      <w:r w:rsidR="005C1B8E" w:rsidRPr="00951347">
        <w:rPr>
          <w:sz w:val="24"/>
          <w:lang w:val="pt-PT"/>
        </w:rPr>
        <w:tab/>
        <w:t>Resolução do Parlamento Europeu, de 25 de novembro de 2025, sobre o projeto de decisão de execução da Comissão que autoriza a colocação no mercado de produtos que contenham, sejam constituídos por ou sejam produzidos a partir de milho geneticamente modificado DAS1131, nos termos do Regulamento (CE) n.º 1829/2003 do Parlamento Europeu e do Conselho (</w:t>
      </w:r>
      <w:r w:rsidR="00656B9D">
        <w:rPr>
          <w:sz w:val="24"/>
          <w:lang w:val="pt-PT"/>
        </w:rPr>
        <w:t xml:space="preserve">Textos Aprovados, </w:t>
      </w:r>
      <w:r w:rsidR="005C1B8E" w:rsidRPr="00951347">
        <w:rPr>
          <w:sz w:val="24"/>
          <w:lang w:val="pt-PT"/>
        </w:rPr>
        <w:t>P10_</w:t>
      </w:r>
      <w:proofErr w:type="gramStart"/>
      <w:r w:rsidR="005C1B8E" w:rsidRPr="00951347">
        <w:rPr>
          <w:sz w:val="24"/>
          <w:lang w:val="pt-PT"/>
        </w:rPr>
        <w:t>TA(</w:t>
      </w:r>
      <w:proofErr w:type="gramEnd"/>
      <w:r w:rsidR="005C1B8E" w:rsidRPr="00951347">
        <w:rPr>
          <w:sz w:val="24"/>
          <w:lang w:val="pt-PT"/>
        </w:rPr>
        <w:t>2025)0288).</w:t>
      </w:r>
    </w:p>
    <w:p w14:paraId="6FD89447" w14:textId="7FA7C044" w:rsidR="005C1B8E" w:rsidRPr="00951347" w:rsidRDefault="00951347" w:rsidP="00951347">
      <w:pPr>
        <w:pStyle w:val="FootnoteText"/>
        <w:keepNext/>
        <w:ind w:left="567" w:hanging="567"/>
        <w:rPr>
          <w:sz w:val="24"/>
          <w:vertAlign w:val="superscript"/>
          <w:lang w:val="pt-PT"/>
        </w:rPr>
      </w:pPr>
      <w:r w:rsidRPr="00951347">
        <w:rPr>
          <w:sz w:val="24"/>
          <w:lang w:val="pt-PT"/>
        </w:rPr>
        <w:t xml:space="preserve"> </w:t>
      </w:r>
      <w:r w:rsidRPr="00951347">
        <w:rPr>
          <w:sz w:val="24"/>
          <w:lang w:val="pt-PT"/>
        </w:rPr>
        <w:tab/>
      </w:r>
      <w:r w:rsidR="005C1B8E" w:rsidRPr="00951347">
        <w:rPr>
          <w:sz w:val="24"/>
          <w:lang w:val="pt-PT"/>
        </w:rPr>
        <w:t>–</w:t>
      </w:r>
      <w:r w:rsidR="005C1B8E" w:rsidRPr="00951347">
        <w:rPr>
          <w:sz w:val="24"/>
          <w:lang w:val="pt-PT"/>
        </w:rPr>
        <w:tab/>
        <w:t>Resolução do Parlamento Europeu, de 25 de novembro de 2025, sobre o projeto de decisão de execução da Comissão que renova a autorização de colocação no mercado de produtos que contenham, sejam constituídos por ou produzidos a partir de algodão geneticamente modificado MON 88913 (MON</w:t>
      </w:r>
      <w:r w:rsidR="005C1B8E" w:rsidRPr="00951347">
        <w:rPr>
          <w:sz w:val="24"/>
          <w:lang w:val="pt-PT"/>
        </w:rPr>
        <w:noBreakHyphen/>
        <w:t>88913</w:t>
      </w:r>
      <w:r w:rsidR="005C1B8E" w:rsidRPr="00951347">
        <w:rPr>
          <w:sz w:val="24"/>
          <w:lang w:val="pt-PT"/>
        </w:rPr>
        <w:noBreakHyphen/>
        <w:t>8), nos termos do Regulamento (CE) n.º 1829/2003 do Parlamento Europeu e do Conselho (</w:t>
      </w:r>
      <w:r w:rsidR="00656B9D">
        <w:rPr>
          <w:sz w:val="24"/>
          <w:lang w:val="pt-PT"/>
        </w:rPr>
        <w:t xml:space="preserve">Textos Aprovados, </w:t>
      </w:r>
      <w:r w:rsidR="005C1B8E" w:rsidRPr="00951347">
        <w:rPr>
          <w:sz w:val="24"/>
          <w:lang w:val="pt-PT"/>
        </w:rPr>
        <w:t>P10_</w:t>
      </w:r>
      <w:proofErr w:type="gramStart"/>
      <w:r w:rsidR="005C1B8E" w:rsidRPr="00951347">
        <w:rPr>
          <w:sz w:val="24"/>
          <w:lang w:val="pt-PT"/>
        </w:rPr>
        <w:t>TA(</w:t>
      </w:r>
      <w:proofErr w:type="gramEnd"/>
      <w:r w:rsidR="005C1B8E" w:rsidRPr="00951347">
        <w:rPr>
          <w:sz w:val="24"/>
          <w:lang w:val="pt-PT"/>
        </w:rPr>
        <w:t>2025)0289).</w:t>
      </w:r>
    </w:p>
    <w:p w14:paraId="62BD4D8C" w14:textId="77C12751" w:rsidR="005C1B8E" w:rsidRPr="00951347" w:rsidRDefault="00951347" w:rsidP="00951347">
      <w:pPr>
        <w:pStyle w:val="FootnoteText"/>
        <w:ind w:left="567" w:hanging="567"/>
        <w:rPr>
          <w:sz w:val="24"/>
          <w:vertAlign w:val="superscript"/>
          <w:lang w:val="pt-PT"/>
        </w:rPr>
      </w:pPr>
      <w:r w:rsidRPr="00951347">
        <w:rPr>
          <w:sz w:val="24"/>
          <w:lang w:val="pt-PT"/>
        </w:rPr>
        <w:t xml:space="preserve"> </w:t>
      </w:r>
      <w:r w:rsidRPr="00951347">
        <w:rPr>
          <w:sz w:val="24"/>
          <w:lang w:val="pt-PT"/>
        </w:rPr>
        <w:tab/>
      </w:r>
      <w:r w:rsidR="005C1B8E" w:rsidRPr="00951347">
        <w:rPr>
          <w:sz w:val="24"/>
          <w:lang w:val="pt-PT"/>
        </w:rPr>
        <w:t>–</w:t>
      </w:r>
      <w:r w:rsidR="005C1B8E" w:rsidRPr="00951347">
        <w:rPr>
          <w:sz w:val="24"/>
          <w:lang w:val="pt-PT"/>
        </w:rPr>
        <w:tab/>
        <w:t>Resolução do Parlamento Europeu, de 25 de novembro de 2025, sobre o projeto de decisão de execução da Comissão que renova a autorização de colocação no mercado de produtos que contenham, sejam constituídos por ou sejam produzidos a partir de colza geneticamente modificada MON 88302, nos termos do Regulamento (CE) n.º 1829/2003 do Parlamento Europeu e do Conselho (</w:t>
      </w:r>
      <w:r w:rsidR="00656B9D">
        <w:rPr>
          <w:sz w:val="24"/>
          <w:lang w:val="pt-PT"/>
        </w:rPr>
        <w:t xml:space="preserve">Textos Aprovados, </w:t>
      </w:r>
      <w:r w:rsidR="005C1B8E" w:rsidRPr="00951347">
        <w:rPr>
          <w:sz w:val="24"/>
          <w:lang w:val="pt-PT"/>
        </w:rPr>
        <w:t>P10_</w:t>
      </w:r>
      <w:proofErr w:type="gramStart"/>
      <w:r w:rsidR="005C1B8E" w:rsidRPr="00951347">
        <w:rPr>
          <w:sz w:val="24"/>
          <w:lang w:val="pt-PT"/>
        </w:rPr>
        <w:t>TA(</w:t>
      </w:r>
      <w:proofErr w:type="gramEnd"/>
      <w:r w:rsidR="005C1B8E" w:rsidRPr="00951347">
        <w:rPr>
          <w:sz w:val="24"/>
          <w:lang w:val="pt-PT"/>
        </w:rPr>
        <w:t>2025)0290).</w:t>
      </w:r>
    </w:p>
    <w:p w14:paraId="1354D80B" w14:textId="5AF6B404" w:rsidR="005C1B8E" w:rsidRPr="00951347" w:rsidRDefault="00951347" w:rsidP="00951347">
      <w:pPr>
        <w:pStyle w:val="FootnoteText"/>
        <w:ind w:left="567" w:hanging="567"/>
        <w:rPr>
          <w:sz w:val="24"/>
          <w:vertAlign w:val="superscript"/>
          <w:lang w:val="pt-PT"/>
        </w:rPr>
      </w:pPr>
      <w:r w:rsidRPr="00951347">
        <w:rPr>
          <w:sz w:val="24"/>
          <w:lang w:val="pt-PT"/>
        </w:rPr>
        <w:t xml:space="preserve"> </w:t>
      </w:r>
      <w:r w:rsidRPr="00951347">
        <w:rPr>
          <w:sz w:val="24"/>
          <w:lang w:val="pt-PT"/>
        </w:rPr>
        <w:tab/>
      </w:r>
      <w:r w:rsidR="005C1B8E" w:rsidRPr="00951347">
        <w:rPr>
          <w:sz w:val="24"/>
          <w:lang w:val="pt-PT"/>
        </w:rPr>
        <w:t>–</w:t>
      </w:r>
      <w:r w:rsidR="005C1B8E" w:rsidRPr="00951347">
        <w:rPr>
          <w:sz w:val="24"/>
          <w:lang w:val="pt-PT"/>
        </w:rPr>
        <w:tab/>
        <w:t>Resolução do Parlamento Europeu, de 25 de novembro de 2025, sobre a Decisão de Execução da Comissão que renova a autorização de colocação no mercado de produtos que contenham, sejam constituídos por ou sejam produzidos a partir de soja geneticamente modificada MON 87708, nos termos do Regulamento (CE) n.º 1829/2003 do Parlamento Europeu e do Conselho (</w:t>
      </w:r>
      <w:r w:rsidR="00656B9D">
        <w:rPr>
          <w:sz w:val="24"/>
          <w:lang w:val="pt-PT"/>
        </w:rPr>
        <w:t xml:space="preserve">Textos Aprovados, </w:t>
      </w:r>
      <w:r w:rsidR="005C1B8E" w:rsidRPr="00951347">
        <w:rPr>
          <w:sz w:val="24"/>
          <w:lang w:val="pt-PT"/>
        </w:rPr>
        <w:t>P10_</w:t>
      </w:r>
      <w:proofErr w:type="gramStart"/>
      <w:r w:rsidR="005C1B8E" w:rsidRPr="00951347">
        <w:rPr>
          <w:sz w:val="24"/>
          <w:lang w:val="pt-PT"/>
        </w:rPr>
        <w:t>TA(</w:t>
      </w:r>
      <w:proofErr w:type="gramEnd"/>
      <w:r w:rsidR="005C1B8E" w:rsidRPr="00951347">
        <w:rPr>
          <w:sz w:val="24"/>
          <w:lang w:val="pt-PT"/>
        </w:rPr>
        <w:t>2025)0291).</w:t>
      </w:r>
    </w:p>
    <w:p w14:paraId="38F0CBDA" w14:textId="6CBF1F76" w:rsidR="005C1B8E" w:rsidRPr="00951347" w:rsidRDefault="00951347" w:rsidP="00951347">
      <w:pPr>
        <w:pStyle w:val="FootnoteText"/>
        <w:ind w:left="567" w:hanging="567"/>
        <w:rPr>
          <w:sz w:val="24"/>
          <w:vertAlign w:val="superscript"/>
          <w:lang w:val="pt-PT"/>
        </w:rPr>
      </w:pPr>
      <w:r w:rsidRPr="00951347">
        <w:rPr>
          <w:sz w:val="24"/>
          <w:lang w:val="pt-PT"/>
        </w:rPr>
        <w:t xml:space="preserve"> </w:t>
      </w:r>
      <w:r w:rsidRPr="00951347">
        <w:rPr>
          <w:sz w:val="24"/>
          <w:lang w:val="pt-PT"/>
        </w:rPr>
        <w:tab/>
      </w:r>
      <w:r w:rsidR="005C1B8E" w:rsidRPr="00951347">
        <w:rPr>
          <w:sz w:val="24"/>
          <w:lang w:val="pt-PT"/>
        </w:rPr>
        <w:t>Resolução do Parlamento Europeu, de 25 de novembro de 2025, sobre o projeto de decisão de execução da Comissão que renova a autorização de colocação no mercado de produtos que contenham, sejam constituídos por ou sejam produzidos a partir de milho geneticamente modificado MON 87427, nos termos do Regulamento (CE) n.º 1829/2003 do Parlamento Europeu e do Conselho (</w:t>
      </w:r>
      <w:r w:rsidR="00656B9D">
        <w:rPr>
          <w:sz w:val="24"/>
          <w:lang w:val="pt-PT"/>
        </w:rPr>
        <w:t xml:space="preserve">Textos Aprovados, </w:t>
      </w:r>
      <w:r w:rsidR="005C1B8E" w:rsidRPr="00951347">
        <w:rPr>
          <w:sz w:val="24"/>
          <w:lang w:val="pt-PT"/>
        </w:rPr>
        <w:t>P10_</w:t>
      </w:r>
      <w:proofErr w:type="gramStart"/>
      <w:r w:rsidR="005C1B8E" w:rsidRPr="00951347">
        <w:rPr>
          <w:sz w:val="24"/>
          <w:lang w:val="pt-PT"/>
        </w:rPr>
        <w:t>TA(</w:t>
      </w:r>
      <w:proofErr w:type="gramEnd"/>
      <w:r w:rsidR="005C1B8E" w:rsidRPr="00951347">
        <w:rPr>
          <w:sz w:val="24"/>
          <w:lang w:val="pt-PT"/>
        </w:rPr>
        <w:t>2025)0292).</w:t>
      </w:r>
    </w:p>
    <w:p w14:paraId="08C94A55" w14:textId="09E4D867" w:rsidR="005C1B8E" w:rsidRPr="00951347" w:rsidRDefault="00951347" w:rsidP="00951347">
      <w:pPr>
        <w:pStyle w:val="FootnoteText"/>
        <w:ind w:left="567" w:hanging="567"/>
        <w:rPr>
          <w:sz w:val="24"/>
          <w:vertAlign w:val="superscript"/>
          <w:lang w:val="pt-PT"/>
        </w:rPr>
      </w:pPr>
      <w:r w:rsidRPr="00951347">
        <w:rPr>
          <w:sz w:val="24"/>
          <w:lang w:val="pt-PT"/>
        </w:rPr>
        <w:t xml:space="preserve"> </w:t>
      </w:r>
      <w:r w:rsidRPr="00951347">
        <w:rPr>
          <w:sz w:val="24"/>
          <w:lang w:val="pt-PT"/>
        </w:rPr>
        <w:tab/>
      </w:r>
      <w:r w:rsidR="005C1B8E" w:rsidRPr="00951347">
        <w:rPr>
          <w:sz w:val="24"/>
          <w:lang w:val="pt-PT"/>
        </w:rPr>
        <w:t>Resolução do Parlamento Europeu, de 16 de dezembro de 2025, sobre o projeto de decisão de execução da Comissão que renova a autorização de colocação no mercado de produtos que contenham, sejam constituídos por, ou sejam produzidos a partir de milho geneticamente modificado NK603, nos termos do Regulamento (CE) n.º 1829/2003 do Parlamento Europeu e do Conselho (</w:t>
      </w:r>
      <w:r w:rsidR="00656B9D">
        <w:rPr>
          <w:sz w:val="24"/>
          <w:lang w:val="pt-PT"/>
        </w:rPr>
        <w:t xml:space="preserve">Textos Aprovados, </w:t>
      </w:r>
      <w:r w:rsidR="005C1B8E" w:rsidRPr="00951347">
        <w:rPr>
          <w:sz w:val="24"/>
          <w:lang w:val="pt-PT"/>
        </w:rPr>
        <w:t>P10_</w:t>
      </w:r>
      <w:proofErr w:type="gramStart"/>
      <w:r w:rsidR="005C1B8E" w:rsidRPr="00951347">
        <w:rPr>
          <w:sz w:val="24"/>
          <w:lang w:val="pt-PT"/>
        </w:rPr>
        <w:t>TA(</w:t>
      </w:r>
      <w:proofErr w:type="gramEnd"/>
      <w:r w:rsidR="005C1B8E" w:rsidRPr="00951347">
        <w:rPr>
          <w:sz w:val="24"/>
          <w:lang w:val="pt-PT"/>
        </w:rPr>
        <w:t>2025)0327).</w:t>
      </w:r>
    </w:p>
    <w:p w14:paraId="2D355414" w14:textId="59EC1027" w:rsidR="005C1B8E" w:rsidRPr="00951347" w:rsidRDefault="00951347" w:rsidP="00951347">
      <w:pPr>
        <w:pStyle w:val="FootnoteText"/>
        <w:ind w:left="567" w:hanging="567"/>
        <w:rPr>
          <w:sz w:val="24"/>
          <w:lang w:val="pt-PT"/>
        </w:rPr>
      </w:pPr>
      <w:r w:rsidRPr="00951347">
        <w:rPr>
          <w:sz w:val="24"/>
          <w:lang w:val="pt-PT"/>
        </w:rPr>
        <w:t xml:space="preserve"> </w:t>
      </w:r>
      <w:r w:rsidRPr="00951347">
        <w:rPr>
          <w:sz w:val="24"/>
          <w:lang w:val="pt-PT"/>
        </w:rPr>
        <w:tab/>
      </w:r>
      <w:r w:rsidR="005C1B8E" w:rsidRPr="00951347">
        <w:rPr>
          <w:sz w:val="24"/>
          <w:lang w:val="pt-PT"/>
        </w:rPr>
        <w:t>Resolução do Parlamento Europeu, de 16 de dezembro de 2025, sobre o projeto de decisão de execução da Comissão que autoriza a colocação no mercado de géneros alimentícios, ingredientes alimentares e alimentos para animais produzidos a partir de beterraba geneticamente modificada KWS20‑1, nos termos do Regulamento (CE) n.º 1829/2003 do Parlamento Europeu e do Conselho (</w:t>
      </w:r>
      <w:r w:rsidR="00656B9D">
        <w:rPr>
          <w:sz w:val="24"/>
          <w:lang w:val="pt-PT"/>
        </w:rPr>
        <w:t xml:space="preserve">Textos Aprovados, </w:t>
      </w:r>
      <w:r w:rsidR="005C1B8E" w:rsidRPr="00951347">
        <w:rPr>
          <w:sz w:val="24"/>
          <w:lang w:val="pt-PT"/>
        </w:rPr>
        <w:t>P10_</w:t>
      </w:r>
      <w:proofErr w:type="gramStart"/>
      <w:r w:rsidR="005C1B8E" w:rsidRPr="00951347">
        <w:rPr>
          <w:sz w:val="24"/>
          <w:lang w:val="pt-PT"/>
        </w:rPr>
        <w:t>TA(</w:t>
      </w:r>
      <w:proofErr w:type="gramEnd"/>
      <w:r w:rsidR="005C1B8E" w:rsidRPr="00951347">
        <w:rPr>
          <w:sz w:val="24"/>
          <w:lang w:val="pt-PT"/>
        </w:rPr>
        <w:t>2025)0328).</w:t>
      </w:r>
    </w:p>
  </w:footnote>
  <w:footnote w:id="5">
    <w:p w14:paraId="71E75BC1" w14:textId="51A25F5A"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sz w:val="24"/>
          <w:lang w:val="pt-PT"/>
        </w:rPr>
        <w:t xml:space="preserve"> </w:t>
      </w:r>
      <w:r w:rsidR="00951347" w:rsidRPr="00951347">
        <w:rPr>
          <w:sz w:val="24"/>
          <w:lang w:val="pt-PT"/>
        </w:rPr>
        <w:tab/>
      </w:r>
      <w:r w:rsidRPr="00951347">
        <w:rPr>
          <w:sz w:val="24"/>
          <w:lang w:val="pt-PT"/>
        </w:rPr>
        <w:t>Decisão de Execução (UE) 2015/690 da Comissão, de 24 de abril de 2015, que autoriza a colocação no mercado de produtos que contenham, sejam constituídos por, ou produzidos a partir de algodão geneticamente modificado GHB614xLLCotton25 (BCS</w:t>
      </w:r>
      <w:r w:rsidRPr="00951347">
        <w:rPr>
          <w:sz w:val="24"/>
          <w:lang w:val="pt-PT"/>
        </w:rPr>
        <w:noBreakHyphen/>
        <w:t>GHØØ2</w:t>
      </w:r>
      <w:r w:rsidRPr="00951347">
        <w:rPr>
          <w:sz w:val="24"/>
          <w:lang w:val="pt-PT"/>
        </w:rPr>
        <w:noBreakHyphen/>
        <w:t>5xACS</w:t>
      </w:r>
      <w:r w:rsidRPr="00951347">
        <w:rPr>
          <w:sz w:val="24"/>
          <w:lang w:val="pt-PT"/>
        </w:rPr>
        <w:noBreakHyphen/>
        <w:t>GHØØ1</w:t>
      </w:r>
      <w:r w:rsidRPr="00951347">
        <w:rPr>
          <w:sz w:val="24"/>
          <w:lang w:val="pt-PT"/>
        </w:rPr>
        <w:noBreakHyphen/>
        <w:t>3) nos termos do Regulamento (CE) n.º 1829/2003 do Parlamento Europeu e do Conselho (JO L 112 de 30.4.2015, p. 35, ELI: </w:t>
      </w:r>
      <w:hyperlink r:id="rId14" w:history="1">
        <w:r w:rsidRPr="00951347">
          <w:rPr>
            <w:rStyle w:val="Hyperlink"/>
            <w:sz w:val="24"/>
            <w:lang w:val="pt-PT"/>
          </w:rPr>
          <w:t>http://data.europa.eu/eli/dec_impl/2015/690/oj</w:t>
        </w:r>
      </w:hyperlink>
      <w:r w:rsidRPr="00951347">
        <w:rPr>
          <w:rStyle w:val="Hyperlink"/>
          <w:sz w:val="24"/>
          <w:lang w:val="pt-PT"/>
        </w:rPr>
        <w:t>).</w:t>
      </w:r>
    </w:p>
  </w:footnote>
  <w:footnote w:id="6">
    <w:p w14:paraId="53B7E8CF" w14:textId="389D0859"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sz w:val="24"/>
          <w:lang w:val="pt-PT"/>
        </w:rPr>
        <w:t xml:space="preserve"> </w:t>
      </w:r>
      <w:r w:rsidR="00951347" w:rsidRPr="00951347">
        <w:rPr>
          <w:sz w:val="24"/>
          <w:lang w:val="pt-PT"/>
        </w:rPr>
        <w:tab/>
      </w:r>
      <w:r w:rsidRPr="00951347">
        <w:rPr>
          <w:sz w:val="24"/>
          <w:lang w:val="pt-PT"/>
        </w:rPr>
        <w:t>Parecer científico do Painel dos Organismos Geneticamente Modificados da EFSA sobre o pedido (EFSA</w:t>
      </w:r>
      <w:r w:rsidRPr="00951347">
        <w:rPr>
          <w:sz w:val="24"/>
          <w:lang w:val="pt-PT"/>
        </w:rPr>
        <w:noBreakHyphen/>
        <w:t>GMO</w:t>
      </w:r>
      <w:r w:rsidRPr="00951347">
        <w:rPr>
          <w:sz w:val="24"/>
          <w:lang w:val="pt-PT"/>
        </w:rPr>
        <w:noBreakHyphen/>
        <w:t>NL</w:t>
      </w:r>
      <w:r w:rsidRPr="00951347">
        <w:rPr>
          <w:sz w:val="24"/>
          <w:lang w:val="pt-PT"/>
        </w:rPr>
        <w:noBreakHyphen/>
        <w:t>2010</w:t>
      </w:r>
      <w:r w:rsidRPr="00951347">
        <w:rPr>
          <w:sz w:val="24"/>
          <w:lang w:val="pt-PT"/>
        </w:rPr>
        <w:noBreakHyphen/>
        <w:t xml:space="preserve">77) da Bayer </w:t>
      </w:r>
      <w:proofErr w:type="spellStart"/>
      <w:r w:rsidRPr="00951347">
        <w:rPr>
          <w:sz w:val="24"/>
          <w:lang w:val="pt-PT"/>
        </w:rPr>
        <w:t>CropScience</w:t>
      </w:r>
      <w:proofErr w:type="spellEnd"/>
      <w:r w:rsidRPr="00951347">
        <w:rPr>
          <w:sz w:val="24"/>
          <w:lang w:val="pt-PT"/>
        </w:rPr>
        <w:t xml:space="preserve"> de colocação no mercado de algodão geneticamente modificado GHB614 × LLCotton25 resistente a herbicidas para uso na alimentação humana ou animal, importação e transformação, nos termos do Regulamento (CE) n.º 1829/2003, </w:t>
      </w:r>
      <w:r w:rsidRPr="00951347">
        <w:rPr>
          <w:i/>
          <w:iCs/>
          <w:sz w:val="24"/>
          <w:lang w:val="pt-PT"/>
        </w:rPr>
        <w:t xml:space="preserve">EFSA </w:t>
      </w:r>
      <w:proofErr w:type="spellStart"/>
      <w:r w:rsidRPr="00951347">
        <w:rPr>
          <w:i/>
          <w:iCs/>
          <w:sz w:val="24"/>
          <w:lang w:val="pt-PT"/>
        </w:rPr>
        <w:t>Journal</w:t>
      </w:r>
      <w:proofErr w:type="spellEnd"/>
      <w:r w:rsidRPr="00951347">
        <w:rPr>
          <w:sz w:val="24"/>
          <w:lang w:val="pt-PT"/>
        </w:rPr>
        <w:t xml:space="preserve">, 2014, 12(5):3680, </w:t>
      </w:r>
      <w:hyperlink r:id="rId15" w:history="1">
        <w:r w:rsidRPr="00951347">
          <w:rPr>
            <w:rStyle w:val="Hyperlink"/>
            <w:sz w:val="24"/>
            <w:lang w:val="pt-PT"/>
          </w:rPr>
          <w:t>https://doi.org/10.2903/j.efsa.2014.3680</w:t>
        </w:r>
      </w:hyperlink>
      <w:r w:rsidRPr="00951347">
        <w:rPr>
          <w:sz w:val="24"/>
          <w:lang w:val="pt-PT"/>
        </w:rPr>
        <w:t xml:space="preserve">. </w:t>
      </w:r>
    </w:p>
  </w:footnote>
  <w:footnote w:id="7">
    <w:p w14:paraId="516B240A" w14:textId="31F09F92"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sz w:val="24"/>
          <w:shd w:val="clear" w:color="auto" w:fill="FFFFFF"/>
          <w:lang w:val="pt-PT"/>
        </w:rPr>
        <w:t xml:space="preserve"> </w:t>
      </w:r>
      <w:r w:rsidR="00951347" w:rsidRPr="00951347">
        <w:rPr>
          <w:sz w:val="24"/>
          <w:shd w:val="clear" w:color="auto" w:fill="FFFFFF"/>
          <w:lang w:val="pt-PT"/>
        </w:rPr>
        <w:tab/>
      </w:r>
      <w:r w:rsidRPr="00951347">
        <w:rPr>
          <w:sz w:val="24"/>
          <w:shd w:val="clear" w:color="auto" w:fill="FFFFFF"/>
          <w:lang w:val="pt-PT"/>
        </w:rPr>
        <w:t xml:space="preserve">Ver, por exemplo, </w:t>
      </w:r>
      <w:proofErr w:type="spellStart"/>
      <w:r w:rsidRPr="00951347">
        <w:rPr>
          <w:sz w:val="24"/>
          <w:shd w:val="clear" w:color="auto" w:fill="FFFFFF"/>
          <w:lang w:val="pt-PT"/>
        </w:rPr>
        <w:t>Bonny</w:t>
      </w:r>
      <w:proofErr w:type="spellEnd"/>
      <w:r w:rsidRPr="00951347">
        <w:rPr>
          <w:sz w:val="24"/>
          <w:shd w:val="clear" w:color="auto" w:fill="FFFFFF"/>
          <w:lang w:val="pt-PT"/>
        </w:rPr>
        <w:t>, S., «</w:t>
      </w:r>
      <w:proofErr w:type="spellStart"/>
      <w:r w:rsidRPr="00951347">
        <w:rPr>
          <w:sz w:val="24"/>
          <w:shd w:val="clear" w:color="auto" w:fill="FFFFFF"/>
          <w:lang w:val="pt-PT"/>
        </w:rPr>
        <w:t>Genetically</w:t>
      </w:r>
      <w:proofErr w:type="spellEnd"/>
      <w:r w:rsidRPr="00951347">
        <w:rPr>
          <w:sz w:val="24"/>
          <w:shd w:val="clear" w:color="auto" w:fill="FFFFFF"/>
          <w:lang w:val="pt-PT"/>
        </w:rPr>
        <w:t xml:space="preserve"> </w:t>
      </w:r>
      <w:proofErr w:type="spellStart"/>
      <w:r w:rsidRPr="00951347">
        <w:rPr>
          <w:sz w:val="24"/>
          <w:shd w:val="clear" w:color="auto" w:fill="FFFFFF"/>
          <w:lang w:val="pt-PT"/>
        </w:rPr>
        <w:t>Modified</w:t>
      </w:r>
      <w:proofErr w:type="spellEnd"/>
      <w:r w:rsidRPr="00951347">
        <w:rPr>
          <w:sz w:val="24"/>
          <w:shd w:val="clear" w:color="auto" w:fill="FFFFFF"/>
          <w:lang w:val="pt-PT"/>
        </w:rPr>
        <w:t xml:space="preserve"> </w:t>
      </w:r>
      <w:proofErr w:type="spellStart"/>
      <w:r w:rsidRPr="00951347">
        <w:rPr>
          <w:sz w:val="24"/>
          <w:shd w:val="clear" w:color="auto" w:fill="FFFFFF"/>
          <w:lang w:val="pt-PT"/>
        </w:rPr>
        <w:t>Herbicide‑Tolerant</w:t>
      </w:r>
      <w:proofErr w:type="spellEnd"/>
      <w:r w:rsidRPr="00951347">
        <w:rPr>
          <w:sz w:val="24"/>
          <w:shd w:val="clear" w:color="auto" w:fill="FFFFFF"/>
          <w:lang w:val="pt-PT"/>
        </w:rPr>
        <w:t xml:space="preserve"> </w:t>
      </w:r>
      <w:proofErr w:type="spellStart"/>
      <w:r w:rsidRPr="00951347">
        <w:rPr>
          <w:sz w:val="24"/>
          <w:shd w:val="clear" w:color="auto" w:fill="FFFFFF"/>
          <w:lang w:val="pt-PT"/>
        </w:rPr>
        <w:t>Crops</w:t>
      </w:r>
      <w:proofErr w:type="spellEnd"/>
      <w:r w:rsidRPr="00951347">
        <w:rPr>
          <w:sz w:val="24"/>
          <w:shd w:val="clear" w:color="auto" w:fill="FFFFFF"/>
          <w:lang w:val="pt-PT"/>
        </w:rPr>
        <w:t xml:space="preserve">, </w:t>
      </w:r>
      <w:proofErr w:type="spellStart"/>
      <w:r w:rsidRPr="00951347">
        <w:rPr>
          <w:sz w:val="24"/>
          <w:shd w:val="clear" w:color="auto" w:fill="FFFFFF"/>
          <w:lang w:val="pt-PT"/>
        </w:rPr>
        <w:t>Weeds</w:t>
      </w:r>
      <w:proofErr w:type="spellEnd"/>
      <w:r w:rsidRPr="00951347">
        <w:rPr>
          <w:sz w:val="24"/>
          <w:shd w:val="clear" w:color="auto" w:fill="FFFFFF"/>
          <w:lang w:val="pt-PT"/>
        </w:rPr>
        <w:t xml:space="preserve">, </w:t>
      </w:r>
      <w:proofErr w:type="spellStart"/>
      <w:r w:rsidRPr="00951347">
        <w:rPr>
          <w:sz w:val="24"/>
          <w:shd w:val="clear" w:color="auto" w:fill="FFFFFF"/>
          <w:lang w:val="pt-PT"/>
        </w:rPr>
        <w:t>and</w:t>
      </w:r>
      <w:proofErr w:type="spellEnd"/>
      <w:r w:rsidRPr="00951347">
        <w:rPr>
          <w:sz w:val="24"/>
          <w:shd w:val="clear" w:color="auto" w:fill="FFFFFF"/>
          <w:lang w:val="pt-PT"/>
        </w:rPr>
        <w:t xml:space="preserve"> </w:t>
      </w:r>
      <w:proofErr w:type="spellStart"/>
      <w:r w:rsidRPr="00951347">
        <w:rPr>
          <w:sz w:val="24"/>
          <w:shd w:val="clear" w:color="auto" w:fill="FFFFFF"/>
          <w:lang w:val="pt-PT"/>
        </w:rPr>
        <w:t>Herbicides</w:t>
      </w:r>
      <w:proofErr w:type="spellEnd"/>
      <w:r w:rsidRPr="00951347">
        <w:rPr>
          <w:sz w:val="24"/>
          <w:shd w:val="clear" w:color="auto" w:fill="FFFFFF"/>
          <w:lang w:val="pt-PT"/>
        </w:rPr>
        <w:t xml:space="preserve">: </w:t>
      </w:r>
      <w:proofErr w:type="spellStart"/>
      <w:r w:rsidRPr="00951347">
        <w:rPr>
          <w:sz w:val="24"/>
          <w:lang w:val="pt-PT"/>
        </w:rPr>
        <w:t>Overview</w:t>
      </w:r>
      <w:proofErr w:type="spellEnd"/>
      <w:r w:rsidRPr="00951347">
        <w:rPr>
          <w:sz w:val="24"/>
          <w:lang w:val="pt-PT"/>
        </w:rPr>
        <w:t xml:space="preserve"> </w:t>
      </w:r>
      <w:proofErr w:type="spellStart"/>
      <w:r w:rsidRPr="00951347">
        <w:rPr>
          <w:sz w:val="24"/>
          <w:lang w:val="pt-PT"/>
        </w:rPr>
        <w:t>and</w:t>
      </w:r>
      <w:proofErr w:type="spellEnd"/>
      <w:r w:rsidRPr="00951347">
        <w:rPr>
          <w:sz w:val="24"/>
          <w:lang w:val="pt-PT"/>
        </w:rPr>
        <w:t xml:space="preserve"> </w:t>
      </w:r>
      <w:proofErr w:type="spellStart"/>
      <w:r w:rsidRPr="00951347">
        <w:rPr>
          <w:sz w:val="24"/>
          <w:lang w:val="pt-PT"/>
        </w:rPr>
        <w:t>Impact</w:t>
      </w:r>
      <w:proofErr w:type="spellEnd"/>
      <w:r w:rsidRPr="00951347">
        <w:rPr>
          <w:sz w:val="24"/>
          <w:lang w:val="pt-PT"/>
        </w:rPr>
        <w:t xml:space="preserve">» [Culturas geneticamente modificadas tolerantes a herbicidas, ervas daninhas e herbicidas: visão geral e efeitos], </w:t>
      </w:r>
      <w:proofErr w:type="spellStart"/>
      <w:r w:rsidRPr="00951347">
        <w:rPr>
          <w:i/>
          <w:iCs/>
          <w:sz w:val="24"/>
          <w:lang w:val="pt-PT"/>
        </w:rPr>
        <w:t>Environmental</w:t>
      </w:r>
      <w:proofErr w:type="spellEnd"/>
      <w:r w:rsidRPr="00951347">
        <w:rPr>
          <w:i/>
          <w:iCs/>
          <w:sz w:val="24"/>
          <w:lang w:val="pt-PT"/>
        </w:rPr>
        <w:t xml:space="preserve"> Management</w:t>
      </w:r>
      <w:r w:rsidRPr="00951347">
        <w:rPr>
          <w:sz w:val="24"/>
          <w:lang w:val="pt-PT"/>
        </w:rPr>
        <w:t>, janeiro de 2016, 57(1), pp. 31</w:t>
      </w:r>
      <w:r w:rsidRPr="00951347">
        <w:rPr>
          <w:sz w:val="24"/>
          <w:lang w:val="pt-PT"/>
        </w:rPr>
        <w:noBreakHyphen/>
        <w:t xml:space="preserve">48, </w:t>
      </w:r>
      <w:hyperlink r:id="rId16" w:history="1">
        <w:r w:rsidRPr="00951347">
          <w:rPr>
            <w:rStyle w:val="Hyperlink"/>
            <w:sz w:val="24"/>
            <w:shd w:val="clear" w:color="auto" w:fill="FFFFFF"/>
            <w:lang w:val="pt-PT"/>
          </w:rPr>
          <w:t>https://doi.org/10.1007/s00267</w:t>
        </w:r>
        <w:r w:rsidRPr="00951347">
          <w:rPr>
            <w:rStyle w:val="Hyperlink"/>
            <w:sz w:val="24"/>
            <w:shd w:val="clear" w:color="auto" w:fill="FFFFFF"/>
            <w:lang w:val="pt-PT"/>
          </w:rPr>
          <w:noBreakHyphen/>
          <w:t>015</w:t>
        </w:r>
        <w:r w:rsidRPr="00951347">
          <w:rPr>
            <w:rStyle w:val="Hyperlink"/>
            <w:sz w:val="24"/>
            <w:shd w:val="clear" w:color="auto" w:fill="FFFFFF"/>
            <w:lang w:val="pt-PT"/>
          </w:rPr>
          <w:noBreakHyphen/>
          <w:t>0589</w:t>
        </w:r>
        <w:r w:rsidRPr="00951347">
          <w:rPr>
            <w:rStyle w:val="Hyperlink"/>
            <w:sz w:val="24"/>
            <w:shd w:val="clear" w:color="auto" w:fill="FFFFFF"/>
            <w:lang w:val="pt-PT"/>
          </w:rPr>
          <w:noBreakHyphen/>
          <w:t>7</w:t>
        </w:r>
      </w:hyperlink>
      <w:r w:rsidRPr="00951347">
        <w:rPr>
          <w:sz w:val="24"/>
          <w:lang w:val="pt-PT"/>
        </w:rPr>
        <w:t xml:space="preserve"> e </w:t>
      </w:r>
      <w:proofErr w:type="spellStart"/>
      <w:r w:rsidRPr="00951347">
        <w:rPr>
          <w:sz w:val="24"/>
          <w:lang w:val="pt-PT"/>
        </w:rPr>
        <w:t>Benbrook</w:t>
      </w:r>
      <w:proofErr w:type="spellEnd"/>
      <w:r w:rsidRPr="00951347">
        <w:rPr>
          <w:sz w:val="24"/>
          <w:lang w:val="pt-PT"/>
        </w:rPr>
        <w:t>, C. M., «</w:t>
      </w:r>
      <w:proofErr w:type="spellStart"/>
      <w:r w:rsidRPr="00951347">
        <w:rPr>
          <w:sz w:val="24"/>
          <w:lang w:val="pt-PT"/>
        </w:rPr>
        <w:t>Impacts</w:t>
      </w:r>
      <w:proofErr w:type="spellEnd"/>
      <w:r w:rsidRPr="00951347">
        <w:rPr>
          <w:sz w:val="24"/>
          <w:lang w:val="pt-PT"/>
        </w:rPr>
        <w:t xml:space="preserve"> </w:t>
      </w:r>
      <w:proofErr w:type="spellStart"/>
      <w:r w:rsidRPr="00951347">
        <w:rPr>
          <w:sz w:val="24"/>
          <w:lang w:val="pt-PT"/>
        </w:rPr>
        <w:t>of</w:t>
      </w:r>
      <w:proofErr w:type="spellEnd"/>
      <w:r w:rsidRPr="00951347">
        <w:rPr>
          <w:sz w:val="24"/>
          <w:lang w:val="pt-PT"/>
        </w:rPr>
        <w:t xml:space="preserve"> </w:t>
      </w:r>
      <w:proofErr w:type="spellStart"/>
      <w:r w:rsidRPr="00951347">
        <w:rPr>
          <w:sz w:val="24"/>
          <w:lang w:val="pt-PT"/>
        </w:rPr>
        <w:t>genetically</w:t>
      </w:r>
      <w:proofErr w:type="spellEnd"/>
      <w:r w:rsidRPr="00951347">
        <w:rPr>
          <w:sz w:val="24"/>
          <w:lang w:val="pt-PT"/>
        </w:rPr>
        <w:t xml:space="preserve"> </w:t>
      </w:r>
      <w:proofErr w:type="spellStart"/>
      <w:r w:rsidRPr="00951347">
        <w:rPr>
          <w:sz w:val="24"/>
          <w:lang w:val="pt-PT"/>
        </w:rPr>
        <w:t>engineered</w:t>
      </w:r>
      <w:proofErr w:type="spellEnd"/>
      <w:r w:rsidRPr="00951347">
        <w:rPr>
          <w:sz w:val="24"/>
          <w:lang w:val="pt-PT"/>
        </w:rPr>
        <w:t xml:space="preserve"> cross </w:t>
      </w:r>
      <w:proofErr w:type="spellStart"/>
      <w:r w:rsidRPr="00951347">
        <w:rPr>
          <w:sz w:val="24"/>
          <w:lang w:val="pt-PT"/>
        </w:rPr>
        <w:t>on</w:t>
      </w:r>
      <w:proofErr w:type="spellEnd"/>
      <w:r w:rsidRPr="00951347">
        <w:rPr>
          <w:sz w:val="24"/>
          <w:lang w:val="pt-PT"/>
        </w:rPr>
        <w:t xml:space="preserve"> </w:t>
      </w:r>
      <w:proofErr w:type="spellStart"/>
      <w:r w:rsidRPr="00951347">
        <w:rPr>
          <w:sz w:val="24"/>
          <w:lang w:val="pt-PT"/>
        </w:rPr>
        <w:t>pesticide</w:t>
      </w:r>
      <w:proofErr w:type="spellEnd"/>
      <w:r w:rsidRPr="00951347">
        <w:rPr>
          <w:sz w:val="24"/>
          <w:lang w:val="pt-PT"/>
        </w:rPr>
        <w:t xml:space="preserve"> use in the U.S. </w:t>
      </w:r>
      <w:r w:rsidRPr="00951347">
        <w:rPr>
          <w:sz w:val="24"/>
          <w:lang w:val="pt-PT"/>
        </w:rPr>
        <w:noBreakHyphen/>
        <w:t xml:space="preserve"> the </w:t>
      </w:r>
      <w:proofErr w:type="spellStart"/>
      <w:r w:rsidRPr="00951347">
        <w:rPr>
          <w:sz w:val="24"/>
          <w:lang w:val="pt-PT"/>
        </w:rPr>
        <w:t>first</w:t>
      </w:r>
      <w:proofErr w:type="spellEnd"/>
      <w:r w:rsidRPr="00951347">
        <w:rPr>
          <w:sz w:val="24"/>
          <w:lang w:val="pt-PT"/>
        </w:rPr>
        <w:t xml:space="preserve"> </w:t>
      </w:r>
      <w:proofErr w:type="spellStart"/>
      <w:r w:rsidRPr="00951347">
        <w:rPr>
          <w:sz w:val="24"/>
          <w:lang w:val="pt-PT"/>
        </w:rPr>
        <w:t>sixteen</w:t>
      </w:r>
      <w:proofErr w:type="spellEnd"/>
      <w:r w:rsidRPr="00951347">
        <w:rPr>
          <w:sz w:val="24"/>
          <w:lang w:val="pt-PT"/>
        </w:rPr>
        <w:t xml:space="preserve"> </w:t>
      </w:r>
      <w:proofErr w:type="spellStart"/>
      <w:r w:rsidRPr="00951347">
        <w:rPr>
          <w:sz w:val="24"/>
          <w:lang w:val="pt-PT"/>
        </w:rPr>
        <w:t>years</w:t>
      </w:r>
      <w:proofErr w:type="spellEnd"/>
      <w:r w:rsidRPr="00951347">
        <w:rPr>
          <w:sz w:val="24"/>
          <w:lang w:val="pt-PT"/>
        </w:rPr>
        <w:t xml:space="preserve">» [Impactos das culturas geneticamente modificadas sobre o uso de pesticidas nos EUA </w:t>
      </w:r>
      <w:r w:rsidR="00656B9D">
        <w:rPr>
          <w:sz w:val="24"/>
          <w:lang w:val="pt-PT"/>
        </w:rPr>
        <w:t>–</w:t>
      </w:r>
      <w:r w:rsidR="00656B9D" w:rsidRPr="00951347">
        <w:rPr>
          <w:sz w:val="24"/>
          <w:lang w:val="pt-PT"/>
        </w:rPr>
        <w:t xml:space="preserve"> </w:t>
      </w:r>
      <w:r w:rsidRPr="00951347">
        <w:rPr>
          <w:sz w:val="24"/>
          <w:lang w:val="pt-PT"/>
        </w:rPr>
        <w:t xml:space="preserve">os primeiros 16 anos], </w:t>
      </w:r>
      <w:proofErr w:type="spellStart"/>
      <w:r w:rsidRPr="00951347">
        <w:rPr>
          <w:i/>
          <w:iCs/>
          <w:sz w:val="24"/>
          <w:lang w:val="pt-PT"/>
        </w:rPr>
        <w:t>Environmental</w:t>
      </w:r>
      <w:proofErr w:type="spellEnd"/>
      <w:r w:rsidRPr="00951347">
        <w:rPr>
          <w:i/>
          <w:iCs/>
          <w:sz w:val="24"/>
          <w:lang w:val="pt-PT"/>
        </w:rPr>
        <w:t xml:space="preserve"> </w:t>
      </w:r>
      <w:proofErr w:type="spellStart"/>
      <w:r w:rsidRPr="00951347">
        <w:rPr>
          <w:i/>
          <w:iCs/>
          <w:sz w:val="24"/>
          <w:lang w:val="pt-PT"/>
        </w:rPr>
        <w:t>Sciences</w:t>
      </w:r>
      <w:proofErr w:type="spellEnd"/>
      <w:r w:rsidRPr="00951347">
        <w:rPr>
          <w:i/>
          <w:iCs/>
          <w:sz w:val="24"/>
          <w:lang w:val="pt-PT"/>
        </w:rPr>
        <w:t xml:space="preserve"> </w:t>
      </w:r>
      <w:proofErr w:type="spellStart"/>
      <w:r w:rsidRPr="00951347">
        <w:rPr>
          <w:i/>
          <w:iCs/>
          <w:sz w:val="24"/>
          <w:lang w:val="pt-PT"/>
        </w:rPr>
        <w:t>Europe</w:t>
      </w:r>
      <w:proofErr w:type="spellEnd"/>
      <w:r w:rsidRPr="00951347">
        <w:rPr>
          <w:sz w:val="24"/>
          <w:lang w:val="pt-PT"/>
        </w:rPr>
        <w:t xml:space="preserve">, 28 de setembro de 2012, vol. 24(1), </w:t>
      </w:r>
      <w:hyperlink r:id="rId17" w:history="1">
        <w:r w:rsidRPr="00951347">
          <w:rPr>
            <w:rStyle w:val="Hyperlink"/>
            <w:sz w:val="24"/>
            <w:shd w:val="clear" w:color="auto" w:fill="FFFFFF"/>
            <w:lang w:val="pt-PT"/>
          </w:rPr>
          <w:t>https://doi.org/10.1186/2190</w:t>
        </w:r>
        <w:r w:rsidRPr="00951347">
          <w:rPr>
            <w:rStyle w:val="Hyperlink"/>
            <w:sz w:val="24"/>
            <w:shd w:val="clear" w:color="auto" w:fill="FFFFFF"/>
            <w:lang w:val="pt-PT"/>
          </w:rPr>
          <w:noBreakHyphen/>
          <w:t>4715</w:t>
        </w:r>
        <w:r w:rsidRPr="00951347">
          <w:rPr>
            <w:rStyle w:val="Hyperlink"/>
            <w:sz w:val="24"/>
            <w:shd w:val="clear" w:color="auto" w:fill="FFFFFF"/>
            <w:lang w:val="pt-PT"/>
          </w:rPr>
          <w:noBreakHyphen/>
          <w:t>24</w:t>
        </w:r>
        <w:r w:rsidRPr="00951347">
          <w:rPr>
            <w:rStyle w:val="Hyperlink"/>
            <w:sz w:val="24"/>
            <w:shd w:val="clear" w:color="auto" w:fill="FFFFFF"/>
            <w:lang w:val="pt-PT"/>
          </w:rPr>
          <w:noBreakHyphen/>
          <w:t>24</w:t>
        </w:r>
      </w:hyperlink>
      <w:r w:rsidRPr="00951347">
        <w:rPr>
          <w:rStyle w:val="Hyperlink"/>
          <w:sz w:val="24"/>
          <w:shd w:val="clear" w:color="auto" w:fill="FFFFFF"/>
          <w:lang w:val="pt-PT"/>
        </w:rPr>
        <w:t>.</w:t>
      </w:r>
      <w:r w:rsidRPr="00951347">
        <w:rPr>
          <w:sz w:val="24"/>
          <w:shd w:val="clear" w:color="auto" w:fill="FFFFFF"/>
          <w:lang w:val="pt-PT"/>
        </w:rPr>
        <w:t xml:space="preserve"> </w:t>
      </w:r>
    </w:p>
  </w:footnote>
  <w:footnote w:id="8">
    <w:p w14:paraId="1652817B" w14:textId="5A427780"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sz w:val="24"/>
          <w:lang w:val="pt-PT"/>
        </w:rPr>
        <w:t xml:space="preserve"> </w:t>
      </w:r>
      <w:r w:rsidR="00951347" w:rsidRPr="00951347">
        <w:rPr>
          <w:sz w:val="24"/>
          <w:lang w:val="pt-PT"/>
        </w:rPr>
        <w:tab/>
      </w:r>
      <w:r w:rsidRPr="00951347">
        <w:rPr>
          <w:sz w:val="24"/>
          <w:lang w:val="pt-PT"/>
        </w:rPr>
        <w:t xml:space="preserve">Ver, por exemplo, </w:t>
      </w:r>
      <w:hyperlink r:id="rId18" w:history="1">
        <w:r w:rsidRPr="00951347">
          <w:rPr>
            <w:rStyle w:val="Hyperlink"/>
            <w:sz w:val="24"/>
            <w:lang w:val="pt-PT"/>
          </w:rPr>
          <w:t>https://doi.org/10.1002/ps.8105</w:t>
        </w:r>
      </w:hyperlink>
      <w:r w:rsidRPr="00951347">
        <w:rPr>
          <w:sz w:val="24"/>
          <w:lang w:val="pt-PT"/>
        </w:rPr>
        <w:t xml:space="preserve"> e </w:t>
      </w:r>
      <w:bookmarkStart w:id="11" w:name="_Hlk219205442"/>
      <w:r w:rsidRPr="00951347">
        <w:rPr>
          <w:sz w:val="24"/>
          <w:lang w:val="pt-PT"/>
        </w:rPr>
        <w:fldChar w:fldCharType="begin"/>
      </w:r>
      <w:r w:rsidRPr="00951347">
        <w:rPr>
          <w:sz w:val="24"/>
          <w:lang w:val="pt-PT"/>
        </w:rPr>
        <w:instrText>HYPERLINK "https://doi.org/10.1016/j.geoforum.2009.03.009"</w:instrText>
      </w:r>
      <w:r w:rsidRPr="00951347">
        <w:rPr>
          <w:sz w:val="24"/>
          <w:lang w:val="pt-PT"/>
        </w:rPr>
      </w:r>
      <w:r w:rsidRPr="00951347">
        <w:rPr>
          <w:sz w:val="24"/>
          <w:lang w:val="pt-PT"/>
        </w:rPr>
        <w:fldChar w:fldCharType="separate"/>
      </w:r>
      <w:r w:rsidRPr="00951347">
        <w:rPr>
          <w:rStyle w:val="Hyperlink"/>
          <w:sz w:val="24"/>
          <w:lang w:val="pt-PT"/>
        </w:rPr>
        <w:t>https://doi.org/10.1016/j.geoforum.2009.03.009</w:t>
      </w:r>
      <w:r w:rsidRPr="00951347">
        <w:rPr>
          <w:sz w:val="24"/>
          <w:lang w:val="pt-PT"/>
        </w:rPr>
        <w:fldChar w:fldCharType="end"/>
      </w:r>
      <w:bookmarkEnd w:id="11"/>
      <w:r w:rsidRPr="00951347">
        <w:rPr>
          <w:sz w:val="24"/>
          <w:lang w:val="pt-PT"/>
        </w:rPr>
        <w:t>.</w:t>
      </w:r>
    </w:p>
  </w:footnote>
  <w:footnote w:id="9">
    <w:p w14:paraId="763E0A19" w14:textId="77268298"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sz w:val="24"/>
          <w:lang w:val="pt-PT"/>
        </w:rPr>
        <w:t xml:space="preserve"> </w:t>
      </w:r>
      <w:r w:rsidR="00951347" w:rsidRPr="00951347">
        <w:rPr>
          <w:sz w:val="24"/>
          <w:lang w:val="pt-PT"/>
        </w:rPr>
        <w:tab/>
      </w:r>
      <w:r w:rsidRPr="00951347">
        <w:rPr>
          <w:sz w:val="24"/>
          <w:lang w:val="pt-PT"/>
        </w:rPr>
        <w:t>Regulamento (CE) n.º 1107/2009 do Parlamento Europeu e do Conselho, de 21 de outubro de 2009, relativo à colocação dos produtos fitofarmacêuticos no mercado e que revoga as Diretivas 79/117/CEE e 91/414/CEE do Conselho (JO L 309 de 24.11.2009, p. 1, ELI: </w:t>
      </w:r>
      <w:hyperlink r:id="rId19" w:tooltip="Permite aceder ao documento através do seu identificador do ELI." w:history="1">
        <w:r w:rsidRPr="00951347">
          <w:rPr>
            <w:rStyle w:val="Hyperlink"/>
            <w:sz w:val="24"/>
            <w:lang w:val="pt-PT"/>
          </w:rPr>
          <w:t>http://data.europa.eu/eli/reg/2009/1107/oj</w:t>
        </w:r>
      </w:hyperlink>
      <w:r w:rsidRPr="00951347">
        <w:rPr>
          <w:sz w:val="24"/>
          <w:lang w:val="pt-PT"/>
        </w:rPr>
        <w:t>).</w:t>
      </w:r>
    </w:p>
  </w:footnote>
  <w:footnote w:id="10">
    <w:p w14:paraId="451646AF" w14:textId="0EFB1F8E"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sz w:val="24"/>
          <w:lang w:val="pt-PT"/>
        </w:rPr>
        <w:t xml:space="preserve"> </w:t>
      </w:r>
      <w:r w:rsidR="00951347" w:rsidRPr="00951347">
        <w:rPr>
          <w:sz w:val="24"/>
          <w:lang w:val="pt-PT"/>
        </w:rPr>
        <w:tab/>
      </w:r>
      <w:r w:rsidRPr="00951347">
        <w:rPr>
          <w:sz w:val="24"/>
          <w:lang w:val="pt-PT"/>
        </w:rPr>
        <w:t>Ver, por exemplo,</w:t>
      </w:r>
      <w:r w:rsidRPr="00951347">
        <w:rPr>
          <w:sz w:val="24"/>
          <w:lang w:val="pt-PT"/>
        </w:rPr>
        <w:br/>
      </w:r>
      <w:hyperlink r:id="rId20" w:history="1">
        <w:r w:rsidRPr="00951347">
          <w:rPr>
            <w:rStyle w:val="Hyperlink"/>
            <w:sz w:val="24"/>
            <w:lang w:val="pt-PT"/>
          </w:rPr>
          <w:t>https://doi.org/10.1016/j.mrrev.2019.02.001</w:t>
        </w:r>
      </w:hyperlink>
      <w:r w:rsidRPr="00951347">
        <w:rPr>
          <w:sz w:val="24"/>
          <w:lang w:val="pt-PT"/>
        </w:rPr>
        <w:t>,</w:t>
      </w:r>
      <w:r w:rsidRPr="00951347">
        <w:rPr>
          <w:sz w:val="24"/>
          <w:lang w:val="pt-PT"/>
        </w:rPr>
        <w:br/>
      </w:r>
      <w:hyperlink r:id="rId21" w:history="1">
        <w:r w:rsidRPr="00951347">
          <w:rPr>
            <w:rStyle w:val="Hyperlink"/>
            <w:sz w:val="24"/>
            <w:lang w:val="pt-PT"/>
          </w:rPr>
          <w:t>https://doi.org/10.1093/ije/dyz017</w:t>
        </w:r>
      </w:hyperlink>
      <w:r w:rsidRPr="00951347">
        <w:rPr>
          <w:sz w:val="24"/>
          <w:lang w:val="pt-PT"/>
        </w:rPr>
        <w:t>,</w:t>
      </w:r>
      <w:r w:rsidRPr="00951347">
        <w:rPr>
          <w:sz w:val="24"/>
          <w:lang w:val="pt-PT"/>
        </w:rPr>
        <w:br/>
      </w:r>
      <w:hyperlink r:id="rId22" w:history="1">
        <w:r w:rsidRPr="00951347">
          <w:rPr>
            <w:rStyle w:val="Hyperlink"/>
            <w:sz w:val="24"/>
            <w:lang w:val="pt-PT"/>
          </w:rPr>
          <w:t>https://doi.org/10.1371/journal.pone.0219610</w:t>
        </w:r>
      </w:hyperlink>
      <w:r w:rsidRPr="00951347">
        <w:rPr>
          <w:sz w:val="24"/>
          <w:lang w:val="pt-PT"/>
        </w:rPr>
        <w:t xml:space="preserve"> e</w:t>
      </w:r>
      <w:r w:rsidRPr="00951347">
        <w:rPr>
          <w:sz w:val="24"/>
          <w:lang w:val="pt-PT"/>
        </w:rPr>
        <w:br/>
      </w:r>
      <w:hyperlink r:id="rId23" w:history="1">
        <w:r w:rsidRPr="00951347">
          <w:rPr>
            <w:rStyle w:val="Hyperlink"/>
            <w:sz w:val="24"/>
            <w:lang w:val="pt-PT"/>
          </w:rPr>
          <w:t>https://doi.org/10.1186/s13045</w:t>
        </w:r>
        <w:r w:rsidRPr="00951347">
          <w:rPr>
            <w:rStyle w:val="Hyperlink"/>
            <w:sz w:val="24"/>
            <w:lang w:val="pt-PT"/>
          </w:rPr>
          <w:noBreakHyphen/>
          <w:t>019</w:t>
        </w:r>
        <w:r w:rsidRPr="00951347">
          <w:rPr>
            <w:rStyle w:val="Hyperlink"/>
            <w:sz w:val="24"/>
            <w:lang w:val="pt-PT"/>
          </w:rPr>
          <w:noBreakHyphen/>
          <w:t>0767</w:t>
        </w:r>
        <w:r w:rsidRPr="00951347">
          <w:rPr>
            <w:rStyle w:val="Hyperlink"/>
            <w:sz w:val="24"/>
            <w:lang w:val="pt-PT"/>
          </w:rPr>
          <w:noBreakHyphen/>
          <w:t>9</w:t>
        </w:r>
      </w:hyperlink>
      <w:r w:rsidRPr="00951347">
        <w:rPr>
          <w:sz w:val="24"/>
          <w:lang w:val="pt-PT"/>
        </w:rPr>
        <w:t>.</w:t>
      </w:r>
    </w:p>
  </w:footnote>
  <w:footnote w:id="11">
    <w:p w14:paraId="02A28D1B" w14:textId="4CC31175"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sz w:val="24"/>
          <w:lang w:val="pt-PT"/>
        </w:rPr>
        <w:t xml:space="preserve"> </w:t>
      </w:r>
      <w:r w:rsidR="00951347" w:rsidRPr="00951347">
        <w:rPr>
          <w:sz w:val="24"/>
          <w:lang w:val="pt-PT"/>
        </w:rPr>
        <w:tab/>
      </w:r>
      <w:hyperlink r:id="rId24" w:tgtFrame="_blank" w:tooltip="Persistent link using digital object identifier" w:history="1">
        <w:r w:rsidRPr="00951347">
          <w:rPr>
            <w:rStyle w:val="Hyperlink"/>
            <w:sz w:val="24"/>
            <w:lang w:val="pt-PT"/>
          </w:rPr>
          <w:t>https://doi.org/10.1006/rtph.1999.1371</w:t>
        </w:r>
      </w:hyperlink>
      <w:r w:rsidRPr="00951347">
        <w:rPr>
          <w:sz w:val="24"/>
          <w:lang w:val="pt-PT"/>
        </w:rPr>
        <w:t>.</w:t>
      </w:r>
    </w:p>
  </w:footnote>
  <w:footnote w:id="12">
    <w:p w14:paraId="310BFD02" w14:textId="3BB2C100"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color w:val="000000" w:themeColor="text1"/>
          <w:sz w:val="24"/>
          <w:lang w:val="pt-PT"/>
        </w:rPr>
        <w:t xml:space="preserve"> </w:t>
      </w:r>
      <w:r w:rsidR="00951347" w:rsidRPr="00951347">
        <w:rPr>
          <w:color w:val="000000" w:themeColor="text1"/>
          <w:sz w:val="24"/>
          <w:lang w:val="pt-PT"/>
        </w:rPr>
        <w:tab/>
      </w:r>
      <w:r w:rsidRPr="00951347">
        <w:rPr>
          <w:color w:val="000000" w:themeColor="text1"/>
          <w:sz w:val="24"/>
          <w:lang w:val="pt-PT"/>
        </w:rPr>
        <w:t xml:space="preserve">Em dezembro de 2022, no âmbito da COP15 da Convenção das Nações Unidas sobre a Diversidade Biológica, foi acordado o quadro mundial para a biodiversidade, que inclui uma meta mundial de redução do risco dos pesticidas em, pelo menos, 50 %, até 2030 (ver: </w:t>
      </w:r>
      <w:hyperlink r:id="rId25" w:history="1">
        <w:r w:rsidRPr="00951347">
          <w:rPr>
            <w:rStyle w:val="Hyperlink"/>
            <w:sz w:val="24"/>
            <w:lang w:val="pt-PT"/>
          </w:rPr>
          <w:t>https://ec.europa.eu/commission/presscorner/detail/pt/ip_22_7834</w:t>
        </w:r>
      </w:hyperlink>
      <w:r w:rsidRPr="00951347">
        <w:rPr>
          <w:sz w:val="24"/>
          <w:lang w:val="pt-PT"/>
        </w:rPr>
        <w:t>).</w:t>
      </w:r>
    </w:p>
  </w:footnote>
  <w:footnote w:id="13">
    <w:p w14:paraId="33F5F20C" w14:textId="5CFA0EB3"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sz w:val="24"/>
          <w:lang w:val="pt-PT"/>
        </w:rPr>
        <w:t xml:space="preserve"> </w:t>
      </w:r>
      <w:r w:rsidR="00951347" w:rsidRPr="00951347">
        <w:rPr>
          <w:sz w:val="24"/>
          <w:lang w:val="pt-PT"/>
        </w:rPr>
        <w:tab/>
      </w:r>
      <w:hyperlink r:id="rId26" w:history="1">
        <w:r w:rsidRPr="00951347">
          <w:rPr>
            <w:rStyle w:val="Hyperlink"/>
            <w:sz w:val="24"/>
            <w:lang w:val="pt-PT"/>
          </w:rPr>
          <w:t>https://commission.europa.eu/strategy</w:t>
        </w:r>
        <w:r w:rsidRPr="00951347">
          <w:rPr>
            <w:rStyle w:val="Hyperlink"/>
            <w:sz w:val="24"/>
            <w:lang w:val="pt-PT"/>
          </w:rPr>
          <w:noBreakHyphen/>
          <w:t>and</w:t>
        </w:r>
        <w:r w:rsidRPr="00951347">
          <w:rPr>
            <w:rStyle w:val="Hyperlink"/>
            <w:sz w:val="24"/>
            <w:lang w:val="pt-PT"/>
          </w:rPr>
          <w:noBreakHyphen/>
          <w:t>policy/priorities</w:t>
        </w:r>
        <w:r w:rsidRPr="00951347">
          <w:rPr>
            <w:rStyle w:val="Hyperlink"/>
            <w:sz w:val="24"/>
            <w:lang w:val="pt-PT"/>
          </w:rPr>
          <w:noBreakHyphen/>
          <w:t>2019</w:t>
        </w:r>
        <w:r w:rsidRPr="00951347">
          <w:rPr>
            <w:rStyle w:val="Hyperlink"/>
            <w:sz w:val="24"/>
            <w:lang w:val="pt-PT"/>
          </w:rPr>
          <w:noBreakHyphen/>
          <w:t>2024/</w:t>
        </w:r>
        <w:r w:rsidR="00656B9D">
          <w:rPr>
            <w:rStyle w:val="Hyperlink"/>
            <w:sz w:val="24"/>
            <w:lang w:val="pt-PT"/>
          </w:rPr>
          <w:br/>
        </w:r>
        <w:r w:rsidRPr="00951347">
          <w:rPr>
            <w:rStyle w:val="Hyperlink"/>
            <w:sz w:val="24"/>
            <w:lang w:val="pt-PT"/>
          </w:rPr>
          <w:t>european</w:t>
        </w:r>
        <w:r w:rsidRPr="00951347">
          <w:rPr>
            <w:rStyle w:val="Hyperlink"/>
            <w:sz w:val="24"/>
            <w:lang w:val="pt-PT"/>
          </w:rPr>
          <w:noBreakHyphen/>
          <w:t>green</w:t>
        </w:r>
        <w:r w:rsidRPr="00951347">
          <w:rPr>
            <w:rStyle w:val="Hyperlink"/>
            <w:sz w:val="24"/>
            <w:lang w:val="pt-PT"/>
          </w:rPr>
          <w:noBreakHyphen/>
          <w:t>deal/agriculture</w:t>
        </w:r>
        <w:r w:rsidRPr="00951347">
          <w:rPr>
            <w:rStyle w:val="Hyperlink"/>
            <w:sz w:val="24"/>
            <w:lang w:val="pt-PT"/>
          </w:rPr>
          <w:noBreakHyphen/>
          <w:t>and</w:t>
        </w:r>
        <w:r w:rsidRPr="00951347">
          <w:rPr>
            <w:rStyle w:val="Hyperlink"/>
            <w:sz w:val="24"/>
            <w:lang w:val="pt-PT"/>
          </w:rPr>
          <w:noBreakHyphen/>
          <w:t>green</w:t>
        </w:r>
        <w:r w:rsidRPr="00951347">
          <w:rPr>
            <w:rStyle w:val="Hyperlink"/>
            <w:sz w:val="24"/>
            <w:lang w:val="pt-PT"/>
          </w:rPr>
          <w:noBreakHyphen/>
          <w:t>deal/strategic</w:t>
        </w:r>
        <w:r w:rsidRPr="00951347">
          <w:rPr>
            <w:rStyle w:val="Hyperlink"/>
            <w:sz w:val="24"/>
            <w:lang w:val="pt-PT"/>
          </w:rPr>
          <w:noBreakHyphen/>
          <w:t>dialogue</w:t>
        </w:r>
        <w:r w:rsidRPr="00951347">
          <w:rPr>
            <w:rStyle w:val="Hyperlink"/>
            <w:sz w:val="24"/>
            <w:lang w:val="pt-PT"/>
          </w:rPr>
          <w:noBreakHyphen/>
          <w:t>future</w:t>
        </w:r>
        <w:r w:rsidRPr="00951347">
          <w:rPr>
            <w:rStyle w:val="Hyperlink"/>
            <w:sz w:val="24"/>
            <w:lang w:val="pt-PT"/>
          </w:rPr>
          <w:noBreakHyphen/>
          <w:t>eu</w:t>
        </w:r>
        <w:r w:rsidRPr="00951347">
          <w:rPr>
            <w:rStyle w:val="Hyperlink"/>
            <w:sz w:val="24"/>
            <w:lang w:val="pt-PT"/>
          </w:rPr>
          <w:noBreakHyphen/>
          <w:t>agriculture_pt</w:t>
        </w:r>
      </w:hyperlink>
      <w:r w:rsidRPr="00951347">
        <w:rPr>
          <w:rStyle w:val="Hyperlink"/>
          <w:sz w:val="24"/>
          <w:lang w:val="pt-PT"/>
        </w:rPr>
        <w:t>.</w:t>
      </w:r>
    </w:p>
  </w:footnote>
  <w:footnote w:id="14">
    <w:p w14:paraId="7D53894D" w14:textId="01C764ED" w:rsidR="005C1B8E" w:rsidRPr="00951347" w:rsidRDefault="005C1B8E" w:rsidP="00951347">
      <w:pPr>
        <w:pStyle w:val="FootnoteText"/>
        <w:ind w:left="567" w:hanging="567"/>
        <w:rPr>
          <w:sz w:val="24"/>
          <w:lang w:val="pt-PT"/>
        </w:rPr>
      </w:pPr>
      <w:r w:rsidRPr="00951347">
        <w:rPr>
          <w:rStyle w:val="FootnoteReference"/>
          <w:sz w:val="24"/>
          <w:lang w:val="pt-PT"/>
        </w:rPr>
        <w:footnoteRef/>
      </w:r>
      <w:r w:rsidR="00951347" w:rsidRPr="00951347">
        <w:rPr>
          <w:sz w:val="24"/>
          <w:lang w:val="pt-PT"/>
        </w:rPr>
        <w:t xml:space="preserve"> </w:t>
      </w:r>
      <w:r w:rsidR="00951347" w:rsidRPr="00951347">
        <w:rPr>
          <w:sz w:val="24"/>
          <w:lang w:val="pt-PT"/>
        </w:rPr>
        <w:tab/>
      </w:r>
      <w:r w:rsidRPr="00951347">
        <w:rPr>
          <w:sz w:val="24"/>
          <w:lang w:val="pt-PT"/>
        </w:rPr>
        <w:t xml:space="preserve">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w:t>
      </w:r>
      <w:r w:rsidRPr="00951347">
        <w:rPr>
          <w:color w:val="000000" w:themeColor="text1"/>
          <w:sz w:val="24"/>
          <w:lang w:val="pt-PT"/>
        </w:rPr>
        <w:t>ELI: </w:t>
      </w:r>
      <w:hyperlink r:id="rId27" w:tgtFrame="Gives access to this document through its ELI URI." w:history="1">
        <w:r w:rsidRPr="00951347">
          <w:rPr>
            <w:rStyle w:val="Hyperlink"/>
            <w:color w:val="0070C0"/>
            <w:sz w:val="24"/>
            <w:lang w:val="pt-PT"/>
          </w:rPr>
          <w:t>http://data.europa.eu/eli/reg/2002/178/oj</w:t>
        </w:r>
      </w:hyperlink>
      <w:r w:rsidRPr="00951347">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D97D1" w14:textId="77777777" w:rsidR="00064002" w:rsidRPr="009513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506D2" w14:textId="77777777" w:rsidR="00064002" w:rsidRPr="009513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8DB2F" w14:textId="77777777" w:rsidR="00064002" w:rsidRPr="009513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5886383">
    <w:abstractNumId w:val="9"/>
  </w:num>
  <w:num w:numId="2" w16cid:durableId="1139612746">
    <w:abstractNumId w:val="9"/>
  </w:num>
  <w:num w:numId="3" w16cid:durableId="1500461183">
    <w:abstractNumId w:val="7"/>
  </w:num>
  <w:num w:numId="4" w16cid:durableId="2062554232">
    <w:abstractNumId w:val="7"/>
  </w:num>
  <w:num w:numId="5" w16cid:durableId="508063170">
    <w:abstractNumId w:val="6"/>
  </w:num>
  <w:num w:numId="6" w16cid:durableId="1221865212">
    <w:abstractNumId w:val="6"/>
  </w:num>
  <w:num w:numId="7" w16cid:durableId="122577809">
    <w:abstractNumId w:val="5"/>
  </w:num>
  <w:num w:numId="8" w16cid:durableId="1968507400">
    <w:abstractNumId w:val="5"/>
  </w:num>
  <w:num w:numId="9" w16cid:durableId="1230070890">
    <w:abstractNumId w:val="4"/>
  </w:num>
  <w:num w:numId="10" w16cid:durableId="859514418">
    <w:abstractNumId w:val="4"/>
  </w:num>
  <w:num w:numId="11" w16cid:durableId="1749381600">
    <w:abstractNumId w:val="8"/>
  </w:num>
  <w:num w:numId="12" w16cid:durableId="865481705">
    <w:abstractNumId w:val="8"/>
  </w:num>
  <w:num w:numId="13" w16cid:durableId="816729682">
    <w:abstractNumId w:val="3"/>
  </w:num>
  <w:num w:numId="14" w16cid:durableId="330640674">
    <w:abstractNumId w:val="3"/>
  </w:num>
  <w:num w:numId="15" w16cid:durableId="108284617">
    <w:abstractNumId w:val="2"/>
  </w:num>
  <w:num w:numId="16" w16cid:durableId="1386835473">
    <w:abstractNumId w:val="2"/>
  </w:num>
  <w:num w:numId="17" w16cid:durableId="1417752913">
    <w:abstractNumId w:val="1"/>
  </w:num>
  <w:num w:numId="18" w16cid:durableId="260919099">
    <w:abstractNumId w:val="1"/>
  </w:num>
  <w:num w:numId="19" w16cid:durableId="1414888055">
    <w:abstractNumId w:val="0"/>
  </w:num>
  <w:num w:numId="20" w16cid:durableId="1565797516">
    <w:abstractNumId w:val="0"/>
  </w:num>
  <w:num w:numId="21" w16cid:durableId="510532479">
    <w:abstractNumId w:val="9"/>
  </w:num>
  <w:num w:numId="22" w16cid:durableId="2093426817">
    <w:abstractNumId w:val="7"/>
  </w:num>
  <w:num w:numId="23" w16cid:durableId="1110979303">
    <w:abstractNumId w:val="6"/>
  </w:num>
  <w:num w:numId="24" w16cid:durableId="58020725">
    <w:abstractNumId w:val="5"/>
  </w:num>
  <w:num w:numId="25" w16cid:durableId="1244683322">
    <w:abstractNumId w:val="4"/>
  </w:num>
  <w:num w:numId="26" w16cid:durableId="1085222070">
    <w:abstractNumId w:val="8"/>
  </w:num>
  <w:num w:numId="27" w16cid:durableId="1107508572">
    <w:abstractNumId w:val="3"/>
  </w:num>
  <w:num w:numId="28" w16cid:durableId="1043333377">
    <w:abstractNumId w:val="2"/>
  </w:num>
  <w:num w:numId="29" w16cid:durableId="1095663346">
    <w:abstractNumId w:val="1"/>
  </w:num>
  <w:num w:numId="30" w16cid:durableId="1081148095">
    <w:abstractNumId w:val="0"/>
  </w:num>
  <w:num w:numId="31" w16cid:durableId="1663462226">
    <w:abstractNumId w:val="9"/>
  </w:num>
  <w:num w:numId="32" w16cid:durableId="345448680">
    <w:abstractNumId w:val="7"/>
  </w:num>
  <w:num w:numId="33" w16cid:durableId="224949746">
    <w:abstractNumId w:val="6"/>
  </w:num>
  <w:num w:numId="34" w16cid:durableId="1911033626">
    <w:abstractNumId w:val="5"/>
  </w:num>
  <w:num w:numId="35" w16cid:durableId="1019310847">
    <w:abstractNumId w:val="4"/>
  </w:num>
  <w:num w:numId="36" w16cid:durableId="1327366847">
    <w:abstractNumId w:val="8"/>
  </w:num>
  <w:num w:numId="37" w16cid:durableId="1907765210">
    <w:abstractNumId w:val="3"/>
  </w:num>
  <w:num w:numId="38" w16cid:durableId="1056392546">
    <w:abstractNumId w:val="2"/>
  </w:num>
  <w:num w:numId="39" w16cid:durableId="2138141750">
    <w:abstractNumId w:val="1"/>
  </w:num>
  <w:num w:numId="40" w16cid:durableId="539442198">
    <w:abstractNumId w:val="0"/>
  </w:num>
  <w:num w:numId="41" w16cid:durableId="947349641">
    <w:abstractNumId w:val="10"/>
  </w:num>
  <w:num w:numId="42" w16cid:durableId="173343549">
    <w:abstractNumId w:val="10"/>
  </w:num>
  <w:num w:numId="43" w16cid:durableId="662929035">
    <w:abstractNumId w:val="10"/>
  </w:num>
  <w:num w:numId="44" w16cid:durableId="1840926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PT"/>
    <w:docVar w:name="dvnumam" w:val="0"/>
    <w:docVar w:name="dvpe" w:val="782.197"/>
    <w:docVar w:name="dvtitre" w:val="Resolução do Parlamento Europeu, de ... de ... de 2026,_x000d__x000a_ sobre o projeto de decisão de execução da Comissão que renova a autorização de colocação no mercado de produtos que contenham, sejam constituídos por, ou sejam produzidos a partir de algodão geneticamente modificado GHB614 × LLCotton25, nos termos do Regulamento (CE) n.º 1829/2003 do Parlamento Europeu e do Conselho(D111476/01 - 2026/2519(RSP))"/>
  </w:docVars>
  <w:rsids>
    <w:rsidRoot w:val="000F2BDB"/>
    <w:rsid w:val="00002272"/>
    <w:rsid w:val="00064002"/>
    <w:rsid w:val="000677B9"/>
    <w:rsid w:val="000831BA"/>
    <w:rsid w:val="000A42CC"/>
    <w:rsid w:val="000E7DD9"/>
    <w:rsid w:val="000F2BDB"/>
    <w:rsid w:val="0010095E"/>
    <w:rsid w:val="0012486C"/>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B8E"/>
    <w:rsid w:val="005C2568"/>
    <w:rsid w:val="005F1B17"/>
    <w:rsid w:val="006037C0"/>
    <w:rsid w:val="00656B9D"/>
    <w:rsid w:val="006631B6"/>
    <w:rsid w:val="00680577"/>
    <w:rsid w:val="006F74FA"/>
    <w:rsid w:val="00731ADD"/>
    <w:rsid w:val="00734777"/>
    <w:rsid w:val="00747932"/>
    <w:rsid w:val="00751A4A"/>
    <w:rsid w:val="00756632"/>
    <w:rsid w:val="00757664"/>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34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CC8FC"/>
  <w15:chartTrackingRefBased/>
  <w15:docId w15:val="{DDABD74C-DAD3-405F-BAA6-FB93224B8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C1B8E"/>
    <w:pPr>
      <w:spacing w:before="480" w:after="240"/>
    </w:pPr>
  </w:style>
  <w:style w:type="paragraph" w:customStyle="1" w:styleId="NormalHanging12a">
    <w:name w:val="NormalHanging12a"/>
    <w:basedOn w:val="Normal"/>
    <w:uiPriority w:val="99"/>
    <w:qFormat/>
    <w:rsid w:val="005C1B8E"/>
    <w:pPr>
      <w:spacing w:after="240"/>
      <w:ind w:left="567" w:hanging="567"/>
    </w:pPr>
  </w:style>
  <w:style w:type="character" w:styleId="Hyperlink">
    <w:name w:val="Hyperlink"/>
    <w:basedOn w:val="DefaultParagraphFont"/>
    <w:uiPriority w:val="99"/>
    <w:rsid w:val="005C1B8E"/>
    <w:rPr>
      <w:color w:val="0563C1" w:themeColor="hyperlink"/>
      <w:u w:val="single"/>
    </w:rPr>
  </w:style>
  <w:style w:type="paragraph" w:styleId="NormalWeb">
    <w:name w:val="Normal (Web)"/>
    <w:basedOn w:val="Normal"/>
    <w:uiPriority w:val="99"/>
    <w:unhideWhenUsed/>
    <w:rsid w:val="005C1B8E"/>
    <w:pPr>
      <w:widowControl/>
      <w:spacing w:before="100" w:beforeAutospacing="1" w:after="100" w:afterAutospacing="1"/>
    </w:pPr>
    <w:rPr>
      <w:szCs w:val="24"/>
    </w:rPr>
  </w:style>
  <w:style w:type="paragraph" w:styleId="Revision">
    <w:name w:val="Revision"/>
    <w:hidden/>
    <w:uiPriority w:val="99"/>
    <w:semiHidden/>
    <w:rsid w:val="00656B9D"/>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pt"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pt/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1859</Words>
  <Characters>10307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2026-02-11T12:59:00Z</dcterms:created>
  <dcterms:modified xsi:type="dcterms:W3CDTF">2026-02-11T12:59:00Z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B10-0109/2026</vt:lpwstr>
  </property>
  <property fmtid="{D5CDD505-2E9C-101B-9397-08002B2CF9AE}" pid="4" name="&lt;Type&gt;">
    <vt:lpwstr>RR</vt:lpwstr>
  </property>
</Properties>
</file>