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544D" w14:paraId="232B8ECF" w14:textId="77777777" w:rsidTr="0010095E">
        <w:trPr>
          <w:trHeight w:hRule="exact" w:val="1418"/>
        </w:trPr>
        <w:tc>
          <w:tcPr>
            <w:tcW w:w="6804" w:type="dxa"/>
            <w:shd w:val="clear" w:color="auto" w:fill="auto"/>
            <w:vAlign w:val="center"/>
          </w:tcPr>
          <w:p w14:paraId="3B6D411A" w14:textId="77777777" w:rsidR="00751A4A" w:rsidRPr="00C9544D" w:rsidRDefault="008903CE" w:rsidP="0010095E">
            <w:pPr>
              <w:pStyle w:val="EPName"/>
            </w:pPr>
            <w:r w:rsidRPr="00C9544D">
              <w:t>Európsky parlament</w:t>
            </w:r>
          </w:p>
          <w:p w14:paraId="69674C19" w14:textId="77777777" w:rsidR="00751A4A" w:rsidRPr="00C9544D" w:rsidRDefault="005F1B17" w:rsidP="005F1B17">
            <w:pPr>
              <w:pStyle w:val="EPTerm"/>
              <w:rPr>
                <w:rStyle w:val="HideTWBExt"/>
                <w:noProof w:val="0"/>
                <w:vanish w:val="0"/>
                <w:color w:val="auto"/>
              </w:rPr>
            </w:pPr>
            <w:r w:rsidRPr="00C9544D">
              <w:t>2024</w:t>
            </w:r>
            <w:r w:rsidR="00817416" w:rsidRPr="00C9544D">
              <w:t>-202</w:t>
            </w:r>
            <w:r w:rsidRPr="00C9544D">
              <w:t>9</w:t>
            </w:r>
          </w:p>
        </w:tc>
        <w:tc>
          <w:tcPr>
            <w:tcW w:w="2268" w:type="dxa"/>
            <w:shd w:val="clear" w:color="auto" w:fill="auto"/>
          </w:tcPr>
          <w:p w14:paraId="3ADF4A20" w14:textId="77777777" w:rsidR="00751A4A" w:rsidRPr="00C9544D" w:rsidRDefault="00187494" w:rsidP="0010095E">
            <w:pPr>
              <w:pStyle w:val="EPLogo"/>
            </w:pPr>
            <w:r w:rsidRPr="00C9544D">
              <w:rPr>
                <w:noProof/>
                <w:lang w:eastAsia="ja-JP"/>
              </w:rPr>
              <w:drawing>
                <wp:inline distT="0" distB="0" distL="0" distR="0" wp14:anchorId="6C81E876" wp14:editId="4EBFFA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12653A" w14:textId="77777777" w:rsidR="00D058B8" w:rsidRPr="00C9544D" w:rsidRDefault="00D058B8" w:rsidP="004C5D52">
      <w:pPr>
        <w:pStyle w:val="LineTop"/>
      </w:pPr>
    </w:p>
    <w:p w14:paraId="31C24D98" w14:textId="77777777" w:rsidR="00680577" w:rsidRPr="00C9544D" w:rsidRDefault="008903CE" w:rsidP="00680577">
      <w:pPr>
        <w:pStyle w:val="EPBodyTA1"/>
      </w:pPr>
      <w:r w:rsidRPr="00C9544D">
        <w:t>PRIJATÉ TEXTY</w:t>
      </w:r>
    </w:p>
    <w:p w14:paraId="06278CCD" w14:textId="77777777" w:rsidR="00D058B8" w:rsidRPr="00C9544D" w:rsidRDefault="00D058B8" w:rsidP="00D058B8">
      <w:pPr>
        <w:pStyle w:val="LineBottom"/>
      </w:pPr>
    </w:p>
    <w:p w14:paraId="36513A03" w14:textId="6097587E" w:rsidR="008903CE" w:rsidRPr="00C9544D" w:rsidRDefault="008903CE" w:rsidP="008903CE">
      <w:pPr>
        <w:pStyle w:val="ATHeading1"/>
      </w:pPr>
      <w:bookmarkStart w:id="0" w:name="TANumber"/>
      <w:r w:rsidRPr="00C9544D">
        <w:t>P10_TA(2026)00</w:t>
      </w:r>
      <w:r w:rsidR="00C9544D" w:rsidRPr="00C9544D">
        <w:t>43</w:t>
      </w:r>
      <w:bookmarkEnd w:id="0"/>
    </w:p>
    <w:p w14:paraId="652B5F00" w14:textId="341F354D" w:rsidR="008903CE" w:rsidRPr="00C9544D" w:rsidRDefault="00816255" w:rsidP="008903CE">
      <w:pPr>
        <w:pStyle w:val="ATHeading2"/>
      </w:pPr>
      <w:bookmarkStart w:id="1" w:name="title"/>
      <w:r w:rsidRPr="00C9544D">
        <w:t>G</w:t>
      </w:r>
      <w:r w:rsidR="008903CE" w:rsidRPr="00C9544D">
        <w:t>eneticky modifikovaná bavlna GHB614 × LLCotton25</w:t>
      </w:r>
      <w:bookmarkEnd w:id="1"/>
    </w:p>
    <w:p w14:paraId="4BE88201" w14:textId="77777777" w:rsidR="008903CE" w:rsidRPr="00C9544D" w:rsidRDefault="008903CE" w:rsidP="008903CE">
      <w:pPr>
        <w:rPr>
          <w:i/>
          <w:vanish/>
        </w:rPr>
      </w:pPr>
      <w:r w:rsidRPr="00C9544D">
        <w:rPr>
          <w:i/>
        </w:rPr>
        <w:fldChar w:fldCharType="begin"/>
      </w:r>
      <w:r w:rsidRPr="00C9544D">
        <w:rPr>
          <w:i/>
        </w:rPr>
        <w:instrText xml:space="preserve"> TC"(</w:instrText>
      </w:r>
      <w:bookmarkStart w:id="2" w:name="DocNumber"/>
      <w:r w:rsidRPr="00C9544D">
        <w:rPr>
          <w:i/>
        </w:rPr>
        <w:instrText>B10-0109/2026</w:instrText>
      </w:r>
      <w:bookmarkEnd w:id="2"/>
      <w:r w:rsidRPr="00C9544D">
        <w:rPr>
          <w:i/>
        </w:rPr>
        <w:instrText xml:space="preserve">)"\l3 \n&gt; \* MERGEFORMAT </w:instrText>
      </w:r>
      <w:r w:rsidRPr="00C9544D">
        <w:rPr>
          <w:i/>
        </w:rPr>
        <w:fldChar w:fldCharType="end"/>
      </w:r>
    </w:p>
    <w:p w14:paraId="31D035A2" w14:textId="77777777" w:rsidR="008903CE" w:rsidRPr="00C9544D" w:rsidRDefault="008903CE" w:rsidP="008903CE">
      <w:pPr>
        <w:rPr>
          <w:vanish/>
        </w:rPr>
      </w:pPr>
      <w:bookmarkStart w:id="3" w:name="PE"/>
      <w:r w:rsidRPr="00C9544D">
        <w:rPr>
          <w:vanish/>
        </w:rPr>
        <w:t>PE782.197</w:t>
      </w:r>
      <w:bookmarkEnd w:id="3"/>
    </w:p>
    <w:p w14:paraId="1BA65674" w14:textId="1444E5FA" w:rsidR="008903CE" w:rsidRPr="00C9544D" w:rsidRDefault="008903CE" w:rsidP="008903CE">
      <w:pPr>
        <w:pStyle w:val="ATHeading3"/>
      </w:pPr>
      <w:bookmarkStart w:id="4" w:name="Sujet"/>
      <w:r w:rsidRPr="00C9544D">
        <w:t xml:space="preserve">Uznesenie Európskeho parlamentu z </w:t>
      </w:r>
      <w:r w:rsidR="00816255" w:rsidRPr="00C9544D">
        <w:t>11</w:t>
      </w:r>
      <w:r w:rsidRPr="00C9544D">
        <w:t xml:space="preserve">. </w:t>
      </w:r>
      <w:r w:rsidR="00816255" w:rsidRPr="00C9544D">
        <w:t xml:space="preserve">februára </w:t>
      </w:r>
      <w:r w:rsidRPr="00C9544D">
        <w:t>2026 o návrhu vykonávacieho rozhodnutia Komisie, ktorým sa podľa nariadenia Európskeho parlamentu a Rady (ES) č. 1829/2003 obnovuje povolenie umiestniť na trh produkty, ktoré obsahujú geneticky modifikovanú bavlnu GHB614 × LLCotton25, sú z nej zložené alebo vyrobené</w:t>
      </w:r>
      <w:bookmarkEnd w:id="4"/>
      <w:r w:rsidRPr="00C9544D">
        <w:t xml:space="preserve"> </w:t>
      </w:r>
      <w:bookmarkStart w:id="5" w:name="References"/>
      <w:r w:rsidRPr="00C9544D">
        <w:t>(D111476/0</w:t>
      </w:r>
      <w:r w:rsidR="00816255" w:rsidRPr="00C9544D">
        <w:t>2</w:t>
      </w:r>
      <w:r w:rsidRPr="00C9544D">
        <w:t xml:space="preserve"> </w:t>
      </w:r>
      <w:r w:rsidR="00816255" w:rsidRPr="00C9544D">
        <w:t>–</w:t>
      </w:r>
      <w:r w:rsidRPr="00C9544D">
        <w:t xml:space="preserve"> 2026/2519(RSP))</w:t>
      </w:r>
      <w:bookmarkEnd w:id="5"/>
    </w:p>
    <w:p w14:paraId="0275DA2D" w14:textId="77777777" w:rsidR="0055359E" w:rsidRPr="00C9544D" w:rsidRDefault="0055359E" w:rsidP="0055359E">
      <w:pPr>
        <w:pStyle w:val="EPComma"/>
      </w:pPr>
      <w:bookmarkStart w:id="6" w:name="TextBodyBegin"/>
      <w:bookmarkEnd w:id="6"/>
      <w:r w:rsidRPr="00C9544D">
        <w:rPr>
          <w:i/>
        </w:rPr>
        <w:t>Európsky parlament</w:t>
      </w:r>
      <w:r w:rsidRPr="00C9544D">
        <w:t>,</w:t>
      </w:r>
    </w:p>
    <w:p w14:paraId="7E3F956F" w14:textId="1DECAEB4" w:rsidR="0055359E" w:rsidRPr="00C9544D" w:rsidRDefault="0055359E" w:rsidP="0055359E">
      <w:pPr>
        <w:pStyle w:val="NormalHanging12a"/>
      </w:pPr>
      <w:r w:rsidRPr="00C9544D">
        <w:t>–</w:t>
      </w:r>
      <w:r w:rsidRPr="00C9544D">
        <w:tab/>
        <w:t>so zreteľom na návrh vykonávacieho rozhodnutia Komisie, ktorým sa podľa nariadenia Európskeho parlamentu a Rady (ES) č. 1829/2003 obnovuje povolenie umiestniť na trh produkty, ktoré obsahujú geneticky modifikovanú bavlnu GHB614 × LLCotton25, sú z nej zložené alebo vyrobené (D111476/0</w:t>
      </w:r>
      <w:r w:rsidR="00531CE6" w:rsidRPr="00C9544D">
        <w:t>2</w:t>
      </w:r>
      <w:r w:rsidRPr="00C9544D">
        <w:t>),</w:t>
      </w:r>
    </w:p>
    <w:p w14:paraId="6854C028" w14:textId="77777777" w:rsidR="0055359E" w:rsidRPr="00C9544D" w:rsidRDefault="0055359E" w:rsidP="0055359E">
      <w:pPr>
        <w:pStyle w:val="NormalHanging12a"/>
      </w:pPr>
      <w:r w:rsidRPr="00C9544D">
        <w:t>–</w:t>
      </w:r>
      <w:r w:rsidRPr="00C9544D">
        <w:tab/>
        <w:t>so zreteľom na nariadenie Európskeho parlamentu a Rady (ES) č. 1829/2003 z 22. septembra 2003 o geneticky modifikovaných potravinách a krmivách</w:t>
      </w:r>
      <w:r w:rsidRPr="00C9544D">
        <w:rPr>
          <w:vertAlign w:val="superscript"/>
        </w:rPr>
        <w:footnoteReference w:id="1"/>
      </w:r>
      <w:r w:rsidRPr="00C9544D">
        <w:t>, a najmä na jeho článok 11 ods. 3 a článok 23 ods. 3,</w:t>
      </w:r>
    </w:p>
    <w:p w14:paraId="165CA09E" w14:textId="6270893B" w:rsidR="0055359E" w:rsidRPr="00C9544D" w:rsidRDefault="0055359E" w:rsidP="0055359E">
      <w:pPr>
        <w:pStyle w:val="NormalHanging12a"/>
      </w:pPr>
      <w:r w:rsidRPr="00C9544D">
        <w:t>–</w:t>
      </w:r>
      <w:r w:rsidRPr="00C9544D">
        <w:tab/>
        <w:t xml:space="preserve">so zreteľom na hlasovanie </w:t>
      </w:r>
      <w:bookmarkStart w:id="7" w:name="_Hlk210664905"/>
      <w:r w:rsidRPr="00C9544D">
        <w:t>Stáleho výboru pre rastliny, zvieratá, potraviny a krmivá</w:t>
      </w:r>
      <w:bookmarkEnd w:id="7"/>
      <w:r w:rsidRPr="00C9544D">
        <w:t xml:space="preserve"> podľa článku 35 nariadenia (ES) č. 1829/2003, ktoré sa konalo 12. decembra 2025 a na ktorom sa rozhodlo, že sa nevydá žiadne stanovisko, </w:t>
      </w:r>
      <w:r w:rsidR="00816255" w:rsidRPr="00C9544D">
        <w:t>a na hlasovanie odvolacieho výboru z 27. januára 2026, počas ktorého opätovne nebolo prijaté žiadne stanovisko,</w:t>
      </w:r>
    </w:p>
    <w:p w14:paraId="7A8A77F4" w14:textId="77777777" w:rsidR="0055359E" w:rsidRPr="00C9544D" w:rsidRDefault="0055359E" w:rsidP="0055359E">
      <w:pPr>
        <w:pStyle w:val="NormalHanging12a"/>
      </w:pPr>
      <w:r w:rsidRPr="00C9544D">
        <w:t>–</w:t>
      </w:r>
      <w:r w:rsidRPr="00C9544D">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C9544D">
        <w:rPr>
          <w:vertAlign w:val="superscript"/>
        </w:rPr>
        <w:footnoteReference w:id="2"/>
      </w:r>
      <w:r w:rsidRPr="00C9544D">
        <w:t>,</w:t>
      </w:r>
    </w:p>
    <w:p w14:paraId="2D28D270" w14:textId="77777777" w:rsidR="0055359E" w:rsidRPr="00C9544D" w:rsidRDefault="0055359E" w:rsidP="0055359E">
      <w:pPr>
        <w:pStyle w:val="NormalHanging12a"/>
      </w:pPr>
      <w:r w:rsidRPr="00C9544D">
        <w:t>–</w:t>
      </w:r>
      <w:r w:rsidRPr="00C9544D">
        <w:tab/>
        <w:t xml:space="preserve">so zreteľom na stanovisko, ktoré prijal Európsky úrad pre bezpečnosť potravín (ďalej </w:t>
      </w:r>
      <w:r w:rsidRPr="00C9544D">
        <w:lastRenderedPageBreak/>
        <w:t>len „EFSA“) 30. júna 2025 a ktoré bolo uverejnené 7. augusta 2025</w:t>
      </w:r>
      <w:r w:rsidRPr="00C9544D">
        <w:rPr>
          <w:vertAlign w:val="superscript"/>
        </w:rPr>
        <w:footnoteReference w:id="3"/>
      </w:r>
      <w:r w:rsidRPr="00C9544D">
        <w:t>,</w:t>
      </w:r>
    </w:p>
    <w:p w14:paraId="121DE3D7" w14:textId="56659FA5" w:rsidR="0055359E" w:rsidRPr="00C9544D" w:rsidRDefault="0055359E" w:rsidP="0055359E">
      <w:pPr>
        <w:pStyle w:val="NormalHanging12a"/>
      </w:pPr>
      <w:r w:rsidRPr="00C9544D">
        <w:t>–</w:t>
      </w:r>
      <w:r w:rsidRPr="00C9544D">
        <w:tab/>
        <w:t>so zreteľom na svoje predchádzajúce uznesenia, v ktorých namieta proti povoľovaniu geneticky modifikovaných organizmov</w:t>
      </w:r>
      <w:bookmarkStart w:id="9" w:name="_Hlk210666451"/>
      <w:r w:rsidRPr="00C9544D">
        <w:rPr>
          <w:vertAlign w:val="superscript"/>
        </w:rPr>
        <w:footnoteReference w:id="4"/>
      </w:r>
      <w:bookmarkEnd w:id="9"/>
      <w:r w:rsidRPr="00C9544D">
        <w:t xml:space="preserve">, </w:t>
      </w:r>
    </w:p>
    <w:p w14:paraId="1FBA57B8" w14:textId="77777777" w:rsidR="0055359E" w:rsidRPr="00C9544D" w:rsidRDefault="0055359E" w:rsidP="0055359E">
      <w:pPr>
        <w:pStyle w:val="NormalHanging12a"/>
      </w:pPr>
      <w:r w:rsidRPr="00C9544D">
        <w:lastRenderedPageBreak/>
        <w:t>–</w:t>
      </w:r>
      <w:r w:rsidRPr="00C9544D">
        <w:tab/>
        <w:t>so zreteľom na článok 115 ods. 2 a 3 rokovacieho poriadku,</w:t>
      </w:r>
    </w:p>
    <w:p w14:paraId="4AC3F28D" w14:textId="77777777" w:rsidR="0055359E" w:rsidRPr="00C9544D" w:rsidRDefault="0055359E" w:rsidP="0055359E">
      <w:pPr>
        <w:pStyle w:val="NormalHanging12a"/>
      </w:pPr>
      <w:r w:rsidRPr="00C9544D">
        <w:t>–</w:t>
      </w:r>
      <w:r w:rsidRPr="00C9544D">
        <w:tab/>
        <w:t>so zreteľom na návrh uznesenia Výboru pre životné prostredie, klímu a bezpečnosť potravín,</w:t>
      </w:r>
    </w:p>
    <w:p w14:paraId="5A3CFAB7" w14:textId="6248B5FC" w:rsidR="0055359E" w:rsidRPr="00C9544D" w:rsidRDefault="0055359E" w:rsidP="0055359E">
      <w:pPr>
        <w:pStyle w:val="NormalHanging12a"/>
        <w:ind w:hanging="570"/>
      </w:pPr>
      <w:r w:rsidRPr="00C9544D">
        <w:t>A.</w:t>
      </w:r>
      <w:r w:rsidRPr="00C9544D">
        <w:tab/>
        <w:t>keďže vykonávacím rozhodnutím Komisie (EÚ) 2015/690</w:t>
      </w:r>
      <w:r w:rsidRPr="00C9544D">
        <w:rPr>
          <w:rStyle w:val="FootnoteReference"/>
        </w:rPr>
        <w:footnoteReference w:id="5"/>
      </w:r>
      <w:r w:rsidRPr="00C9544D">
        <w:t xml:space="preserve"> sa povolilo umiestňovať na trh potraviny a krmivá, ktoré obsahujú geneticky modifikovanú bavlnu GHB614 × LLCotton25 (ďalej len „geneticky modifikovaná bavlna“), sú z nej zložené alebo vyrobené</w:t>
      </w:r>
      <w:r w:rsidR="00780BC2">
        <w:t>; r</w:t>
      </w:r>
      <w:r w:rsidRPr="00C9544D">
        <w:t xml:space="preserve">ozsah pôsobnosti </w:t>
      </w:r>
      <w:r w:rsidR="00780BC2">
        <w:t xml:space="preserve">uvedeného </w:t>
      </w:r>
      <w:r w:rsidRPr="00C9544D">
        <w:t>povolenia sa vzťahoval aj na umiestňovanie na trh iných produktov, ako sú potraviny a krmivá, ktoré obsahujú geneticky modifikovanú bavlnu alebo sú z nej zložené, na účely rovnakého používania ako akákoľvek iná bavlna, s výnimkou pestovania;</w:t>
      </w:r>
    </w:p>
    <w:p w14:paraId="706B231B" w14:textId="77777777" w:rsidR="0055359E" w:rsidRPr="00C9544D" w:rsidRDefault="0055359E" w:rsidP="0055359E">
      <w:pPr>
        <w:pStyle w:val="NormalHanging12a"/>
        <w:ind w:hanging="570"/>
      </w:pPr>
      <w:bookmarkStart w:id="10" w:name="_Hlk218675754"/>
      <w:r w:rsidRPr="00C9544D">
        <w:t>B.</w:t>
      </w:r>
      <w:r w:rsidRPr="00C9544D">
        <w:tab/>
        <w:t xml:space="preserve">keďže spoločnosť </w:t>
      </w:r>
      <w:r w:rsidRPr="00C9544D">
        <w:rPr>
          <w:snapToGrid w:val="0"/>
        </w:rPr>
        <w:t>BASF SE so sídlom v Nemecku</w:t>
      </w:r>
      <w:r w:rsidRPr="00C9544D">
        <w:t xml:space="preserve"> predložila Komisii 22. marca 2024 v mene spoločnosti BASF Agricultural Solutions Seed US LLC so sídlom v Spojených štátoch amerických žiadosť o obnovenie tohto povolenia;</w:t>
      </w:r>
    </w:p>
    <w:p w14:paraId="592EC0D6" w14:textId="77777777" w:rsidR="0055359E" w:rsidRPr="00C9544D" w:rsidRDefault="0055359E" w:rsidP="0055359E">
      <w:pPr>
        <w:pStyle w:val="NormalHanging12a"/>
        <w:ind w:hanging="570"/>
      </w:pPr>
      <w:r w:rsidRPr="00C9544D">
        <w:t>C.</w:t>
      </w:r>
      <w:r w:rsidRPr="00C9544D">
        <w:tab/>
        <w:t>keďže 7. augusta 2025 vydal EFSA v súlade s článkami 11 a 23 nariadenia (ES) č. 1829/2003 priaznivé stanovisko ku geneticky modifikovanej bavlne, v ktorom dospel k záveru, že žiadosť o obnovenie neobsahovala dôkazy svedčiace o akýchkoľvek nových rizikách, o zmene expozície ani o vedeckých pochybnostiach, ktoré by viedli k zmene záverov pôvodného posúdenia rizika týkajúceho sa geneticky modifikovanej bavlny, ktoré prijal EFSA v roku 2014</w:t>
      </w:r>
      <w:r w:rsidRPr="00C9544D">
        <w:rPr>
          <w:rStyle w:val="FootnoteReference"/>
        </w:rPr>
        <w:footnoteReference w:id="6"/>
      </w:r>
      <w:r w:rsidRPr="00C9544D">
        <w:t>; keďže uvedené stanoviská sa nezaoberali viacerými širšími environmentálnymi, sociálno-ekonomickými a kumulatívnymi vplyvmi, ktoré podľa EFSA nepatria do jeho právomoci;</w:t>
      </w:r>
    </w:p>
    <w:p w14:paraId="71A8BFA9" w14:textId="77777777" w:rsidR="0055359E" w:rsidRPr="00C9544D" w:rsidRDefault="0055359E" w:rsidP="0055359E">
      <w:pPr>
        <w:pStyle w:val="NormalHanging12a"/>
      </w:pPr>
      <w:r w:rsidRPr="00C9544D">
        <w:t>D.</w:t>
      </w:r>
      <w:r w:rsidRPr="00C9544D">
        <w:tab/>
        <w:t xml:space="preserve">keďže geneticky modifikovaná bavlna bola vyvinutá tak, aby preukazovala odolnosť voči glufosinátu a glyfozátu; </w:t>
      </w:r>
    </w:p>
    <w:bookmarkEnd w:id="10"/>
    <w:p w14:paraId="71CDA224" w14:textId="77777777" w:rsidR="0055359E" w:rsidRPr="00C9544D" w:rsidRDefault="0055359E" w:rsidP="0055359E">
      <w:pPr>
        <w:pStyle w:val="NormalHanging12a"/>
      </w:pPr>
      <w:r w:rsidRPr="00C9544D">
        <w:t>E.</w:t>
      </w:r>
      <w:r w:rsidRPr="00C9544D">
        <w:tab/>
        <w:t xml:space="preserve">keďže posúdenie rizika, ktoré vykonal EFSA, nezahŕňalo dlhodobé toxikologické štúdie ani podrobnú analýzu kumulatívnych a kombinovaných účinkov vrátane možných </w:t>
      </w:r>
      <w:r w:rsidRPr="00C9544D">
        <w:lastRenderedPageBreak/>
        <w:t>interakcií s rezíduami pesticídov bežne používaných pri pestovaní bavlny;</w:t>
      </w:r>
    </w:p>
    <w:p w14:paraId="78D220B5" w14:textId="77777777" w:rsidR="0055359E" w:rsidRPr="00C9544D" w:rsidRDefault="0055359E" w:rsidP="0055359E">
      <w:pPr>
        <w:pStyle w:val="NormalHanging12a"/>
        <w:rPr>
          <w:color w:val="000000" w:themeColor="text1"/>
          <w:szCs w:val="24"/>
        </w:rPr>
      </w:pPr>
      <w:r w:rsidRPr="00C9544D">
        <w:rPr>
          <w:color w:val="000000" w:themeColor="text1"/>
        </w:rPr>
        <w:t>F.</w:t>
      </w:r>
      <w:r w:rsidRPr="00C9544D">
        <w:rPr>
          <w:color w:val="000000" w:themeColor="text1"/>
        </w:rPr>
        <w:tab/>
      </w:r>
      <w:r w:rsidRPr="00C9544D">
        <w:t xml:space="preserve">keďže veľká väčšina geneticky modifikovaných plodín vrátane geneticky modifikovanej bavlny je geneticky modifikovaná tak, aby dané plodiny boli odolné voči jednému alebo viacerým „doplnkovým“ herbicídom, ktoré sa môžu používať počas pestovania geneticky modifikovanej plodiny bez toho, aby uhynula, ako by to bolo v prípade plodiny, ktorá nie je odolná voči herbicídom; </w:t>
      </w:r>
      <w:r w:rsidRPr="00C9544D">
        <w:rPr>
          <w:color w:val="000000" w:themeColor="text1"/>
        </w:rPr>
        <w:t>keďže viaceré štúdie preukázali, že geneticky modifikované plodiny odolné voči herbicídom vedú k vyššiemu používaniu doplnkových herbicídov, čo je z veľkej časti spôsobené výskytom buriny odolnej voči herbicídom</w:t>
      </w:r>
      <w:r w:rsidRPr="00C9544D">
        <w:rPr>
          <w:rStyle w:val="FootnoteReference"/>
          <w:color w:val="000000" w:themeColor="text1"/>
          <w:szCs w:val="24"/>
        </w:rPr>
        <w:footnoteReference w:id="7"/>
      </w:r>
      <w:r w:rsidRPr="00C9544D">
        <w:rPr>
          <w:color w:val="000000" w:themeColor="text1"/>
        </w:rPr>
        <w:t>;</w:t>
      </w:r>
    </w:p>
    <w:p w14:paraId="303DB3AB" w14:textId="77777777" w:rsidR="0055359E" w:rsidRPr="00C9544D" w:rsidRDefault="0055359E" w:rsidP="0055359E">
      <w:pPr>
        <w:spacing w:after="240"/>
        <w:ind w:left="567" w:hanging="567"/>
        <w:rPr>
          <w:color w:val="000000" w:themeColor="text1"/>
          <w:szCs w:val="24"/>
        </w:rPr>
      </w:pPr>
      <w:r w:rsidRPr="00C9544D">
        <w:t>G.</w:t>
      </w:r>
      <w:r w:rsidRPr="00C9544D">
        <w:tab/>
        <w:t>keďže g</w:t>
      </w:r>
      <w:r w:rsidRPr="00C9544D">
        <w:rPr>
          <w:color w:val="000000" w:themeColor="text1"/>
        </w:rPr>
        <w:t>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v ktorých sa sadí geneticky modifikovaná bavlna, urýchli vznik a šírenie buriny rezistentnej voči týmto herbicídom, čo vyvoláva potrebu ešte väčšieho používania herbicídov, čo je začarovaný kruh neustáleho používania čoraz väčšieho množstva herbicídov; keďže nepriaznivé vplyvy vyplývajúce 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r w:rsidRPr="00C9544D">
        <w:rPr>
          <w:rStyle w:val="FootnoteReference"/>
          <w:color w:val="000000" w:themeColor="text1"/>
          <w:szCs w:val="24"/>
        </w:rPr>
        <w:footnoteReference w:id="8"/>
      </w:r>
      <w:r w:rsidRPr="00C9544D">
        <w:rPr>
          <w:color w:val="000000" w:themeColor="text1"/>
        </w:rPr>
        <w:t>;</w:t>
      </w:r>
    </w:p>
    <w:p w14:paraId="4A2280F6" w14:textId="77777777" w:rsidR="0055359E" w:rsidRPr="00C9544D" w:rsidRDefault="0055359E" w:rsidP="0055359E">
      <w:pPr>
        <w:pStyle w:val="NormalWeb"/>
        <w:widowControl w:val="0"/>
        <w:spacing w:before="0" w:beforeAutospacing="0" w:after="240" w:afterAutospacing="0"/>
        <w:ind w:left="567" w:hanging="567"/>
      </w:pPr>
      <w:r w:rsidRPr="00C9544D">
        <w:t>H.</w:t>
      </w:r>
      <w:r w:rsidRPr="00C9544D">
        <w:tab/>
        <w:t>keďže glufosinát je zaradený do kategórie 1B ako reprodukčne toxická látka, a preto sa naň vzťahujú hraničné kritériá stanovené v nariadení Európskeho parlamentu a Rady (ES) č. 1107/2009</w:t>
      </w:r>
      <w:r w:rsidRPr="00C9544D">
        <w:rPr>
          <w:rStyle w:val="FootnoteReference"/>
        </w:rPr>
        <w:footnoteReference w:id="9"/>
      </w:r>
      <w:r w:rsidRPr="00C9544D">
        <w:t>; keďže platnosť povolenia glufosinátu na používanie v Únii sa skončila 31. júla 2018;</w:t>
      </w:r>
    </w:p>
    <w:p w14:paraId="28BA2F0A" w14:textId="77777777" w:rsidR="0055359E" w:rsidRPr="00C9544D" w:rsidRDefault="0055359E" w:rsidP="0055359E">
      <w:pPr>
        <w:pStyle w:val="NormalHanging12a"/>
      </w:pPr>
      <w:r w:rsidRPr="00C9544D">
        <w:t>I.</w:t>
      </w:r>
      <w:r w:rsidRPr="00C9544D">
        <w:tab/>
        <w:t xml:space="preserve">keďže naďalej pretrvávajú závažné otázky v súvislosti s karcinogenitou glyfozátu; keďže EFSA v novembri 2015 dospel k záveru, že glyfozát pravdepodobne nie je karcinogénny, a Európska chemická agentúra v marci 2017 dospela k záveru, že klasifikácia nie je odôvodnená; keďže Medzinárodná agentúra pre výskum rakoviny, špecializovaná agentúra Svetovej zdravotníckej organizácie pre rakovinu, v roku 2015 klasifikovala glyfozát ako pravdepodobný karcinogén pre ľudí; keďže viaceré nedávne </w:t>
      </w:r>
      <w:r w:rsidRPr="00C9544D">
        <w:lastRenderedPageBreak/>
        <w:t>vedecké recenzované štúdie potvrdzujú karcinogénny potenciál glyfozátu</w:t>
      </w:r>
      <w:r w:rsidRPr="00C9544D">
        <w:rPr>
          <w:rStyle w:val="FootnoteReference"/>
        </w:rPr>
        <w:footnoteReference w:id="10"/>
      </w:r>
      <w:r w:rsidRPr="00C9544D">
        <w:t xml:space="preserve">; </w:t>
      </w:r>
      <w:bookmarkStart w:id="12" w:name="_Hlk218688545"/>
      <w:r w:rsidRPr="00C9544D">
        <w:t>keďže časopis Regulatory Toxicology and Pharmacology formálne stiahol vedeckú prácu</w:t>
      </w:r>
      <w:r w:rsidRPr="00C9544D">
        <w:rPr>
          <w:shd w:val="clear" w:color="auto" w:fill="FFFFFF"/>
        </w:rPr>
        <w:t xml:space="preserve"> </w:t>
      </w:r>
      <w:r w:rsidRPr="00C9544D">
        <w:t>„Safety Evaluation and Risk Assessment of the Herbicide Roundup and Its Active Ingredient, Glyphosate, for Humans“</w:t>
      </w:r>
      <w:r w:rsidRPr="00C9544D">
        <w:rPr>
          <w:shd w:val="clear" w:color="auto" w:fill="FFFFFF"/>
        </w:rPr>
        <w:t xml:space="preserve"> </w:t>
      </w:r>
      <w:r w:rsidRPr="00C9544D">
        <w:t>(Hodnotenie bezpečnosti a hodnotenie rizík herbicídu Roundup a jeho účinnej látky glyfozátu pre ľudí), ktorá bola uverejnená v roku 2000 a ktorá sa používala na obhajobu bezpečnosti glyfozátu v mnohých posúdeniach rizík, keďže</w:t>
      </w:r>
      <w:r w:rsidRPr="00C9544D">
        <w:rPr>
          <w:shd w:val="clear" w:color="auto" w:fill="FFFFFF"/>
        </w:rPr>
        <w:t xml:space="preserve"> </w:t>
      </w:r>
      <w:r w:rsidRPr="00C9544D">
        <w:t>„boli vyjadrené obavy týkajúce sa jej autorstva, platnosti výsledkov výskumu v kontexte skresľovania príspevkov autorov a zadávateľa štúdie a možného konfliktu záujmov autorov“</w:t>
      </w:r>
      <w:r w:rsidRPr="00C9544D">
        <w:rPr>
          <w:rStyle w:val="FootnoteReference"/>
        </w:rPr>
        <w:footnoteReference w:id="11"/>
      </w:r>
      <w:r w:rsidRPr="00C9544D">
        <w:t>;</w:t>
      </w:r>
      <w:bookmarkEnd w:id="12"/>
    </w:p>
    <w:p w14:paraId="09AB6C07" w14:textId="77777777" w:rsidR="0055359E" w:rsidRPr="00C9544D" w:rsidRDefault="0055359E" w:rsidP="0055359E">
      <w:pPr>
        <w:pStyle w:val="NormalHanging12a"/>
      </w:pPr>
      <w:r w:rsidRPr="00C9544D">
        <w:t>J.</w:t>
      </w:r>
      <w:r w:rsidRPr="00C9544D">
        <w:tab/>
        <w:t>keďže nie je dostatočne zaručené nezávislé monitorovanie možných nepriaznivých účinkov na biodiverzitu, zdravie pôdy, opeľovače a necieľové organizmy a dohľad nad nimi;</w:t>
      </w:r>
    </w:p>
    <w:p w14:paraId="105BF068" w14:textId="77777777" w:rsidR="0055359E" w:rsidRPr="00C9544D" w:rsidRDefault="0055359E" w:rsidP="0055359E">
      <w:pPr>
        <w:spacing w:after="240"/>
        <w:ind w:left="567" w:hanging="567"/>
      </w:pPr>
      <w:r w:rsidRPr="00C9544D">
        <w:t>K.</w:t>
      </w:r>
      <w:r w:rsidRPr="00C9544D">
        <w:tab/>
        <w:t>keďže v prípadoch vedeckej neistoty by sa mala uplatňovať zásada predbežnej opatrnosti ustanovená v článku 191 Zmluvy o fungovaní Európskej únie;</w:t>
      </w:r>
    </w:p>
    <w:p w14:paraId="32229189" w14:textId="77777777" w:rsidR="0055359E" w:rsidRPr="00C9544D" w:rsidRDefault="0055359E" w:rsidP="0055359E">
      <w:pPr>
        <w:spacing w:after="240"/>
        <w:ind w:left="567" w:hanging="567"/>
      </w:pPr>
      <w:r w:rsidRPr="00C9544D">
        <w:t>L.</w:t>
      </w:r>
      <w:r w:rsidRPr="00C9544D">
        <w:tab/>
        <w:t>keďže podľa nariadenia (ES) č. 1829/2003 sa vyžaduje, že geneticky modifikované potraviny a krmivá nesmú mať nepriaznivé účinky na ľudské zdravie, zdravie zvierat alebo na životné prostredie;</w:t>
      </w:r>
    </w:p>
    <w:p w14:paraId="733600BE" w14:textId="77777777" w:rsidR="0055359E" w:rsidRPr="00C9544D" w:rsidRDefault="0055359E" w:rsidP="0055359E">
      <w:pPr>
        <w:pStyle w:val="NormalWeb"/>
        <w:widowControl w:val="0"/>
        <w:spacing w:before="0" w:beforeAutospacing="0" w:after="240" w:afterAutospacing="0"/>
        <w:ind w:left="567" w:hanging="567"/>
      </w:pPr>
      <w:r w:rsidRPr="00C9544D">
        <w:t>M.</w:t>
      </w:r>
      <w:r w:rsidRPr="00C9544D">
        <w:tab/>
        <w:t>keďže obnovenie povolenia geneticky modifikovanej bavlny v Únii by nebolo v súlade s medzinárodnými záväzkami v oblasti znižovania pesticídov</w:t>
      </w:r>
      <w:r w:rsidRPr="00C9544D">
        <w:rPr>
          <w:vertAlign w:val="superscript"/>
        </w:rPr>
        <w:footnoteReference w:id="12"/>
      </w:r>
      <w:r w:rsidRPr="00C9544D">
        <w:t xml:space="preserve"> vzhľadom na zvýšenú expozíciu ľudí, zvierat a životného prostredia glyfozátu a glufosinátu v krajinách, v ktorých sa pestuje táto geneticky modifikovaná plodina tolerantná voči herbicídom, spolu s potenciálne závažnými súvisiacimi zdravotnými výsledkami;</w:t>
      </w:r>
    </w:p>
    <w:p w14:paraId="79C78044" w14:textId="77777777" w:rsidR="0055359E" w:rsidRPr="00C9544D" w:rsidRDefault="0055359E" w:rsidP="0055359E">
      <w:pPr>
        <w:spacing w:after="240"/>
        <w:ind w:left="567" w:hanging="567"/>
      </w:pPr>
      <w:r w:rsidRPr="00C9544D">
        <w:t>N.</w:t>
      </w:r>
      <w:r w:rsidRPr="00C9544D">
        <w:tab/>
        <w:t>keďže vykonávacím rozhodnutím Komisie by sa naďalej umožnil dovoz do Únie, ktorý nie je v súlade s normami, ktoré dodržiavajú poľnohospodári Únie, čím by sa dostali do konkurenčnej nevýhody;</w:t>
      </w:r>
    </w:p>
    <w:p w14:paraId="7590ABA8" w14:textId="77777777" w:rsidR="0055359E" w:rsidRPr="00C9544D" w:rsidRDefault="0055359E" w:rsidP="0055359E">
      <w:pPr>
        <w:spacing w:after="240"/>
        <w:ind w:left="567" w:hanging="567"/>
      </w:pPr>
      <w:r w:rsidRPr="00C9544D">
        <w:t>O.</w:t>
      </w:r>
      <w:r w:rsidRPr="00C9544D">
        <w:tab/>
        <w:t>keďže v záveroch strategického dialógu o budúcnosti poľnohospodárstva v EÚ</w:t>
      </w:r>
      <w:r w:rsidRPr="00C9544D">
        <w:rPr>
          <w:rStyle w:val="FootnoteReference"/>
        </w:rPr>
        <w:footnoteReference w:id="13"/>
      </w:r>
      <w:r w:rsidRPr="00C9544D">
        <w:t xml:space="preserve"> sa Komisia vyzýva, aby prehodnotila prístup, pokiaľ ide o prístup na trh pre agropotravinový dovoz a vývoz, a to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2024 a 2025;</w:t>
      </w:r>
    </w:p>
    <w:p w14:paraId="4A164F15" w14:textId="0816CB3D" w:rsidR="0055359E" w:rsidRPr="00C9544D" w:rsidRDefault="0055359E" w:rsidP="0055359E">
      <w:pPr>
        <w:spacing w:after="240"/>
        <w:ind w:left="567" w:hanging="567"/>
      </w:pPr>
      <w:r w:rsidRPr="00C9544D">
        <w:t>P.</w:t>
      </w:r>
      <w:r w:rsidRPr="00C9544D">
        <w:tab/>
        <w:t xml:space="preserve">keďže </w:t>
      </w:r>
      <w:r w:rsidR="00AB7C5B" w:rsidRPr="00C9544D">
        <w:t>Európsky p</w:t>
      </w:r>
      <w:r w:rsidRPr="00C9544D">
        <w:t xml:space="preserve">arlament opakovane zdôraznil, že Komisia by nemala povoľovať </w:t>
      </w:r>
      <w:r w:rsidRPr="00C9544D">
        <w:lastRenderedPageBreak/>
        <w:t>GMO v prípadoch, keď členské štáty nedosiahnu kvalifikovanú väčšinu v Stálom výbore pre rastliny, zvieratá, potraviny a krmivá alebo v odvolacom výbore, aby sa vyriešil pretrvávajúci demokratický deficit;</w:t>
      </w:r>
    </w:p>
    <w:p w14:paraId="54E4A6A1" w14:textId="60FA35C8" w:rsidR="0055359E" w:rsidRPr="00C9544D" w:rsidRDefault="0055359E" w:rsidP="0055359E">
      <w:pPr>
        <w:pStyle w:val="NormalWeb"/>
        <w:widowControl w:val="0"/>
        <w:shd w:val="clear" w:color="auto" w:fill="FFFFFF"/>
        <w:spacing w:before="0" w:beforeAutospacing="0" w:after="240" w:afterAutospacing="0"/>
        <w:ind w:left="567" w:hanging="567"/>
        <w:rPr>
          <w:color w:val="000000" w:themeColor="text1"/>
        </w:rPr>
      </w:pPr>
      <w:r w:rsidRPr="00C9544D">
        <w:rPr>
          <w:color w:val="000000" w:themeColor="text1"/>
        </w:rPr>
        <w:t>Q.</w:t>
      </w:r>
      <w:r w:rsidRPr="00C9544D">
        <w:rPr>
          <w:color w:val="000000" w:themeColor="text1"/>
        </w:rPr>
        <w:tab/>
        <w:t xml:space="preserve">keďže Komisia naďalej povoľuje </w:t>
      </w:r>
      <w:r w:rsidR="003A3BF4" w:rsidRPr="007A45AC">
        <w:t xml:space="preserve">geneticky modifikované </w:t>
      </w:r>
      <w:r w:rsidR="003A3BF4">
        <w:t>organizmy</w:t>
      </w:r>
      <w:r w:rsidRPr="00C9544D">
        <w:rPr>
          <w:color w:val="000000" w:themeColor="text1"/>
        </w:rPr>
        <w:t>, hoci si sama uvedomuje nedostatky z hľadiska demokracie, nízku podporu členských štátov a námietky Európskeho parlamentu;</w:t>
      </w:r>
    </w:p>
    <w:p w14:paraId="62D94BB3" w14:textId="2D4B5573" w:rsidR="0055359E" w:rsidRPr="00C9544D" w:rsidRDefault="0055359E" w:rsidP="0055359E">
      <w:pPr>
        <w:spacing w:after="240"/>
        <w:ind w:left="567" w:hanging="567"/>
      </w:pPr>
      <w:r w:rsidRPr="00C9544D">
        <w:t>R.</w:t>
      </w:r>
      <w:r w:rsidRPr="00C9544D">
        <w:tab/>
        <w:t xml:space="preserve">keďže na základe prístupu „jedno zdravie“ sa vyžaduje, aby sa pri hodnotení dlhodobej udržateľnosti a bezpečnosti </w:t>
      </w:r>
      <w:r w:rsidR="003A3BF4" w:rsidRPr="007A45AC">
        <w:t>geneticky modifikovan</w:t>
      </w:r>
      <w:r w:rsidR="003A3BF4">
        <w:t>ých</w:t>
      </w:r>
      <w:r w:rsidR="003A3BF4" w:rsidRPr="007A45AC">
        <w:t xml:space="preserve"> </w:t>
      </w:r>
      <w:r w:rsidR="003A3BF4">
        <w:t xml:space="preserve">organizmov </w:t>
      </w:r>
      <w:r w:rsidRPr="00C9544D">
        <w:t>zohľadňovala vzájomná závislosť medzi zdravím ľudí, zvierat, rastlín a životného prostredia;</w:t>
      </w:r>
    </w:p>
    <w:p w14:paraId="4539EA5E" w14:textId="77777777" w:rsidR="0055359E" w:rsidRPr="00C9544D" w:rsidRDefault="0055359E" w:rsidP="0055359E">
      <w:pPr>
        <w:pStyle w:val="NormalHanging12a"/>
      </w:pPr>
      <w:r w:rsidRPr="00C9544D">
        <w:t>1.</w:t>
      </w:r>
      <w:r w:rsidRPr="00C9544D">
        <w:tab/>
        <w:t>domnieva sa, že návrh vykonávacieho rozhodnutia Komisie prekračuje rámec vykonávacích právomocí stanovených v nariadení (ES) č. 1829/2003;</w:t>
      </w:r>
    </w:p>
    <w:p w14:paraId="59E0F7E8" w14:textId="77777777" w:rsidR="0055359E" w:rsidRPr="00C9544D" w:rsidRDefault="0055359E" w:rsidP="0055359E">
      <w:pPr>
        <w:pStyle w:val="NormalHanging12a"/>
      </w:pPr>
      <w:bookmarkStart w:id="13" w:name="_Hlk218675825"/>
      <w:r w:rsidRPr="00C9544D">
        <w:t>2.</w:t>
      </w:r>
      <w:r w:rsidRPr="00C9544D">
        <w:tab/>
        <w:t>domnieva sa, že návrh vykonávacieho rozhodnutia Komisie nie je v súlade s právom Únie, pretože nie je zlučiteľný s cieľom nariadenia (ES) č. 1829/2003, ktorým je podľa všeobecných zásad uvedených v nariadení Európskeho parlamentu a Rady (ES) č. 178/2002</w:t>
      </w:r>
      <w:r w:rsidRPr="00C9544D">
        <w:rPr>
          <w:vertAlign w:val="superscript"/>
        </w:rPr>
        <w:footnoteReference w:id="14"/>
      </w:r>
      <w:r w:rsidRPr="00C9544D">
        <w:t xml:space="preserve"> poskytovať základ na zabezpečenie vysokej miery ochrany ľudského života a zdravia, zdravia a dobrých životných podmienok zvierat, životného prostredia a záujmov spotrebiteľov v súvislosti s geneticky modifikovanými potravinami a krmivami a súčasne zabezpečovať efektívne fungovanie vnútorného trhu; </w:t>
      </w:r>
    </w:p>
    <w:bookmarkEnd w:id="13"/>
    <w:p w14:paraId="26935E5E" w14:textId="77777777" w:rsidR="0055359E" w:rsidRPr="00C9544D" w:rsidRDefault="0055359E" w:rsidP="0055359E">
      <w:pPr>
        <w:pStyle w:val="NormalHanging12a"/>
      </w:pPr>
      <w:r w:rsidRPr="00C9544D">
        <w:t>3.</w:t>
      </w:r>
      <w:r w:rsidRPr="00C9544D">
        <w:tab/>
        <w:t>žiada Komisiu, aby stiahla svoj návrh vykonávacieho rozhodnutia;</w:t>
      </w:r>
    </w:p>
    <w:p w14:paraId="7E9802E1" w14:textId="77777777" w:rsidR="0055359E" w:rsidRPr="00C9544D" w:rsidRDefault="0055359E" w:rsidP="0055359E">
      <w:pPr>
        <w:spacing w:after="240"/>
        <w:ind w:left="567" w:hanging="567"/>
      </w:pPr>
      <w:r w:rsidRPr="00C9544D">
        <w:t>4.</w:t>
      </w:r>
      <w:r w:rsidRPr="00C9544D">
        <w:tab/>
        <w:t>vyzýva Komisiu, aby neobnovila povolenie pre geneticky modifikovanú bavlnu z dôvodu nedostatočných dôkazov o dlhodobom vplyve na biodiverzitu, bezpečnosť potravín, živobytie poľnohospodárov a zdravie zvierat v súlade s prístupom „jedno zdravie“;</w:t>
      </w:r>
    </w:p>
    <w:p w14:paraId="28B35D90" w14:textId="58F7DC74" w:rsidR="0055359E" w:rsidRPr="00C9544D" w:rsidRDefault="0055359E" w:rsidP="0055359E">
      <w:pPr>
        <w:spacing w:after="240"/>
        <w:ind w:left="567" w:hanging="567"/>
      </w:pPr>
      <w:bookmarkStart w:id="14" w:name="_Hlk210900300"/>
      <w:r w:rsidRPr="00C9544D">
        <w:t>5.</w:t>
      </w:r>
      <w:r w:rsidRPr="00C9544D">
        <w:tab/>
        <w:t xml:space="preserve">vyzýva Komisiu, aby bezodkladne predložila legislatívny návrh na reformu rozhodovacieho postupu v prípade </w:t>
      </w:r>
      <w:r w:rsidR="003A3BF4" w:rsidRPr="007A45AC">
        <w:t>geneticky modifikovan</w:t>
      </w:r>
      <w:r w:rsidR="003A3BF4">
        <w:t>ých</w:t>
      </w:r>
      <w:r w:rsidR="003A3BF4" w:rsidRPr="007A45AC">
        <w:t xml:space="preserve"> </w:t>
      </w:r>
      <w:r w:rsidR="003A3BF4">
        <w:t xml:space="preserve">organizmov </w:t>
      </w:r>
      <w:r w:rsidRPr="00C9544D">
        <w:t xml:space="preserve">s cieľom reagovať na sústavné námietky </w:t>
      </w:r>
      <w:r w:rsidR="00AB7C5B" w:rsidRPr="00C9544D">
        <w:t>Európskeho p</w:t>
      </w:r>
      <w:r w:rsidRPr="00C9544D">
        <w:t>arlamentu a nedostatok podpory kvalifikovanej väčšiny členských štátov</w:t>
      </w:r>
      <w:bookmarkEnd w:id="14"/>
      <w:r w:rsidRPr="00C9544D">
        <w:t>;</w:t>
      </w:r>
    </w:p>
    <w:p w14:paraId="04191F7A" w14:textId="71FD99F4" w:rsidR="0055359E" w:rsidRPr="00C9544D" w:rsidRDefault="0055359E" w:rsidP="0055359E">
      <w:pPr>
        <w:spacing w:after="240"/>
        <w:ind w:left="567" w:hanging="567"/>
      </w:pPr>
      <w:bookmarkStart w:id="15" w:name="_Hlk210900241"/>
      <w:r w:rsidRPr="00C9544D">
        <w:t>6.</w:t>
      </w:r>
      <w:r w:rsidRPr="00C9544D">
        <w:tab/>
        <w:t>v tejto súvislosti zdôrazňuje, že povolenie dovozu akejkoľvek geneticky modifikovanej rastliny, ktorá je tolerantná voči herbicídom, ktoré sú v Únii zakázané, ako je glufosinát, na použitie v potravinách, krmivách alebo iných produktoch, je v rozpore s medzinárodnými záväzkami Únie, okrem iného v rámci Dohovoru OSN o biologickej diverzite a cieľov OSN v oblasti udržateľného rozvoja vrátane rám</w:t>
      </w:r>
      <w:r w:rsidR="003A3BF4">
        <w:t>ca</w:t>
      </w:r>
      <w:r w:rsidRPr="00C9544D">
        <w:t xml:space="preserve"> z Kchun-mingu a Montrealu, a že vytvára nerovnaké podmienky pre poľnohospodárov v Únii;</w:t>
      </w:r>
    </w:p>
    <w:bookmarkEnd w:id="15"/>
    <w:p w14:paraId="3EEB6DA5" w14:textId="5F54FF59" w:rsidR="00E365E1" w:rsidRPr="00C9544D" w:rsidRDefault="0055359E" w:rsidP="00AB7C5B">
      <w:pPr>
        <w:pStyle w:val="NormalHanging12a"/>
      </w:pPr>
      <w:r w:rsidRPr="00C9544D">
        <w:t>7.</w:t>
      </w:r>
      <w:r w:rsidRPr="00C9544D">
        <w:tab/>
        <w:t>poveruje svoju predsedníčku, aby postúpila toto uznesenie Rade, Komisii a vládam a parlamentom členských štátov.</w:t>
      </w:r>
    </w:p>
    <w:sectPr w:rsidR="00E365E1" w:rsidRPr="00C9544D" w:rsidSect="001F7E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93A2" w14:textId="77777777" w:rsidR="008903CE" w:rsidRPr="001F7E49" w:rsidRDefault="008903CE">
      <w:r w:rsidRPr="001F7E49">
        <w:separator/>
      </w:r>
    </w:p>
  </w:endnote>
  <w:endnote w:type="continuationSeparator" w:id="0">
    <w:p w14:paraId="0DB2E590" w14:textId="77777777" w:rsidR="008903CE" w:rsidRPr="001F7E49" w:rsidRDefault="008903CE">
      <w:r w:rsidRPr="001F7E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B6B8A" w14:textId="77777777" w:rsidR="00064002" w:rsidRPr="001F7E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11E7D" w14:textId="77777777" w:rsidR="00064002" w:rsidRPr="001F7E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28A1D" w14:textId="77777777" w:rsidR="00064002" w:rsidRPr="001F7E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7626A" w14:textId="77777777" w:rsidR="008903CE" w:rsidRPr="001F7E49" w:rsidRDefault="008903CE">
      <w:r w:rsidRPr="001F7E49">
        <w:separator/>
      </w:r>
    </w:p>
  </w:footnote>
  <w:footnote w:type="continuationSeparator" w:id="0">
    <w:p w14:paraId="116BA30D" w14:textId="77777777" w:rsidR="008903CE" w:rsidRPr="001F7E49" w:rsidRDefault="008903CE">
      <w:r w:rsidRPr="001F7E49">
        <w:continuationSeparator/>
      </w:r>
    </w:p>
  </w:footnote>
  <w:footnote w:id="1">
    <w:p w14:paraId="54B3C749" w14:textId="067C44B0"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Ú. v. EÚ L 268, 18.10.2003, s. 1, ELI: </w:t>
      </w:r>
      <w:hyperlink r:id="rId1" w:history="1">
        <w:r w:rsidRPr="001F7E49">
          <w:rPr>
            <w:rStyle w:val="Hyperlink"/>
            <w:sz w:val="24"/>
            <w:lang w:val="sk-SK"/>
          </w:rPr>
          <w:t>https://eur-lex.europa.eu/eli/reg/2003/1829/oj</w:t>
        </w:r>
      </w:hyperlink>
      <w:r w:rsidRPr="001F7E49">
        <w:rPr>
          <w:rStyle w:val="Hyperlink"/>
          <w:sz w:val="24"/>
          <w:lang w:val="sk-SK"/>
        </w:rPr>
        <w:t>.</w:t>
      </w:r>
    </w:p>
  </w:footnote>
  <w:footnote w:id="2">
    <w:p w14:paraId="0FF12DF0" w14:textId="58C09AD9"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Ú. v. EÚ L 55, 28.2.2011, s. 13, ELI: </w:t>
      </w:r>
      <w:hyperlink r:id="rId2" w:history="1">
        <w:r w:rsidRPr="001F7E49">
          <w:rPr>
            <w:rStyle w:val="Hyperlink"/>
            <w:sz w:val="24"/>
            <w:lang w:val="sk-SK"/>
          </w:rPr>
          <w:t>http://data.europa.eu/eli/reg/2011/182/oj</w:t>
        </w:r>
      </w:hyperlink>
      <w:r w:rsidRPr="001F7E49">
        <w:rPr>
          <w:sz w:val="24"/>
          <w:lang w:val="sk-SK"/>
        </w:rPr>
        <w:t>.</w:t>
      </w:r>
    </w:p>
  </w:footnote>
  <w:footnote w:id="3">
    <w:p w14:paraId="327C11AD" w14:textId="0285516F" w:rsidR="0055359E" w:rsidRPr="001F7E49" w:rsidRDefault="0055359E" w:rsidP="001F7E49">
      <w:pPr>
        <w:pStyle w:val="FootnoteText"/>
        <w:ind w:left="567" w:hanging="567"/>
        <w:rPr>
          <w:sz w:val="24"/>
          <w:lang w:val="sk-SK"/>
        </w:rPr>
      </w:pPr>
      <w:r w:rsidRPr="001F7E49">
        <w:rPr>
          <w:sz w:val="24"/>
          <w:vertAlign w:val="superscript"/>
          <w:lang w:val="sk-SK"/>
        </w:rPr>
        <w:footnoteRef/>
      </w:r>
      <w:bookmarkStart w:id="8" w:name="_Hlk167202528"/>
      <w:r w:rsidR="001F7E49" w:rsidRPr="001F7E49">
        <w:rPr>
          <w:sz w:val="24"/>
          <w:lang w:val="sk-SK"/>
        </w:rPr>
        <w:t xml:space="preserve"> </w:t>
      </w:r>
      <w:r w:rsidR="001F7E49" w:rsidRPr="001F7E49">
        <w:rPr>
          <w:sz w:val="24"/>
          <w:lang w:val="sk-SK"/>
        </w:rPr>
        <w:tab/>
      </w:r>
      <w:r w:rsidRPr="001F7E49">
        <w:rPr>
          <w:sz w:val="24"/>
          <w:lang w:val="sk-SK"/>
        </w:rPr>
        <w:t xml:space="preserve">Vedecké stanovisko pracovnej skupiny EFSA pre geneticky modifikované organizmy k posúdeniu geneticky modifikovanej bavlny GHB614 × LLCotton25 na účely obnovenia povolenia v zmysle nariadenia (ES) č. 1829/2003) (spis GMFF-2024-21890), </w:t>
      </w:r>
      <w:r w:rsidRPr="001F7E49">
        <w:rPr>
          <w:i/>
          <w:sz w:val="24"/>
          <w:lang w:val="sk-SK"/>
        </w:rPr>
        <w:t>Vestník EFSA</w:t>
      </w:r>
      <w:r w:rsidRPr="001F7E49">
        <w:rPr>
          <w:sz w:val="24"/>
          <w:lang w:val="sk-SK"/>
        </w:rPr>
        <w:t xml:space="preserve"> 2025, 23(8):e9572,</w:t>
      </w:r>
      <w:bookmarkEnd w:id="8"/>
      <w:r w:rsidRPr="001F7E49">
        <w:rPr>
          <w:sz w:val="24"/>
          <w:lang w:val="sk-SK"/>
        </w:rPr>
        <w:t xml:space="preserve"> </w:t>
      </w:r>
      <w:hyperlink r:id="rId3" w:history="1">
        <w:r w:rsidRPr="001F7E49">
          <w:rPr>
            <w:rStyle w:val="Hyperlink"/>
            <w:sz w:val="24"/>
            <w:lang w:val="sk-SK"/>
          </w:rPr>
          <w:t>https://doi.org/10.2903/j.efsa.2025.9572</w:t>
        </w:r>
      </w:hyperlink>
      <w:r w:rsidRPr="001F7E49">
        <w:rPr>
          <w:sz w:val="24"/>
          <w:lang w:val="sk-SK"/>
        </w:rPr>
        <w:t xml:space="preserve">. </w:t>
      </w:r>
    </w:p>
  </w:footnote>
  <w:footnote w:id="4">
    <w:p w14:paraId="5CBEEA3F" w14:textId="0FB485E6" w:rsidR="0055359E" w:rsidRPr="001F7E49" w:rsidRDefault="0055359E" w:rsidP="001F7E49">
      <w:pPr>
        <w:pStyle w:val="FootnoteText"/>
        <w:ind w:left="567" w:hanging="567"/>
        <w:rPr>
          <w:color w:val="000000" w:themeColor="text1"/>
          <w:sz w:val="24"/>
          <w:vertAlign w:val="superscript"/>
          <w:lang w:val="sk-SK"/>
        </w:rPr>
      </w:pPr>
      <w:r w:rsidRPr="001F7E49">
        <w:rPr>
          <w:rStyle w:val="FootnoteReference"/>
          <w:sz w:val="24"/>
          <w:lang w:val="sk-SK"/>
        </w:rPr>
        <w:footnoteRef/>
      </w:r>
      <w:r w:rsidR="001F7E49" w:rsidRPr="001F7E49">
        <w:rPr>
          <w:color w:val="000000" w:themeColor="text1"/>
          <w:sz w:val="24"/>
          <w:lang w:val="sk-SK"/>
        </w:rPr>
        <w:t xml:space="preserve"> </w:t>
      </w:r>
      <w:r w:rsidR="001F7E49" w:rsidRPr="001F7E49">
        <w:rPr>
          <w:color w:val="000000" w:themeColor="text1"/>
          <w:sz w:val="24"/>
          <w:lang w:val="sk-SK"/>
        </w:rPr>
        <w:tab/>
      </w:r>
      <w:r w:rsidRPr="001F7E49">
        <w:rPr>
          <w:color w:val="000000" w:themeColor="text1"/>
          <w:sz w:val="24"/>
          <w:lang w:val="sk-SK"/>
        </w:rPr>
        <w:t xml:space="preserve">Európsky parlament prijal vo svojom ôsmom volebnom období 36 uznesení a v deviatom volebnom období 38 uznesení, v ktorých namieta proti povoľovaniu </w:t>
      </w:r>
      <w:r w:rsidR="00780BC2" w:rsidRPr="00780BC2">
        <w:rPr>
          <w:color w:val="000000" w:themeColor="text1"/>
          <w:sz w:val="24"/>
          <w:lang w:val="sk-SK"/>
        </w:rPr>
        <w:t>geneticky modifikovaných organizmov</w:t>
      </w:r>
      <w:r w:rsidRPr="001F7E49">
        <w:rPr>
          <w:color w:val="000000" w:themeColor="text1"/>
          <w:sz w:val="24"/>
          <w:lang w:val="sk-SK"/>
        </w:rPr>
        <w:t>. Okrem toho Európsky parlament počas desiateho volebného obdobia prijal tieto uznesenia:</w:t>
      </w:r>
    </w:p>
    <w:p w14:paraId="232D48E8" w14:textId="4ACFFD44" w:rsidR="0055359E" w:rsidRPr="001F7E49" w:rsidRDefault="001F7E49" w:rsidP="001F7E49">
      <w:pPr>
        <w:pStyle w:val="FootnoteT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EÚ C, C/2025/1797, 4.4.2025, ELI: </w:t>
      </w:r>
      <w:hyperlink r:id="rId4" w:history="1">
        <w:r w:rsidR="0055359E" w:rsidRPr="001F7E49">
          <w:rPr>
            <w:rStyle w:val="Hyperlink"/>
            <w:sz w:val="24"/>
            <w:lang w:val="sk-SK"/>
          </w:rPr>
          <w:t>http://data.europa.eu/eli/C/2025/1797/oj</w:t>
        </w:r>
      </w:hyperlink>
      <w:r w:rsidR="0055359E" w:rsidRPr="001F7E49">
        <w:rPr>
          <w:color w:val="000000" w:themeColor="text1"/>
          <w:sz w:val="24"/>
          <w:lang w:val="sk-SK"/>
        </w:rPr>
        <w:t>).</w:t>
      </w:r>
    </w:p>
    <w:p w14:paraId="1B52B3D7" w14:textId="559BB27A" w:rsidR="0055359E" w:rsidRPr="001F7E49" w:rsidRDefault="001F7E49" w:rsidP="001F7E49">
      <w:pPr>
        <w:pStyle w:val="FootnoteText"/>
        <w:keepN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5" w:history="1">
        <w:r w:rsidR="0055359E" w:rsidRPr="001F7E49">
          <w:rPr>
            <w:rStyle w:val="Hyperlink"/>
            <w:sz w:val="24"/>
            <w:lang w:val="sk-SK"/>
          </w:rPr>
          <w:t>http://data.europa.eu/eli/C/2025/1798/oj</w:t>
        </w:r>
      </w:hyperlink>
      <w:r w:rsidR="0055359E" w:rsidRPr="001F7E49">
        <w:rPr>
          <w:color w:val="000000" w:themeColor="text1"/>
          <w:sz w:val="24"/>
          <w:lang w:val="sk-SK"/>
        </w:rPr>
        <w:t>).</w:t>
      </w:r>
    </w:p>
    <w:p w14:paraId="4ECA047D" w14:textId="0D0887B5" w:rsidR="0055359E" w:rsidRPr="001F7E49" w:rsidRDefault="001F7E49" w:rsidP="001F7E49">
      <w:pPr>
        <w:pStyle w:val="FootnoteT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6" w:history="1">
        <w:r w:rsidR="0055359E" w:rsidRPr="001F7E49">
          <w:rPr>
            <w:rStyle w:val="Hyperlink"/>
            <w:sz w:val="24"/>
            <w:lang w:val="sk-SK"/>
          </w:rPr>
          <w:t>http://data.europa.eu/eli/C/2025/1799/oj</w:t>
        </w:r>
      </w:hyperlink>
      <w:r w:rsidR="0055359E" w:rsidRPr="001F7E49">
        <w:rPr>
          <w:color w:val="000000" w:themeColor="text1"/>
          <w:sz w:val="24"/>
          <w:lang w:val="sk-SK"/>
        </w:rPr>
        <w:t>).</w:t>
      </w:r>
    </w:p>
    <w:p w14:paraId="371B10E5" w14:textId="2208916F" w:rsidR="0055359E" w:rsidRPr="001F7E49" w:rsidRDefault="001F7E49" w:rsidP="001F7E49">
      <w:pPr>
        <w:pStyle w:val="FootnoteT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7" w:history="1">
        <w:r w:rsidR="0055359E" w:rsidRPr="001F7E49">
          <w:rPr>
            <w:rStyle w:val="Hyperlink"/>
            <w:sz w:val="24"/>
            <w:lang w:val="sk-SK"/>
          </w:rPr>
          <w:t>http://data.europa.eu/eli/C/2025/1800/oj</w:t>
        </w:r>
      </w:hyperlink>
      <w:r w:rsidR="0055359E" w:rsidRPr="001F7E49">
        <w:rPr>
          <w:color w:val="000000" w:themeColor="text1"/>
          <w:sz w:val="24"/>
          <w:lang w:val="sk-SK"/>
        </w:rPr>
        <w:t>).</w:t>
      </w:r>
    </w:p>
    <w:p w14:paraId="2463E0BC" w14:textId="0F85071B" w:rsidR="0055359E" w:rsidRPr="001F7E49" w:rsidRDefault="001F7E49" w:rsidP="001F7E49">
      <w:pPr>
        <w:pStyle w:val="FootnoteT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8" w:history="1">
        <w:r w:rsidR="0055359E" w:rsidRPr="001F7E49">
          <w:rPr>
            <w:rStyle w:val="Hyperlink"/>
            <w:sz w:val="24"/>
            <w:lang w:val="sk-SK"/>
          </w:rPr>
          <w:t>http://data.europa.eu/eli/C/2025/1801/oj</w:t>
        </w:r>
      </w:hyperlink>
      <w:r w:rsidR="0055359E" w:rsidRPr="001F7E49">
        <w:rPr>
          <w:color w:val="000000" w:themeColor="text1"/>
          <w:sz w:val="24"/>
          <w:lang w:val="sk-SK"/>
        </w:rPr>
        <w:t>).</w:t>
      </w:r>
    </w:p>
    <w:p w14:paraId="26B140F9" w14:textId="0CC85150" w:rsidR="0055359E" w:rsidRPr="001F7E49" w:rsidRDefault="001F7E49" w:rsidP="001F7E49">
      <w:pPr>
        <w:pStyle w:val="FootnoteT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9" w:history="1">
        <w:r w:rsidR="0055359E" w:rsidRPr="001F7E49">
          <w:rPr>
            <w:rStyle w:val="Hyperlink"/>
            <w:sz w:val="24"/>
            <w:lang w:val="sk-SK"/>
          </w:rPr>
          <w:t>http://data.europa.eu/eli/C/2025/1802/oj</w:t>
        </w:r>
      </w:hyperlink>
      <w:r w:rsidR="0055359E" w:rsidRPr="001F7E49">
        <w:rPr>
          <w:color w:val="000000" w:themeColor="text1"/>
          <w:sz w:val="24"/>
          <w:lang w:val="sk-SK"/>
        </w:rPr>
        <w:t>).</w:t>
      </w:r>
    </w:p>
    <w:p w14:paraId="79165E87" w14:textId="7B0E74A0" w:rsidR="0055359E" w:rsidRPr="001F7E49" w:rsidRDefault="001F7E49" w:rsidP="001F7E49">
      <w:pPr>
        <w:pStyle w:val="FootnoteT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hyperlink r:id="rId10" w:history="1">
        <w:r w:rsidR="0055359E" w:rsidRPr="001F7E49">
          <w:rPr>
            <w:rStyle w:val="Hyperlink"/>
            <w:sz w:val="24"/>
            <w:lang w:val="sk-SK"/>
          </w:rPr>
          <w:t>http://data.europa.eu/eli/C/2025/1803/oj</w:t>
        </w:r>
      </w:hyperlink>
      <w:r w:rsidR="0055359E" w:rsidRPr="001F7E49">
        <w:rPr>
          <w:color w:val="000000" w:themeColor="text1"/>
          <w:sz w:val="24"/>
          <w:lang w:val="sk-SK"/>
        </w:rPr>
        <w:t>).</w:t>
      </w:r>
    </w:p>
    <w:p w14:paraId="6A356B95" w14:textId="4BFA3EBE" w:rsidR="0055359E" w:rsidRPr="001F7E49" w:rsidRDefault="001F7E49" w:rsidP="001F7E49">
      <w:pPr>
        <w:pStyle w:val="FootnoteText"/>
        <w:ind w:left="567" w:hanging="567"/>
        <w:rPr>
          <w:color w:val="000000" w:themeColor="text1"/>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t>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1" w:history="1">
        <w:r w:rsidR="0055359E" w:rsidRPr="001F7E49">
          <w:rPr>
            <w:rStyle w:val="Hyperlink"/>
            <w:sz w:val="24"/>
            <w:lang w:val="sk-SK"/>
          </w:rPr>
          <w:t>http://data.europa.eu/eli/C/2025/1804/oj</w:t>
        </w:r>
      </w:hyperlink>
      <w:r w:rsidR="0055359E" w:rsidRPr="001F7E49">
        <w:rPr>
          <w:color w:val="000000" w:themeColor="text1"/>
          <w:sz w:val="24"/>
          <w:lang w:val="sk-SK"/>
        </w:rPr>
        <w:t>).</w:t>
      </w:r>
    </w:p>
    <w:p w14:paraId="1E6D2DCA" w14:textId="463B5556" w:rsidR="0055359E" w:rsidRPr="001F7E49" w:rsidRDefault="001F7E49" w:rsidP="001F7E49">
      <w:pPr>
        <w:pStyle w:val="FootnoteText"/>
        <w:ind w:left="567" w:hanging="567"/>
        <w:rPr>
          <w:sz w:val="24"/>
          <w:vertAlign w:val="superscript"/>
          <w:lang w:val="sk-SK"/>
        </w:rPr>
      </w:pPr>
      <w:r w:rsidRPr="001F7E49">
        <w:rPr>
          <w:color w:val="000000" w:themeColor="text1"/>
          <w:sz w:val="24"/>
          <w:lang w:val="sk-SK"/>
        </w:rPr>
        <w:t xml:space="preserve"> </w:t>
      </w:r>
      <w:r w:rsidRPr="001F7E49">
        <w:rPr>
          <w:color w:val="000000" w:themeColor="text1"/>
          <w:sz w:val="24"/>
          <w:lang w:val="sk-SK"/>
        </w:rPr>
        <w:tab/>
      </w:r>
      <w:r w:rsidR="0055359E" w:rsidRPr="001F7E49">
        <w:rPr>
          <w:color w:val="000000" w:themeColor="text1"/>
          <w:sz w:val="24"/>
          <w:lang w:val="sk-SK"/>
        </w:rPr>
        <w:t>–</w:t>
      </w:r>
      <w:r w:rsidR="0055359E" w:rsidRPr="001F7E49">
        <w:rPr>
          <w:color w:val="000000" w:themeColor="text1"/>
          <w:sz w:val="24"/>
          <w:lang w:val="sk-SK"/>
        </w:rPr>
        <w:tab/>
      </w:r>
      <w:r w:rsidR="0055359E" w:rsidRPr="001F7E49">
        <w:rPr>
          <w:sz w:val="24"/>
          <w:lang w:val="sk-SK"/>
        </w:rPr>
        <w:t>Uznesenie Európskeho parlamentu z 12. februára 2025 o návrhu vykonávacieho rozhodnutia Komisie, ktorým sa podľa nariadenia Európskeho parlamentu a Rady (ES) č. 1829/2003 povoľuje umiestniť na trh produkty, ktoré obsahujú geneticky modifikovanú kukuricu DP910521, sú z nej zložené alebo vyrobené (Ú. v. EÚ C, C/2025/2246, 29.4.2025, ELI: </w:t>
      </w:r>
      <w:hyperlink r:id="rId12" w:tooltip="Umožňuje prístup k tomuto dokumentu prostredníctvom identifikátora URI používaného v rámci ELI." w:history="1">
        <w:r w:rsidR="0055359E" w:rsidRPr="001F7E49">
          <w:rPr>
            <w:rStyle w:val="Hyperlink"/>
            <w:sz w:val="24"/>
            <w:lang w:val="sk-SK"/>
          </w:rPr>
          <w:t>http://data.europa.eu/eli/C/2025/2246/oj</w:t>
        </w:r>
      </w:hyperlink>
      <w:r w:rsidR="0055359E" w:rsidRPr="001F7E49">
        <w:rPr>
          <w:sz w:val="24"/>
          <w:lang w:val="sk-SK"/>
        </w:rPr>
        <w:t>).</w:t>
      </w:r>
    </w:p>
    <w:p w14:paraId="5D825F1F" w14:textId="200B3D1E"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w:t>
      </w:r>
      <w:r w:rsidR="0055359E" w:rsidRPr="001F7E49">
        <w:rPr>
          <w:sz w:val="24"/>
          <w:lang w:val="sk-SK"/>
        </w:rPr>
        <w:tab/>
        <w:t>Uznesenie Európskeho parlamentu z 12. februára 2025 o návrhu vykonávacieho rozhodnutia Komisie, ktorým sa podľa nariadenia Európskeho parlamentu a Rady (ES) č. 1829/2003 povoľuje umiestniť na trh produkty, ktoré obsahujú geneticky modifikovanú kukuricu MON 95275, sú z nej zložené alebo vyrobené (Ú. v. EÚ C, C/2025/2247, 29.4.2025, ELI: </w:t>
      </w:r>
      <w:hyperlink r:id="rId13" w:history="1">
        <w:r w:rsidR="0055359E" w:rsidRPr="001F7E49">
          <w:rPr>
            <w:rStyle w:val="Hyperlink"/>
            <w:sz w:val="24"/>
            <w:lang w:val="sk-SK"/>
          </w:rPr>
          <w:t>http://data.europa.eu/eli/C/2025/2247/oj</w:t>
        </w:r>
      </w:hyperlink>
      <w:r w:rsidR="0055359E" w:rsidRPr="001F7E49">
        <w:rPr>
          <w:sz w:val="24"/>
          <w:lang w:val="sk-SK"/>
        </w:rPr>
        <w:t>).</w:t>
      </w:r>
    </w:p>
    <w:p w14:paraId="6D87FFB3" w14:textId="5CD5898C"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w:t>
      </w:r>
      <w:r w:rsidR="0055359E" w:rsidRPr="001F7E49">
        <w:rPr>
          <w:sz w:val="24"/>
          <w:lang w:val="sk-SK"/>
        </w:rPr>
        <w:tab/>
        <w:t>Uznesenie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w:t>
      </w:r>
      <w:r w:rsidR="005D1ECF">
        <w:rPr>
          <w:sz w:val="24"/>
          <w:lang w:val="sk-SK"/>
        </w:rPr>
        <w:t xml:space="preserve">Prijaté texty, </w:t>
      </w:r>
      <w:r w:rsidR="0055359E" w:rsidRPr="001F7E49">
        <w:rPr>
          <w:sz w:val="24"/>
          <w:lang w:val="sk-SK"/>
        </w:rPr>
        <w:t>P10_TA(2025)0106).</w:t>
      </w:r>
    </w:p>
    <w:p w14:paraId="15697542" w14:textId="775DB804"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w:t>
      </w:r>
      <w:r w:rsidR="0055359E" w:rsidRPr="001F7E49">
        <w:rPr>
          <w:sz w:val="24"/>
          <w:lang w:val="sk-SK"/>
        </w:rPr>
        <w:tab/>
        <w:t>Uznesenie Európskeho parlamentu z 8. októbra 2025 o vykonávacom rozhodnutí Komisie (EÚ) 2025/1898 z 22. septembra 2025, ktorým sa podľa nariadenia Európskeho parlamentu a Rady (ES) č. 1829/2003 povoľuje umiestniť na trh výrobky, ktoré obsahujú geneticky modifikovanú kukuricu DP51291, sú z nej zložené alebo vyrobené (</w:t>
      </w:r>
      <w:r w:rsidR="005D1ECF">
        <w:rPr>
          <w:sz w:val="24"/>
          <w:lang w:val="sk-SK"/>
        </w:rPr>
        <w:t xml:space="preserve">Prijaté texty, </w:t>
      </w:r>
      <w:r w:rsidR="0055359E" w:rsidRPr="001F7E49">
        <w:rPr>
          <w:sz w:val="24"/>
          <w:lang w:val="sk-SK"/>
        </w:rPr>
        <w:t>P10_TA(2025)0222).</w:t>
      </w:r>
    </w:p>
    <w:p w14:paraId="09C428F1" w14:textId="2F605EC1"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w:t>
      </w:r>
      <w:r w:rsidR="0055359E" w:rsidRPr="001F7E49">
        <w:rPr>
          <w:sz w:val="24"/>
          <w:lang w:val="sk-SK"/>
        </w:rPr>
        <w:tab/>
        <w:t>Uznesenie Európskeho parlamentu z 25. novembra 2025 o návrhu vykonávacieho rozhodnutia Komisie, ktorým sa podľa nariadenia Európskeho parlamentu a Rady (ES) č. 1829/2003 povoľuje umiestniť na trh produkty, ktoré obsahujú geneticky modifikovanú kukuricu DAS1131, sú z nej zložené alebo vyrobené (</w:t>
      </w:r>
      <w:r w:rsidR="005D1ECF">
        <w:rPr>
          <w:sz w:val="24"/>
          <w:lang w:val="sk-SK"/>
        </w:rPr>
        <w:t xml:space="preserve">Prijaté texty, </w:t>
      </w:r>
      <w:r w:rsidR="0055359E" w:rsidRPr="001F7E49">
        <w:rPr>
          <w:sz w:val="24"/>
          <w:lang w:val="sk-SK"/>
        </w:rPr>
        <w:t>P10_TA(2025)0288).</w:t>
      </w:r>
    </w:p>
    <w:p w14:paraId="45634F5C" w14:textId="323A4A84" w:rsidR="0055359E" w:rsidRPr="001F7E49" w:rsidRDefault="001F7E49" w:rsidP="001F7E49">
      <w:pPr>
        <w:pStyle w:val="FootnoteText"/>
        <w:keepN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w:t>
      </w:r>
      <w:r w:rsidR="0055359E" w:rsidRPr="001F7E49">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w:t>
      </w:r>
      <w:r w:rsidR="005D1ECF">
        <w:rPr>
          <w:sz w:val="24"/>
          <w:lang w:val="sk-SK"/>
        </w:rPr>
        <w:t xml:space="preserve">Prijaté texty, </w:t>
      </w:r>
      <w:r w:rsidR="0055359E" w:rsidRPr="001F7E49">
        <w:rPr>
          <w:sz w:val="24"/>
          <w:lang w:val="sk-SK"/>
        </w:rPr>
        <w:t>P10_TA(2025)0289).</w:t>
      </w:r>
    </w:p>
    <w:p w14:paraId="0DE863E7" w14:textId="7EB41022"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w:t>
      </w:r>
      <w:r w:rsidR="0055359E" w:rsidRPr="001F7E49">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repku olejku MON 88302, sú z nej zložené alebo vyrobené (</w:t>
      </w:r>
      <w:r w:rsidR="005D1ECF">
        <w:rPr>
          <w:sz w:val="24"/>
          <w:lang w:val="sk-SK"/>
        </w:rPr>
        <w:t xml:space="preserve">Prijaté texty, </w:t>
      </w:r>
      <w:r w:rsidR="0055359E" w:rsidRPr="001F7E49">
        <w:rPr>
          <w:sz w:val="24"/>
          <w:lang w:val="sk-SK"/>
        </w:rPr>
        <w:t>P10_TA(2025)0290).</w:t>
      </w:r>
    </w:p>
    <w:p w14:paraId="274D427A" w14:textId="4A2AA0A1"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w:t>
      </w:r>
      <w:r w:rsidR="0055359E" w:rsidRPr="001F7E49">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w:t>
      </w:r>
      <w:r w:rsidR="005D1ECF">
        <w:rPr>
          <w:sz w:val="24"/>
          <w:lang w:val="sk-SK"/>
        </w:rPr>
        <w:t xml:space="preserve">Prijaté texty, </w:t>
      </w:r>
      <w:r w:rsidR="0055359E" w:rsidRPr="001F7E49">
        <w:rPr>
          <w:sz w:val="24"/>
          <w:lang w:val="sk-SK"/>
        </w:rPr>
        <w:t>P10_TA(2025)0291).</w:t>
      </w:r>
    </w:p>
    <w:p w14:paraId="59FC0694" w14:textId="017956E8"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Uznesenie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w:t>
      </w:r>
      <w:r w:rsidR="005D1ECF">
        <w:rPr>
          <w:sz w:val="24"/>
          <w:lang w:val="sk-SK"/>
        </w:rPr>
        <w:t xml:space="preserve">Prijaté texty, </w:t>
      </w:r>
      <w:r w:rsidR="0055359E" w:rsidRPr="001F7E49">
        <w:rPr>
          <w:sz w:val="24"/>
          <w:lang w:val="sk-SK"/>
        </w:rPr>
        <w:t>P10_TA(2025)0292).</w:t>
      </w:r>
    </w:p>
    <w:p w14:paraId="349547D0" w14:textId="21DFF1BD" w:rsidR="0055359E" w:rsidRPr="001F7E49" w:rsidRDefault="001F7E49" w:rsidP="001F7E49">
      <w:pPr>
        <w:pStyle w:val="FootnoteText"/>
        <w:ind w:left="567" w:hanging="567"/>
        <w:rPr>
          <w:sz w:val="24"/>
          <w:vertAlign w:val="superscript"/>
          <w:lang w:val="sk-SK"/>
        </w:rPr>
      </w:pPr>
      <w:r w:rsidRPr="001F7E49">
        <w:rPr>
          <w:sz w:val="24"/>
          <w:lang w:val="sk-SK"/>
        </w:rPr>
        <w:t xml:space="preserve"> </w:t>
      </w:r>
      <w:r w:rsidRPr="001F7E49">
        <w:rPr>
          <w:sz w:val="24"/>
          <w:lang w:val="sk-SK"/>
        </w:rPr>
        <w:tab/>
      </w:r>
      <w:r w:rsidR="0055359E" w:rsidRPr="001F7E49">
        <w:rPr>
          <w:sz w:val="24"/>
          <w:lang w:val="sk-SK"/>
        </w:rPr>
        <w:t>Uznesenie Európskeho parlamentu zo 16. decembra 2025 o návrhu vykonávacieho rozhodnutia Komisie, ktorým sa podľa nariadenia Európskeho parlamentu a Rady (ES) č. 1829/2003 obnovuje povolenie umiestniť na trh produkty, ktoré obsahujú geneticky modifikovanú kukuricu NK603, sú z nej zložené alebo vyrobené (</w:t>
      </w:r>
      <w:r w:rsidR="005D1ECF">
        <w:rPr>
          <w:sz w:val="24"/>
          <w:lang w:val="sk-SK"/>
        </w:rPr>
        <w:t xml:space="preserve">Prijaté texty, </w:t>
      </w:r>
      <w:r w:rsidR="0055359E" w:rsidRPr="001F7E49">
        <w:rPr>
          <w:sz w:val="24"/>
          <w:lang w:val="sk-SK"/>
        </w:rPr>
        <w:t>P10_TA(2025)0327).</w:t>
      </w:r>
    </w:p>
    <w:p w14:paraId="5DF0CD8E" w14:textId="52B40410" w:rsidR="0055359E" w:rsidRPr="001F7E49" w:rsidRDefault="001F7E49" w:rsidP="001F7E49">
      <w:pPr>
        <w:pStyle w:val="FootnoteText"/>
        <w:ind w:left="567" w:hanging="567"/>
        <w:rPr>
          <w:sz w:val="24"/>
          <w:lang w:val="sk-SK"/>
        </w:rPr>
      </w:pPr>
      <w:r w:rsidRPr="001F7E49">
        <w:rPr>
          <w:sz w:val="24"/>
          <w:lang w:val="sk-SK"/>
        </w:rPr>
        <w:t xml:space="preserve"> </w:t>
      </w:r>
      <w:r w:rsidRPr="001F7E49">
        <w:rPr>
          <w:sz w:val="24"/>
          <w:lang w:val="sk-SK"/>
        </w:rPr>
        <w:tab/>
      </w:r>
      <w:r w:rsidR="0055359E" w:rsidRPr="001F7E49">
        <w:rPr>
          <w:sz w:val="24"/>
          <w:lang w:val="sk-SK"/>
        </w:rPr>
        <w:t>Uznesenie Európskeho parlamentu zo 16. decembra 2025 o návrhu vykonávacieho rozhodnutia Komisie, ktorým sa podľa nariadenia Európskeho parlamentu a Rady (ES) č. 1829/2003 povoľuje umiestniť na trh potraviny, zložky potravín a krmivá, ktoré sú vyrobené z geneticky modifikovanej cukrovej repy KWS20-1 (</w:t>
      </w:r>
      <w:r w:rsidR="005D1ECF">
        <w:rPr>
          <w:sz w:val="24"/>
          <w:lang w:val="sk-SK"/>
        </w:rPr>
        <w:t xml:space="preserve">Prijaté texty, </w:t>
      </w:r>
      <w:r w:rsidR="0055359E" w:rsidRPr="001F7E49">
        <w:rPr>
          <w:sz w:val="24"/>
          <w:lang w:val="sk-SK"/>
        </w:rPr>
        <w:t>P10_TA(2025)0328).</w:t>
      </w:r>
    </w:p>
  </w:footnote>
  <w:footnote w:id="5">
    <w:p w14:paraId="7A0A9600" w14:textId="31339B3D"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Vykonávacie rozhodnutie Komisie (EÚ) 2015/690 z 24. apríla 2015, ktorým sa podľa nariadenia Európskeho parlamentu a Rady (ES) č. 1829/2003 povoľuje umiestňovať na trh výrobky, ktoré obsahujú geneticky modifikovanú bavlnu GHB614xLLCotton25 (BCS-GHØØ2-5xACS-GHØØ1-3), sú z nej zložené alebo vyrobené (Ú. v. EÚ L 112, 30.4.2015, s. 35, ELI: </w:t>
      </w:r>
      <w:hyperlink r:id="rId14" w:history="1">
        <w:r w:rsidRPr="001F7E49">
          <w:rPr>
            <w:rStyle w:val="Hyperlink"/>
            <w:sz w:val="24"/>
            <w:lang w:val="sk-SK"/>
          </w:rPr>
          <w:t>http://data.europa.eu/eli/dec_impl/2015/690/oj</w:t>
        </w:r>
      </w:hyperlink>
      <w:r w:rsidRPr="001F7E49">
        <w:rPr>
          <w:rStyle w:val="Hyperlink"/>
          <w:sz w:val="24"/>
          <w:lang w:val="sk-SK"/>
        </w:rPr>
        <w:t>).</w:t>
      </w:r>
    </w:p>
  </w:footnote>
  <w:footnote w:id="6">
    <w:p w14:paraId="032980E7" w14:textId="1621E5A2"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 xml:space="preserve">Vedecké stanovisko panelu pre geneticky modifikované organizmy k žiadosti (EFSA-GMO-NL-2010-77) o umiestnení na trh geneticky modifikovanej bavlny GHB614 × LLCotton25 odolnej voči herbicídom na použitie v potravinách a krmivách, dovoz a spracovanie podľa nariadenia (ES) č. 1829/2003, ktorú predložila spoločnosť Bayer CropScience, </w:t>
      </w:r>
      <w:r w:rsidRPr="001F7E49">
        <w:rPr>
          <w:i/>
          <w:sz w:val="24"/>
          <w:lang w:val="sk-SK"/>
        </w:rPr>
        <w:t>Vestník EFSA</w:t>
      </w:r>
      <w:r w:rsidRPr="001F7E49">
        <w:rPr>
          <w:sz w:val="24"/>
          <w:lang w:val="sk-SK"/>
        </w:rPr>
        <w:t xml:space="preserve"> 2014;12(5):3680, </w:t>
      </w:r>
      <w:hyperlink r:id="rId15" w:history="1">
        <w:r w:rsidRPr="001F7E49">
          <w:rPr>
            <w:rStyle w:val="Hyperlink"/>
            <w:sz w:val="24"/>
            <w:lang w:val="sk-SK"/>
          </w:rPr>
          <w:t>https://doi.org/10.2903/j.efsa.2014.3680</w:t>
        </w:r>
      </w:hyperlink>
      <w:r w:rsidRPr="001F7E49">
        <w:rPr>
          <w:sz w:val="24"/>
          <w:lang w:val="sk-SK"/>
        </w:rPr>
        <w:t xml:space="preserve">. </w:t>
      </w:r>
    </w:p>
  </w:footnote>
  <w:footnote w:id="7">
    <w:p w14:paraId="6A42DDFB" w14:textId="2595FB17"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shd w:val="clear" w:color="auto" w:fill="FFFFFF"/>
          <w:lang w:val="sk-SK"/>
        </w:rPr>
        <w:t xml:space="preserve"> </w:t>
      </w:r>
      <w:r w:rsidR="001F7E49" w:rsidRPr="001F7E49">
        <w:rPr>
          <w:sz w:val="24"/>
          <w:shd w:val="clear" w:color="auto" w:fill="FFFFFF"/>
          <w:lang w:val="sk-SK"/>
        </w:rPr>
        <w:tab/>
      </w:r>
      <w:r w:rsidRPr="001F7E49">
        <w:rPr>
          <w:sz w:val="24"/>
          <w:shd w:val="clear" w:color="auto" w:fill="FFFFFF"/>
          <w:lang w:val="sk-SK"/>
        </w:rPr>
        <w:t xml:space="preserve">Pozri napríklad Bonny, S., „Genetically Modified Herbicide-Tolerant Crops, Weeds and Herbicides: Overview and Impact“ (Geneticky modifikované plodiny odolné voči herbicídom, burina a herbicídy: prehľad a vplyv), </w:t>
      </w:r>
      <w:r w:rsidRPr="001F7E49">
        <w:rPr>
          <w:i/>
          <w:sz w:val="24"/>
          <w:shd w:val="clear" w:color="auto" w:fill="FFFFFF"/>
          <w:lang w:val="sk-SK"/>
        </w:rPr>
        <w:t>Environmental Management</w:t>
      </w:r>
      <w:r w:rsidRPr="001F7E49">
        <w:rPr>
          <w:sz w:val="24"/>
          <w:shd w:val="clear" w:color="auto" w:fill="FFFFFF"/>
          <w:lang w:val="sk-SK"/>
        </w:rPr>
        <w:t xml:space="preserve">, január 2016, 2016,57(1), s. 31 – 48, </w:t>
      </w:r>
      <w:hyperlink r:id="rId16" w:history="1">
        <w:r w:rsidRPr="001F7E49">
          <w:rPr>
            <w:rStyle w:val="Hyperlink"/>
            <w:sz w:val="24"/>
            <w:shd w:val="clear" w:color="auto" w:fill="FFFFFF"/>
            <w:lang w:val="sk-SK"/>
          </w:rPr>
          <w:t>https://doi.org/10.1007/s00267-015-0589-7</w:t>
        </w:r>
      </w:hyperlink>
      <w:r w:rsidRPr="001F7E49">
        <w:rPr>
          <w:sz w:val="24"/>
          <w:shd w:val="clear" w:color="auto" w:fill="FFFFFF"/>
          <w:lang w:val="sk-SK"/>
        </w:rPr>
        <w:t xml:space="preserve"> a Benbrook, C.M., Impacts of genetically engineered crops on pesticide use in the U.S. – the first sixteen years (Vplyv geneticky modifikovaných plodín na používanie pesticídov v USA – prvých šestnásť rokov), </w:t>
      </w:r>
      <w:r w:rsidRPr="001F7E49">
        <w:rPr>
          <w:i/>
          <w:sz w:val="24"/>
          <w:shd w:val="clear" w:color="auto" w:fill="FFFFFF"/>
          <w:lang w:val="sk-SK"/>
        </w:rPr>
        <w:t>Environmental Sciences Europe</w:t>
      </w:r>
      <w:r w:rsidRPr="001F7E49">
        <w:rPr>
          <w:sz w:val="24"/>
          <w:shd w:val="clear" w:color="auto" w:fill="FFFFFF"/>
          <w:lang w:val="sk-SK"/>
        </w:rPr>
        <w:t xml:space="preserve">, 28. septembra 2012, diel 24(1), </w:t>
      </w:r>
      <w:hyperlink r:id="rId17" w:history="1">
        <w:r w:rsidRPr="001F7E49">
          <w:rPr>
            <w:rStyle w:val="Hyperlink"/>
            <w:sz w:val="24"/>
            <w:shd w:val="clear" w:color="auto" w:fill="FFFFFF"/>
            <w:lang w:val="sk-SK"/>
          </w:rPr>
          <w:t>https://doi.org/10.1186/2190-4715-24-24</w:t>
        </w:r>
      </w:hyperlink>
      <w:r w:rsidRPr="001F7E49">
        <w:rPr>
          <w:rStyle w:val="Hyperlink"/>
          <w:sz w:val="24"/>
          <w:shd w:val="clear" w:color="auto" w:fill="FFFFFF"/>
          <w:lang w:val="sk-SK"/>
        </w:rPr>
        <w:t>.</w:t>
      </w:r>
      <w:r w:rsidRPr="001F7E49">
        <w:rPr>
          <w:sz w:val="24"/>
          <w:shd w:val="clear" w:color="auto" w:fill="FFFFFF"/>
          <w:lang w:val="sk-SK"/>
        </w:rPr>
        <w:t xml:space="preserve"> </w:t>
      </w:r>
    </w:p>
  </w:footnote>
  <w:footnote w:id="8">
    <w:p w14:paraId="224ACBA4" w14:textId="5B92D345"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 xml:space="preserve">Pozri napríklad: </w:t>
      </w:r>
      <w:hyperlink r:id="rId18" w:history="1">
        <w:r w:rsidRPr="001F7E49">
          <w:rPr>
            <w:rStyle w:val="Hyperlink"/>
            <w:sz w:val="24"/>
            <w:lang w:val="sk-SK"/>
          </w:rPr>
          <w:t>https://doi.org/10.1002/ps.8105</w:t>
        </w:r>
      </w:hyperlink>
      <w:r w:rsidRPr="001F7E49">
        <w:rPr>
          <w:sz w:val="24"/>
          <w:lang w:val="sk-SK"/>
        </w:rPr>
        <w:t xml:space="preserve"> a </w:t>
      </w:r>
      <w:bookmarkStart w:id="11" w:name="_Hlk219205442"/>
      <w:r w:rsidRPr="001F7E49">
        <w:fldChar w:fldCharType="begin"/>
      </w:r>
      <w:r w:rsidRPr="001F7E49">
        <w:rPr>
          <w:sz w:val="24"/>
          <w:lang w:val="sk-SK"/>
        </w:rPr>
        <w:instrText>HYPERLINK "https://doi.org/10.1016/j.geoforum.2009.03.009"</w:instrText>
      </w:r>
      <w:r w:rsidRPr="001F7E49">
        <w:fldChar w:fldCharType="separate"/>
      </w:r>
      <w:r w:rsidRPr="001F7E49">
        <w:rPr>
          <w:rStyle w:val="Hyperlink"/>
          <w:sz w:val="24"/>
          <w:lang w:val="sk-SK"/>
        </w:rPr>
        <w:t>https://doi.org/10.1016/j.geoforum.2009.03.009</w:t>
      </w:r>
      <w:r w:rsidRPr="001F7E49">
        <w:rPr>
          <w:rStyle w:val="Hyperlink"/>
          <w:sz w:val="24"/>
          <w:lang w:val="sk-SK"/>
        </w:rPr>
        <w:fldChar w:fldCharType="end"/>
      </w:r>
      <w:bookmarkEnd w:id="11"/>
      <w:r w:rsidRPr="001F7E49">
        <w:rPr>
          <w:sz w:val="24"/>
          <w:lang w:val="sk-SK"/>
        </w:rPr>
        <w:t>.</w:t>
      </w:r>
    </w:p>
  </w:footnote>
  <w:footnote w:id="9">
    <w:p w14:paraId="2A731AD0" w14:textId="1C91338B"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Nariadenie Európskeho parlamentu a Rady (ES) č. 1107/2009 z 21. októbra 2009 o uvádzaní prípravkov na ochranu rastlín na trh a o zrušení smerníc Rady 79/117/EHS a 91/414/EHS (Ú. v. EÚ L 309, 24.11.2009, s. 1, ELI: </w:t>
      </w:r>
      <w:hyperlink r:id="rId19" w:tooltip="Umožňuje prístup k tomuto dokumentu prostredníctvom identifikátora URI používaného v rámci ELI." w:history="1">
        <w:r w:rsidRPr="001F7E49">
          <w:rPr>
            <w:rStyle w:val="Hyperlink"/>
            <w:sz w:val="24"/>
            <w:lang w:val="sk-SK"/>
          </w:rPr>
          <w:t>http://data.europa.eu/eli/reg/2009/1107/oj</w:t>
        </w:r>
      </w:hyperlink>
      <w:r w:rsidRPr="001F7E49">
        <w:rPr>
          <w:sz w:val="24"/>
          <w:lang w:val="sk-SK"/>
        </w:rPr>
        <w:t>).</w:t>
      </w:r>
    </w:p>
  </w:footnote>
  <w:footnote w:id="10">
    <w:p w14:paraId="1CD854F0" w14:textId="1EDB6F14"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Pozri napríklad:</w:t>
      </w:r>
      <w:r w:rsidRPr="001F7E49">
        <w:rPr>
          <w:sz w:val="24"/>
          <w:lang w:val="sk-SK"/>
        </w:rPr>
        <w:br/>
      </w:r>
      <w:hyperlink r:id="rId20" w:history="1">
        <w:r w:rsidRPr="001F7E49">
          <w:rPr>
            <w:rStyle w:val="Hyperlink"/>
            <w:sz w:val="24"/>
            <w:lang w:val="sk-SK"/>
          </w:rPr>
          <w:t>https://doi.org/10.1016/j.mrrev.2019.02.001</w:t>
        </w:r>
      </w:hyperlink>
      <w:r w:rsidRPr="001F7E49">
        <w:rPr>
          <w:sz w:val="24"/>
          <w:lang w:val="sk-SK"/>
        </w:rPr>
        <w:t>.,</w:t>
      </w:r>
      <w:r w:rsidRPr="001F7E49">
        <w:rPr>
          <w:sz w:val="24"/>
          <w:lang w:val="sk-SK"/>
        </w:rPr>
        <w:br/>
      </w:r>
      <w:hyperlink r:id="rId21" w:history="1">
        <w:r w:rsidRPr="001F7E49">
          <w:rPr>
            <w:rStyle w:val="Hyperlink"/>
            <w:sz w:val="24"/>
            <w:lang w:val="sk-SK"/>
          </w:rPr>
          <w:t>https://doi.org/10.1093/ije/dyz017</w:t>
        </w:r>
      </w:hyperlink>
      <w:r w:rsidRPr="001F7E49">
        <w:rPr>
          <w:sz w:val="24"/>
          <w:lang w:val="sk-SK"/>
        </w:rPr>
        <w:t>,</w:t>
      </w:r>
      <w:r w:rsidRPr="001F7E49">
        <w:rPr>
          <w:sz w:val="24"/>
          <w:lang w:val="sk-SK"/>
        </w:rPr>
        <w:br/>
      </w:r>
      <w:hyperlink r:id="rId22" w:history="1">
        <w:r w:rsidRPr="001F7E49">
          <w:rPr>
            <w:rStyle w:val="Hyperlink"/>
            <w:sz w:val="24"/>
            <w:lang w:val="sk-SK"/>
          </w:rPr>
          <w:t>https://doi.org/10.1371/journal.pone.0219610</w:t>
        </w:r>
      </w:hyperlink>
      <w:r w:rsidRPr="001F7E49">
        <w:rPr>
          <w:sz w:val="24"/>
          <w:lang w:val="sk-SK"/>
        </w:rPr>
        <w:br/>
        <w:t xml:space="preserve">a </w:t>
      </w:r>
      <w:hyperlink r:id="rId23" w:history="1">
        <w:r w:rsidRPr="001F7E49">
          <w:rPr>
            <w:rStyle w:val="Hyperlink"/>
            <w:sz w:val="24"/>
            <w:lang w:val="sk-SK"/>
          </w:rPr>
          <w:t>https://doi.org/10.1186/s13045-019-0767-9</w:t>
        </w:r>
      </w:hyperlink>
      <w:r w:rsidRPr="001F7E49">
        <w:rPr>
          <w:sz w:val="24"/>
          <w:lang w:val="sk-SK"/>
        </w:rPr>
        <w:t>.</w:t>
      </w:r>
    </w:p>
  </w:footnote>
  <w:footnote w:id="11">
    <w:p w14:paraId="323F3795" w14:textId="5337FCA8"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hyperlink r:id="rId24" w:tgtFrame="_blank" w:tooltip="Trvalé prepojenie pomocou identifikátora digitálneho objektu" w:history="1">
        <w:r w:rsidRPr="001F7E49">
          <w:rPr>
            <w:rStyle w:val="Hyperlink"/>
            <w:sz w:val="24"/>
            <w:lang w:val="sk-SK"/>
          </w:rPr>
          <w:t>https://doi.org/10.1006/rtph.1999.1371</w:t>
        </w:r>
      </w:hyperlink>
      <w:r w:rsidRPr="001F7E49">
        <w:rPr>
          <w:sz w:val="24"/>
          <w:lang w:val="sk-SK"/>
        </w:rPr>
        <w:t>.</w:t>
      </w:r>
    </w:p>
  </w:footnote>
  <w:footnote w:id="12">
    <w:p w14:paraId="3E44120A" w14:textId="4E13F8F9"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color w:val="000000" w:themeColor="text1"/>
          <w:sz w:val="24"/>
          <w:lang w:val="sk-SK"/>
        </w:rPr>
        <w:t xml:space="preserve"> </w:t>
      </w:r>
      <w:r w:rsidR="001F7E49" w:rsidRPr="001F7E49">
        <w:rPr>
          <w:color w:val="000000" w:themeColor="text1"/>
          <w:sz w:val="24"/>
          <w:lang w:val="sk-SK"/>
        </w:rPr>
        <w:tab/>
      </w:r>
      <w:r w:rsidRPr="001F7E49">
        <w:rPr>
          <w:color w:val="000000" w:themeColor="text1"/>
          <w:sz w:val="24"/>
          <w:lang w:val="sk-SK"/>
        </w:rPr>
        <w:t>V decembri 2022 bol na 15. konferencii zmluvných strán Dohovoru OSN o biologickej diverzite schválený globálny rámec pre biodiverzitu, ktorý zahŕňa globálny cieľ znížiť do roku 2030 riziko používania pesticídov aspoň o 50</w:t>
      </w:r>
      <w:r w:rsidRPr="001F7E49">
        <w:rPr>
          <w:sz w:val="24"/>
          <w:lang w:val="sk-SK"/>
        </w:rPr>
        <w:t> </w:t>
      </w:r>
      <w:r w:rsidRPr="001F7E49">
        <w:rPr>
          <w:color w:val="000000" w:themeColor="text1"/>
          <w:sz w:val="24"/>
          <w:lang w:val="sk-SK"/>
        </w:rPr>
        <w:t xml:space="preserve">% (pozri: </w:t>
      </w:r>
      <w:hyperlink r:id="rId25" w:history="1">
        <w:r w:rsidRPr="001F7E49">
          <w:rPr>
            <w:rStyle w:val="Hyperlink"/>
            <w:sz w:val="24"/>
            <w:lang w:val="sk-SK"/>
          </w:rPr>
          <w:t>https://ec.europa.eu/commission/presscorner/detail/sk/ip_22_7834</w:t>
        </w:r>
      </w:hyperlink>
      <w:r w:rsidRPr="001F7E49">
        <w:rPr>
          <w:sz w:val="24"/>
          <w:lang w:val="sk-SK"/>
        </w:rPr>
        <w:t xml:space="preserve">). </w:t>
      </w:r>
    </w:p>
  </w:footnote>
  <w:footnote w:id="13">
    <w:p w14:paraId="5474EB57" w14:textId="05C88774"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hyperlink r:id="rId26" w:history="1">
        <w:r w:rsidRPr="001F7E49">
          <w:rPr>
            <w:rStyle w:val="Hyperlink"/>
            <w:sz w:val="24"/>
            <w:lang w:val="sk-SK"/>
          </w:rPr>
          <w:t>https://commission.europa.eu/strategy-and-policy/priorities-2019-2024/european-green-deal/agriculture-and-green-deal/strategic-dialogue-future-eu-agriculture_sk</w:t>
        </w:r>
      </w:hyperlink>
      <w:r w:rsidRPr="001F7E49">
        <w:rPr>
          <w:rStyle w:val="Hyperlink"/>
          <w:sz w:val="24"/>
          <w:lang w:val="sk-SK"/>
        </w:rPr>
        <w:t>.</w:t>
      </w:r>
      <w:r w:rsidRPr="001F7E49">
        <w:rPr>
          <w:sz w:val="24"/>
          <w:lang w:val="sk-SK"/>
        </w:rPr>
        <w:t xml:space="preserve"> </w:t>
      </w:r>
    </w:p>
  </w:footnote>
  <w:footnote w:id="14">
    <w:p w14:paraId="24753D0D" w14:textId="3AC32547" w:rsidR="0055359E" w:rsidRPr="001F7E49" w:rsidRDefault="0055359E" w:rsidP="001F7E49">
      <w:pPr>
        <w:pStyle w:val="FootnoteText"/>
        <w:ind w:left="567" w:hanging="567"/>
        <w:rPr>
          <w:sz w:val="24"/>
          <w:lang w:val="sk-SK"/>
        </w:rPr>
      </w:pPr>
      <w:r w:rsidRPr="001F7E49">
        <w:rPr>
          <w:rStyle w:val="FootnoteReference"/>
          <w:sz w:val="24"/>
          <w:lang w:val="sk-SK"/>
        </w:rPr>
        <w:footnoteRef/>
      </w:r>
      <w:r w:rsidR="001F7E49" w:rsidRPr="001F7E49">
        <w:rPr>
          <w:sz w:val="24"/>
          <w:lang w:val="sk-SK"/>
        </w:rPr>
        <w:t xml:space="preserve"> </w:t>
      </w:r>
      <w:r w:rsidR="001F7E49" w:rsidRPr="001F7E49">
        <w:rPr>
          <w:sz w:val="24"/>
          <w:lang w:val="sk-SK"/>
        </w:rPr>
        <w:tab/>
      </w:r>
      <w:r w:rsidRPr="001F7E49">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1,</w:t>
      </w:r>
      <w:r w:rsidRPr="001F7E49">
        <w:rPr>
          <w:color w:val="000000" w:themeColor="text1"/>
          <w:sz w:val="24"/>
          <w:lang w:val="sk-SK"/>
        </w:rPr>
        <w:t xml:space="preserve"> ELI:  </w:t>
      </w:r>
      <w:hyperlink r:id="rId27" w:tgtFrame="Gives access to this document through its ELI URI." w:history="1">
        <w:r w:rsidRPr="001F7E49">
          <w:rPr>
            <w:rStyle w:val="Hyperlink"/>
            <w:color w:val="0070C0"/>
            <w:sz w:val="24"/>
            <w:lang w:val="sk-SK"/>
          </w:rPr>
          <w:t>http://data.europa.eu/eli/reg/2002/178/oj</w:t>
        </w:r>
      </w:hyperlink>
      <w:r w:rsidRPr="001F7E49">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8E601" w14:textId="77777777" w:rsidR="00064002" w:rsidRPr="001F7E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55BC" w14:textId="77777777" w:rsidR="00064002" w:rsidRPr="001F7E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5DFD3" w14:textId="77777777" w:rsidR="00064002" w:rsidRPr="001F7E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3976219">
    <w:abstractNumId w:val="9"/>
  </w:num>
  <w:num w:numId="2" w16cid:durableId="586185551">
    <w:abstractNumId w:val="9"/>
  </w:num>
  <w:num w:numId="3" w16cid:durableId="1419255532">
    <w:abstractNumId w:val="7"/>
  </w:num>
  <w:num w:numId="4" w16cid:durableId="319160893">
    <w:abstractNumId w:val="7"/>
  </w:num>
  <w:num w:numId="5" w16cid:durableId="1859273704">
    <w:abstractNumId w:val="6"/>
  </w:num>
  <w:num w:numId="6" w16cid:durableId="99181001">
    <w:abstractNumId w:val="6"/>
  </w:num>
  <w:num w:numId="7" w16cid:durableId="1326975244">
    <w:abstractNumId w:val="5"/>
  </w:num>
  <w:num w:numId="8" w16cid:durableId="803699186">
    <w:abstractNumId w:val="5"/>
  </w:num>
  <w:num w:numId="9" w16cid:durableId="464204593">
    <w:abstractNumId w:val="4"/>
  </w:num>
  <w:num w:numId="10" w16cid:durableId="1828595592">
    <w:abstractNumId w:val="4"/>
  </w:num>
  <w:num w:numId="11" w16cid:durableId="174419161">
    <w:abstractNumId w:val="8"/>
  </w:num>
  <w:num w:numId="12" w16cid:durableId="1090589540">
    <w:abstractNumId w:val="8"/>
  </w:num>
  <w:num w:numId="13" w16cid:durableId="1175878655">
    <w:abstractNumId w:val="3"/>
  </w:num>
  <w:num w:numId="14" w16cid:durableId="1769346007">
    <w:abstractNumId w:val="3"/>
  </w:num>
  <w:num w:numId="15" w16cid:durableId="1819102681">
    <w:abstractNumId w:val="2"/>
  </w:num>
  <w:num w:numId="16" w16cid:durableId="497574323">
    <w:abstractNumId w:val="2"/>
  </w:num>
  <w:num w:numId="17" w16cid:durableId="808402628">
    <w:abstractNumId w:val="1"/>
  </w:num>
  <w:num w:numId="18" w16cid:durableId="1866748591">
    <w:abstractNumId w:val="1"/>
  </w:num>
  <w:num w:numId="19" w16cid:durableId="270166685">
    <w:abstractNumId w:val="0"/>
  </w:num>
  <w:num w:numId="20" w16cid:durableId="1919052084">
    <w:abstractNumId w:val="0"/>
  </w:num>
  <w:num w:numId="21" w16cid:durableId="274793080">
    <w:abstractNumId w:val="9"/>
  </w:num>
  <w:num w:numId="22" w16cid:durableId="1505316467">
    <w:abstractNumId w:val="7"/>
  </w:num>
  <w:num w:numId="23" w16cid:durableId="1056708757">
    <w:abstractNumId w:val="6"/>
  </w:num>
  <w:num w:numId="24" w16cid:durableId="586767747">
    <w:abstractNumId w:val="5"/>
  </w:num>
  <w:num w:numId="25" w16cid:durableId="1154833586">
    <w:abstractNumId w:val="4"/>
  </w:num>
  <w:num w:numId="26" w16cid:durableId="2067678093">
    <w:abstractNumId w:val="8"/>
  </w:num>
  <w:num w:numId="27" w16cid:durableId="150097463">
    <w:abstractNumId w:val="3"/>
  </w:num>
  <w:num w:numId="28" w16cid:durableId="803936056">
    <w:abstractNumId w:val="2"/>
  </w:num>
  <w:num w:numId="29" w16cid:durableId="115367677">
    <w:abstractNumId w:val="1"/>
  </w:num>
  <w:num w:numId="30" w16cid:durableId="18630643">
    <w:abstractNumId w:val="0"/>
  </w:num>
  <w:num w:numId="31" w16cid:durableId="903640185">
    <w:abstractNumId w:val="9"/>
  </w:num>
  <w:num w:numId="32" w16cid:durableId="1674650567">
    <w:abstractNumId w:val="7"/>
  </w:num>
  <w:num w:numId="33" w16cid:durableId="2043436781">
    <w:abstractNumId w:val="6"/>
  </w:num>
  <w:num w:numId="34" w16cid:durableId="1203446211">
    <w:abstractNumId w:val="5"/>
  </w:num>
  <w:num w:numId="35" w16cid:durableId="2086342277">
    <w:abstractNumId w:val="4"/>
  </w:num>
  <w:num w:numId="36" w16cid:durableId="1962956467">
    <w:abstractNumId w:val="8"/>
  </w:num>
  <w:num w:numId="37" w16cid:durableId="995652014">
    <w:abstractNumId w:val="3"/>
  </w:num>
  <w:num w:numId="38" w16cid:durableId="2035685578">
    <w:abstractNumId w:val="2"/>
  </w:num>
  <w:num w:numId="39" w16cid:durableId="840511764">
    <w:abstractNumId w:val="1"/>
  </w:num>
  <w:num w:numId="40" w16cid:durableId="55008616">
    <w:abstractNumId w:val="0"/>
  </w:num>
  <w:num w:numId="41" w16cid:durableId="1766267856">
    <w:abstractNumId w:val="10"/>
  </w:num>
  <w:num w:numId="42" w16cid:durableId="1382754172">
    <w:abstractNumId w:val="10"/>
  </w:num>
  <w:num w:numId="43" w16cid:durableId="57873417">
    <w:abstractNumId w:val="10"/>
  </w:num>
  <w:num w:numId="44" w16cid:durableId="1890729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SK"/>
    <w:docVar w:name="dvnumam" w:val="0"/>
    <w:docVar w:name="dvpe" w:val="782.197"/>
    <w:docVar w:name="dvtitre" w:val="Uznesenie Európskeho parlamentu z/zo xx. xxx 2026 o návrhu vykonávacieho rozhodnutia Komisie, ktorým sa podľa nariadenia Európskeho parlamentu a Rady (ES) č. 1829/2003 obnovuje povolenie umiestniť na trh produkty, ktoré obsahujú geneticky modifikovanú bavlnu GHB614 × LLCotton25, sú z nej zložené alebo vyrobené(D111476/01 - 2026/2519(RSP))"/>
  </w:docVars>
  <w:rsids>
    <w:rsidRoot w:val="008903CE"/>
    <w:rsid w:val="00002272"/>
    <w:rsid w:val="00064002"/>
    <w:rsid w:val="000677B9"/>
    <w:rsid w:val="000831BA"/>
    <w:rsid w:val="000A42CC"/>
    <w:rsid w:val="000E7DD9"/>
    <w:rsid w:val="0010095E"/>
    <w:rsid w:val="00125B37"/>
    <w:rsid w:val="00187494"/>
    <w:rsid w:val="001D647F"/>
    <w:rsid w:val="001F32AE"/>
    <w:rsid w:val="001F7E49"/>
    <w:rsid w:val="00266E30"/>
    <w:rsid w:val="002767FF"/>
    <w:rsid w:val="00284843"/>
    <w:rsid w:val="002B18FE"/>
    <w:rsid w:val="002B5493"/>
    <w:rsid w:val="00343214"/>
    <w:rsid w:val="00361C00"/>
    <w:rsid w:val="00395FA1"/>
    <w:rsid w:val="003A3BF4"/>
    <w:rsid w:val="003E15D4"/>
    <w:rsid w:val="00411CCE"/>
    <w:rsid w:val="0041666E"/>
    <w:rsid w:val="00421060"/>
    <w:rsid w:val="00471C19"/>
    <w:rsid w:val="004867E3"/>
    <w:rsid w:val="00494A28"/>
    <w:rsid w:val="004C0004"/>
    <w:rsid w:val="004C5D52"/>
    <w:rsid w:val="0050519A"/>
    <w:rsid w:val="005072A1"/>
    <w:rsid w:val="00514517"/>
    <w:rsid w:val="00531CE6"/>
    <w:rsid w:val="00545827"/>
    <w:rsid w:val="0055359E"/>
    <w:rsid w:val="00560270"/>
    <w:rsid w:val="005C2568"/>
    <w:rsid w:val="005D1ECF"/>
    <w:rsid w:val="005F1B17"/>
    <w:rsid w:val="006037C0"/>
    <w:rsid w:val="006631B6"/>
    <w:rsid w:val="00680577"/>
    <w:rsid w:val="006E1CCE"/>
    <w:rsid w:val="006F74FA"/>
    <w:rsid w:val="00731ADD"/>
    <w:rsid w:val="00734777"/>
    <w:rsid w:val="00747932"/>
    <w:rsid w:val="00751A4A"/>
    <w:rsid w:val="00756632"/>
    <w:rsid w:val="00762C74"/>
    <w:rsid w:val="00780BC2"/>
    <w:rsid w:val="00786EC0"/>
    <w:rsid w:val="007D1690"/>
    <w:rsid w:val="007E22AD"/>
    <w:rsid w:val="00816255"/>
    <w:rsid w:val="00817416"/>
    <w:rsid w:val="00842779"/>
    <w:rsid w:val="00865F67"/>
    <w:rsid w:val="00881A7B"/>
    <w:rsid w:val="008840E5"/>
    <w:rsid w:val="00887B3E"/>
    <w:rsid w:val="008903CE"/>
    <w:rsid w:val="008C2AC6"/>
    <w:rsid w:val="00930C23"/>
    <w:rsid w:val="0093193B"/>
    <w:rsid w:val="009509D8"/>
    <w:rsid w:val="00950B64"/>
    <w:rsid w:val="00981893"/>
    <w:rsid w:val="00A1687D"/>
    <w:rsid w:val="00A43E52"/>
    <w:rsid w:val="00A4678D"/>
    <w:rsid w:val="00A778C7"/>
    <w:rsid w:val="00AB441E"/>
    <w:rsid w:val="00AB6293"/>
    <w:rsid w:val="00AB7C5B"/>
    <w:rsid w:val="00AE0928"/>
    <w:rsid w:val="00AF3B82"/>
    <w:rsid w:val="00B12E95"/>
    <w:rsid w:val="00B22876"/>
    <w:rsid w:val="00B558F0"/>
    <w:rsid w:val="00BD48FE"/>
    <w:rsid w:val="00BD7BD8"/>
    <w:rsid w:val="00BE6ADC"/>
    <w:rsid w:val="00C05BFE"/>
    <w:rsid w:val="00C23CD4"/>
    <w:rsid w:val="00C61C0C"/>
    <w:rsid w:val="00C941CB"/>
    <w:rsid w:val="00C9544D"/>
    <w:rsid w:val="00CC2357"/>
    <w:rsid w:val="00CF071A"/>
    <w:rsid w:val="00D058B8"/>
    <w:rsid w:val="00D227BF"/>
    <w:rsid w:val="00D56C11"/>
    <w:rsid w:val="00D6394E"/>
    <w:rsid w:val="00D834A0"/>
    <w:rsid w:val="00D872DF"/>
    <w:rsid w:val="00D91E21"/>
    <w:rsid w:val="00DA2D6C"/>
    <w:rsid w:val="00DA7FCD"/>
    <w:rsid w:val="00E0405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6D641"/>
  <w15:chartTrackingRefBased/>
  <w15:docId w15:val="{A69A4677-D5A5-4958-8690-F49140719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5359E"/>
    <w:pPr>
      <w:spacing w:before="480" w:after="240"/>
    </w:pPr>
  </w:style>
  <w:style w:type="paragraph" w:customStyle="1" w:styleId="NormalHanging12a">
    <w:name w:val="NormalHanging12a"/>
    <w:basedOn w:val="Normal"/>
    <w:uiPriority w:val="99"/>
    <w:qFormat/>
    <w:rsid w:val="0055359E"/>
    <w:pPr>
      <w:spacing w:after="240"/>
      <w:ind w:left="567" w:hanging="567"/>
    </w:pPr>
  </w:style>
  <w:style w:type="character" w:styleId="Hyperlink">
    <w:name w:val="Hyperlink"/>
    <w:basedOn w:val="DefaultParagraphFont"/>
    <w:uiPriority w:val="99"/>
    <w:rsid w:val="0055359E"/>
    <w:rPr>
      <w:color w:val="0563C1" w:themeColor="hyperlink"/>
      <w:u w:val="single"/>
    </w:rPr>
  </w:style>
  <w:style w:type="paragraph" w:styleId="NormalWeb">
    <w:name w:val="Normal (Web)"/>
    <w:basedOn w:val="Normal"/>
    <w:uiPriority w:val="99"/>
    <w:unhideWhenUsed/>
    <w:rsid w:val="0055359E"/>
    <w:pPr>
      <w:widowControl/>
      <w:spacing w:before="100" w:beforeAutospacing="1" w:after="100" w:afterAutospacing="1"/>
    </w:pPr>
    <w:rPr>
      <w:szCs w:val="24"/>
    </w:rPr>
  </w:style>
  <w:style w:type="paragraph" w:styleId="Revision">
    <w:name w:val="Revision"/>
    <w:hidden/>
    <w:uiPriority w:val="99"/>
    <w:semiHidden/>
    <w:rsid w:val="00AB7C5B"/>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strategy-and-policy/priorities-2019-2024/european-green-deal/agriculture-and-green-deal/strategic-dialogue-future-eu-agriculture_sk"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sk/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3</cp:revision>
  <cp:lastPrinted>2004-11-19T15:42:00Z</cp:lastPrinted>
  <dcterms:created xsi:type="dcterms:W3CDTF">2026-02-11T14:10:00Z</dcterms:created>
  <dcterms:modified xsi:type="dcterms:W3CDTF">2026-04-30T15:18:00Z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B10-0109/2026</vt:lpwstr>
  </property>
  <property fmtid="{D5CDD505-2E9C-101B-9397-08002B2CF9AE}" pid="4" name="&lt;Type&gt;">
    <vt:lpwstr>RR</vt:lpwstr>
  </property>
</Properties>
</file>