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564F" w14:paraId="04ABF1A2" w14:textId="77777777" w:rsidTr="0010095E">
        <w:trPr>
          <w:trHeight w:hRule="exact" w:val="1418"/>
        </w:trPr>
        <w:tc>
          <w:tcPr>
            <w:tcW w:w="6804" w:type="dxa"/>
            <w:shd w:val="clear" w:color="auto" w:fill="auto"/>
            <w:vAlign w:val="center"/>
          </w:tcPr>
          <w:p w14:paraId="4E7CBFD7" w14:textId="77777777" w:rsidR="00751A4A" w:rsidRPr="00B2564F" w:rsidRDefault="001D6DBE" w:rsidP="0010095E">
            <w:pPr>
              <w:pStyle w:val="EPName"/>
            </w:pPr>
            <w:r w:rsidRPr="00B2564F">
              <w:t>Evropski parlament</w:t>
            </w:r>
          </w:p>
          <w:p w14:paraId="22D86EF4" w14:textId="77777777" w:rsidR="00751A4A" w:rsidRPr="00B2564F" w:rsidRDefault="005F1B17" w:rsidP="005F1B17">
            <w:pPr>
              <w:pStyle w:val="EPTerm"/>
              <w:rPr>
                <w:rStyle w:val="HideTWBExt"/>
                <w:noProof w:val="0"/>
                <w:vanish w:val="0"/>
                <w:color w:val="auto"/>
              </w:rPr>
            </w:pPr>
            <w:r w:rsidRPr="00B2564F">
              <w:t>2024</w:t>
            </w:r>
            <w:r w:rsidR="00817416" w:rsidRPr="00B2564F">
              <w:t>-202</w:t>
            </w:r>
            <w:r w:rsidRPr="00B2564F">
              <w:t>9</w:t>
            </w:r>
          </w:p>
        </w:tc>
        <w:tc>
          <w:tcPr>
            <w:tcW w:w="2268" w:type="dxa"/>
            <w:shd w:val="clear" w:color="auto" w:fill="auto"/>
          </w:tcPr>
          <w:p w14:paraId="642543EE" w14:textId="77777777" w:rsidR="00751A4A" w:rsidRPr="00B2564F" w:rsidRDefault="00187494" w:rsidP="0010095E">
            <w:pPr>
              <w:pStyle w:val="EPLogo"/>
            </w:pPr>
            <w:r w:rsidRPr="00B2564F">
              <w:rPr>
                <w:noProof/>
                <w:lang w:eastAsia="ja-JP"/>
              </w:rPr>
              <w:drawing>
                <wp:inline distT="0" distB="0" distL="0" distR="0" wp14:anchorId="358BE49E" wp14:editId="52CE45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61841B" w14:textId="77777777" w:rsidR="00D058B8" w:rsidRPr="00B2564F" w:rsidRDefault="00D058B8" w:rsidP="004C5D52">
      <w:pPr>
        <w:pStyle w:val="LineTop"/>
      </w:pPr>
    </w:p>
    <w:p w14:paraId="5F15D8BF" w14:textId="77777777" w:rsidR="00680577" w:rsidRPr="00B2564F" w:rsidRDefault="001D6DBE" w:rsidP="00680577">
      <w:pPr>
        <w:pStyle w:val="EPBodyTA1"/>
      </w:pPr>
      <w:r w:rsidRPr="00B2564F">
        <w:t>SPREJETA BESEDILA</w:t>
      </w:r>
    </w:p>
    <w:p w14:paraId="64290887" w14:textId="77777777" w:rsidR="00D058B8" w:rsidRPr="00B2564F" w:rsidRDefault="00D058B8" w:rsidP="00D058B8">
      <w:pPr>
        <w:pStyle w:val="LineBottom"/>
      </w:pPr>
    </w:p>
    <w:p w14:paraId="15390786" w14:textId="7C196195" w:rsidR="001D6DBE" w:rsidRPr="00B2564F" w:rsidRDefault="001D6DBE" w:rsidP="001D6DBE">
      <w:pPr>
        <w:pStyle w:val="ATHeading1"/>
      </w:pPr>
      <w:bookmarkStart w:id="0" w:name="TANumber"/>
      <w:r w:rsidRPr="00B2564F">
        <w:t>P10_TA(2026)</w:t>
      </w:r>
      <w:bookmarkEnd w:id="0"/>
      <w:r w:rsidR="005A31F4">
        <w:t>0043</w:t>
      </w:r>
    </w:p>
    <w:p w14:paraId="47E26969" w14:textId="74C19A3F" w:rsidR="001D6DBE" w:rsidRPr="00B2564F" w:rsidRDefault="00EE3C48" w:rsidP="001D6DBE">
      <w:pPr>
        <w:pStyle w:val="ATHeading2"/>
      </w:pPr>
      <w:bookmarkStart w:id="1" w:name="title"/>
      <w:r>
        <w:t>G</w:t>
      </w:r>
      <w:r w:rsidRPr="00EE3C48">
        <w:t>ensko spremenjeni bombaž GHB614 × LLCotton25</w:t>
      </w:r>
      <w:bookmarkEnd w:id="1"/>
    </w:p>
    <w:p w14:paraId="53F2B0CB" w14:textId="77777777" w:rsidR="001D6DBE" w:rsidRPr="00B2564F" w:rsidRDefault="001D6DBE" w:rsidP="001D6DBE">
      <w:pPr>
        <w:rPr>
          <w:i/>
          <w:vanish/>
        </w:rPr>
      </w:pPr>
      <w:r w:rsidRPr="00B2564F">
        <w:rPr>
          <w:i/>
        </w:rPr>
        <w:fldChar w:fldCharType="begin"/>
      </w:r>
      <w:r w:rsidRPr="00B2564F">
        <w:rPr>
          <w:i/>
        </w:rPr>
        <w:instrText xml:space="preserve"> TC"(</w:instrText>
      </w:r>
      <w:bookmarkStart w:id="2" w:name="DocNumber"/>
      <w:r w:rsidRPr="00B2564F">
        <w:rPr>
          <w:i/>
        </w:rPr>
        <w:instrText>B10-0109/2026</w:instrText>
      </w:r>
      <w:bookmarkEnd w:id="2"/>
      <w:r w:rsidRPr="00B2564F">
        <w:rPr>
          <w:i/>
        </w:rPr>
        <w:instrText xml:space="preserve">)"\l3 \n&gt; \* MERGEFORMAT </w:instrText>
      </w:r>
      <w:r w:rsidRPr="00B2564F">
        <w:rPr>
          <w:i/>
        </w:rPr>
        <w:fldChar w:fldCharType="end"/>
      </w:r>
    </w:p>
    <w:p w14:paraId="207538CF" w14:textId="77777777" w:rsidR="001D6DBE" w:rsidRPr="00B2564F" w:rsidRDefault="001D6DBE" w:rsidP="001D6DBE">
      <w:pPr>
        <w:rPr>
          <w:vanish/>
        </w:rPr>
      </w:pPr>
      <w:bookmarkStart w:id="3" w:name="PE"/>
      <w:r w:rsidRPr="00B2564F">
        <w:rPr>
          <w:vanish/>
        </w:rPr>
        <w:t>PE782.197</w:t>
      </w:r>
      <w:bookmarkEnd w:id="3"/>
    </w:p>
    <w:p w14:paraId="4C11279A" w14:textId="640B049C" w:rsidR="001D6DBE" w:rsidRPr="00B2564F" w:rsidRDefault="001D6DBE" w:rsidP="001D6DBE">
      <w:pPr>
        <w:pStyle w:val="ATHeading3"/>
      </w:pPr>
      <w:bookmarkStart w:id="4" w:name="Sujet"/>
      <w:r w:rsidRPr="00B2564F">
        <w:t xml:space="preserve">Resolucija Evropskega parlamenta z dne </w:t>
      </w:r>
      <w:r w:rsidR="00EE3C48">
        <w:t>11. februarja</w:t>
      </w:r>
      <w:r w:rsidRPr="00B2564F">
        <w:t xml:space="preserve"> 2026 o osnutku izvedbenega sklepa Komisije o obnovitvi odobritve dajanja proizvodov, ki vsebujejo gensko spremenjeni bombaž GHB614 × LLCotton25, so iz njega sestavljeni ali proizvedeni, v promet v skladu z Uredbo (ES) št. 1829/2003 Evropskega parlamenta in Sveta</w:t>
      </w:r>
      <w:bookmarkEnd w:id="4"/>
      <w:r w:rsidRPr="00B2564F">
        <w:t xml:space="preserve"> </w:t>
      </w:r>
      <w:bookmarkStart w:id="5" w:name="References"/>
      <w:r w:rsidRPr="00B2564F">
        <w:t>(D111476/</w:t>
      </w:r>
      <w:r w:rsidR="00EE3C48" w:rsidRPr="00B2564F">
        <w:t>0</w:t>
      </w:r>
      <w:r w:rsidR="00EE3C48">
        <w:t>2</w:t>
      </w:r>
      <w:r w:rsidR="00EE3C48" w:rsidRPr="00B2564F">
        <w:t xml:space="preserve"> </w:t>
      </w:r>
      <w:r w:rsidR="00EE3C48">
        <w:t>–</w:t>
      </w:r>
      <w:r w:rsidRPr="00B2564F">
        <w:t xml:space="preserve"> 2026/2519(RSP))</w:t>
      </w:r>
      <w:bookmarkEnd w:id="5"/>
    </w:p>
    <w:p w14:paraId="177AEE41" w14:textId="77777777" w:rsidR="006A1250" w:rsidRPr="00B2564F" w:rsidRDefault="006A1250" w:rsidP="006A1250">
      <w:pPr>
        <w:pStyle w:val="EPComma"/>
      </w:pPr>
      <w:bookmarkStart w:id="6" w:name="TextBodyBegin"/>
      <w:bookmarkEnd w:id="6"/>
      <w:r w:rsidRPr="00B2564F">
        <w:rPr>
          <w:i/>
        </w:rPr>
        <w:t>Evropski parlament</w:t>
      </w:r>
      <w:r w:rsidRPr="00B2564F">
        <w:t>,</w:t>
      </w:r>
    </w:p>
    <w:p w14:paraId="6212E5E3" w14:textId="65B4625F" w:rsidR="006A1250" w:rsidRPr="00B2564F" w:rsidRDefault="006A1250" w:rsidP="006A1250">
      <w:pPr>
        <w:pStyle w:val="NormalHanging12a"/>
      </w:pPr>
      <w:r w:rsidRPr="00B2564F">
        <w:t>–</w:t>
      </w:r>
      <w:r w:rsidRPr="00B2564F">
        <w:tab/>
        <w:t>ob upoštevanju osnutka izvedbenega sklepa Komisije o obnovitvi odobritve dajanja proizvodov, ki vsebujejo gensko spremenjeni bombaž GHB614 × LLCotton25, so iz njega sestavljeni ali proizvedeni, v promet v skladu z Uredbo (ES) št. 1829/2003 Evropskega parlamenta in Sveta (D111476/</w:t>
      </w:r>
      <w:r w:rsidR="00EE3C48" w:rsidRPr="00B2564F">
        <w:t>0</w:t>
      </w:r>
      <w:r w:rsidR="00EE3C48">
        <w:t>2</w:t>
      </w:r>
      <w:r w:rsidRPr="00B2564F">
        <w:t>),</w:t>
      </w:r>
    </w:p>
    <w:p w14:paraId="0A0A311A" w14:textId="77777777" w:rsidR="006A1250" w:rsidRPr="00B2564F" w:rsidRDefault="006A1250" w:rsidP="006A1250">
      <w:pPr>
        <w:pStyle w:val="NormalHanging12a"/>
      </w:pPr>
      <w:r w:rsidRPr="00B2564F">
        <w:t>–</w:t>
      </w:r>
      <w:r w:rsidRPr="00B2564F">
        <w:tab/>
        <w:t>ob upoštevanju Uredbe (ES) št. 1829/2003 Evropskega parlamenta in Sveta z dne 22. septembra 2003 o gensko spremenjenih živilih in krmi</w:t>
      </w:r>
      <w:r w:rsidRPr="00B2564F">
        <w:rPr>
          <w:vertAlign w:val="superscript"/>
        </w:rPr>
        <w:footnoteReference w:id="1"/>
      </w:r>
      <w:r w:rsidRPr="00B2564F">
        <w:t>, zlasti členov 11(3) in 23(3),</w:t>
      </w:r>
    </w:p>
    <w:p w14:paraId="440A5AAF" w14:textId="745D97EA" w:rsidR="006A1250" w:rsidRPr="00B2564F" w:rsidRDefault="006A1250" w:rsidP="006A1250">
      <w:pPr>
        <w:pStyle w:val="NormalHanging12a"/>
      </w:pPr>
      <w:r w:rsidRPr="00B2564F">
        <w:t>–</w:t>
      </w:r>
      <w:r w:rsidRPr="00B2564F">
        <w:tab/>
        <w:t xml:space="preserve">ob upoštevanju glasovanja </w:t>
      </w:r>
      <w:bookmarkStart w:id="7" w:name="_Hlk210664905"/>
      <w:r w:rsidRPr="00B2564F">
        <w:t xml:space="preserve">Stalnega odbora za rastline, živali, hrano in krmo </w:t>
      </w:r>
      <w:bookmarkEnd w:id="7"/>
      <w:r w:rsidRPr="00B2564F">
        <w:t xml:space="preserve">iz člena 35 Uredbe (ES) št. 1829/2003, ki je potekalo 12. decembra 2025 in </w:t>
      </w:r>
      <w:r w:rsidR="00EE3C48">
        <w:t>na podlagi katerega</w:t>
      </w:r>
      <w:r w:rsidR="00EE3C48" w:rsidRPr="00C5574F">
        <w:t xml:space="preserve"> mnenje</w:t>
      </w:r>
      <w:r w:rsidR="00EE3C48">
        <w:t xml:space="preserve"> </w:t>
      </w:r>
      <w:r w:rsidR="00EE3C48" w:rsidRPr="00C5574F">
        <w:t xml:space="preserve">ni bilo </w:t>
      </w:r>
      <w:r w:rsidR="00EE3C48">
        <w:t>podano</w:t>
      </w:r>
      <w:r w:rsidR="00EE3C48" w:rsidRPr="00C5574F">
        <w:t xml:space="preserve">, </w:t>
      </w:r>
      <w:r w:rsidR="00EE3C48">
        <w:t>ter</w:t>
      </w:r>
      <w:r w:rsidR="00EE3C48" w:rsidRPr="001F396D">
        <w:t xml:space="preserve"> glasovanja v odboru za pritožbe 27. januarja 2026</w:t>
      </w:r>
      <w:r w:rsidR="00EE3C48" w:rsidRPr="007A2312">
        <w:t xml:space="preserve">, </w:t>
      </w:r>
      <w:r w:rsidR="00EE3C48">
        <w:t>na podlagi katerega</w:t>
      </w:r>
      <w:r w:rsidR="00EE3C48" w:rsidRPr="001F396D">
        <w:t xml:space="preserve"> </w:t>
      </w:r>
      <w:r w:rsidR="00EE3C48">
        <w:t xml:space="preserve">mnenje </w:t>
      </w:r>
      <w:r w:rsidR="00EE3C48" w:rsidRPr="001F396D">
        <w:t xml:space="preserve">prav tako ni bilo </w:t>
      </w:r>
      <w:r w:rsidR="00EE3C48">
        <w:t>podano</w:t>
      </w:r>
      <w:r w:rsidRPr="00B2564F">
        <w:t xml:space="preserve">, </w:t>
      </w:r>
    </w:p>
    <w:p w14:paraId="5C45B3CE" w14:textId="77777777" w:rsidR="006A1250" w:rsidRPr="00B2564F" w:rsidRDefault="006A1250" w:rsidP="006A1250">
      <w:pPr>
        <w:pStyle w:val="NormalHanging12a"/>
      </w:pPr>
      <w:r w:rsidRPr="00B2564F">
        <w:t>–</w:t>
      </w:r>
      <w:r w:rsidRPr="00B2564F">
        <w:tab/>
        <w:t>ob upoštevanju člena 11 Uredbe (EU) št. 182/2011 Evropskega parlamenta in Sveta z dne 16. februarja 2011 o določitvi splošnih pravil in načel, na podlagi katerih države članice nadzirajo izvajanje izvedbenih pooblastil Komisije</w:t>
      </w:r>
      <w:r w:rsidRPr="00B2564F">
        <w:rPr>
          <w:vertAlign w:val="superscript"/>
        </w:rPr>
        <w:footnoteReference w:id="2"/>
      </w:r>
      <w:r w:rsidRPr="00B2564F">
        <w:t>,</w:t>
      </w:r>
    </w:p>
    <w:p w14:paraId="790FC391" w14:textId="77777777" w:rsidR="006A1250" w:rsidRPr="00B2564F" w:rsidRDefault="006A1250" w:rsidP="006A1250">
      <w:pPr>
        <w:pStyle w:val="NormalHanging12a"/>
      </w:pPr>
      <w:r w:rsidRPr="00B2564F">
        <w:t>–</w:t>
      </w:r>
      <w:r w:rsidRPr="00B2564F">
        <w:tab/>
        <w:t>ob upoštevanju mnenja, ki ga je Evropska agencija za varnost hrane (EFSA) sprejela 30. junija 2025 in objavila 7. avgusta 2025</w:t>
      </w:r>
      <w:r w:rsidRPr="00B2564F">
        <w:rPr>
          <w:vertAlign w:val="superscript"/>
        </w:rPr>
        <w:footnoteReference w:id="3"/>
      </w:r>
      <w:r w:rsidRPr="00B2564F">
        <w:t>,</w:t>
      </w:r>
    </w:p>
    <w:p w14:paraId="6CCE9ACB" w14:textId="77777777" w:rsidR="006A1250" w:rsidRPr="00B2564F" w:rsidRDefault="006A1250" w:rsidP="006A1250">
      <w:pPr>
        <w:pStyle w:val="NormalHanging12a"/>
      </w:pPr>
      <w:r w:rsidRPr="00B2564F">
        <w:t>–</w:t>
      </w:r>
      <w:r w:rsidRPr="00B2564F">
        <w:tab/>
        <w:t xml:space="preserve">ob upoštevanju svojih prejšnjih resolucij, v katerih je nasprotoval odobritvi gensko </w:t>
      </w:r>
      <w:r w:rsidRPr="00B2564F">
        <w:lastRenderedPageBreak/>
        <w:t>spremenjenih organizmov</w:t>
      </w:r>
      <w:bookmarkStart w:id="9" w:name="_Hlk210666451"/>
      <w:r w:rsidRPr="00B2564F">
        <w:rPr>
          <w:vertAlign w:val="superscript"/>
        </w:rPr>
        <w:footnoteReference w:id="4"/>
      </w:r>
      <w:bookmarkEnd w:id="9"/>
      <w:r w:rsidRPr="00B2564F">
        <w:t xml:space="preserve">, </w:t>
      </w:r>
    </w:p>
    <w:p w14:paraId="4D15472B" w14:textId="77777777" w:rsidR="006A1250" w:rsidRPr="00B2564F" w:rsidRDefault="006A1250" w:rsidP="006A1250">
      <w:pPr>
        <w:pStyle w:val="NormalHanging12a"/>
      </w:pPr>
      <w:r w:rsidRPr="00B2564F">
        <w:lastRenderedPageBreak/>
        <w:t>–</w:t>
      </w:r>
      <w:r w:rsidRPr="00B2564F">
        <w:tab/>
        <w:t>ob upoštevanju člena 115(2) in (3) Poslovnika,</w:t>
      </w:r>
    </w:p>
    <w:p w14:paraId="44582C57" w14:textId="77777777" w:rsidR="006A1250" w:rsidRPr="00B2564F" w:rsidRDefault="006A1250" w:rsidP="006A1250">
      <w:pPr>
        <w:pStyle w:val="NormalHanging12a"/>
      </w:pPr>
      <w:r w:rsidRPr="00B2564F">
        <w:lastRenderedPageBreak/>
        <w:t>–</w:t>
      </w:r>
      <w:r w:rsidRPr="00B2564F">
        <w:tab/>
        <w:t>ob upoštevanju predloga resolucije Odbora za okolje, podnebje in varnost hrane,</w:t>
      </w:r>
    </w:p>
    <w:p w14:paraId="05A9D8C8" w14:textId="77777777" w:rsidR="006A1250" w:rsidRPr="00B2564F" w:rsidRDefault="006A1250" w:rsidP="006A1250">
      <w:pPr>
        <w:pStyle w:val="NormalHanging12a"/>
        <w:ind w:hanging="570"/>
      </w:pPr>
      <w:r w:rsidRPr="00B2564F">
        <w:t>A.</w:t>
      </w:r>
      <w:r w:rsidRPr="00B2564F">
        <w:tab/>
        <w:t>ker je bilo z Izvedbenim sklepom Komisije (EU) 2015/690</w:t>
      </w:r>
      <w:r w:rsidRPr="00B2564F">
        <w:rPr>
          <w:rStyle w:val="FootnoteReference"/>
        </w:rPr>
        <w:footnoteReference w:id="5"/>
      </w:r>
      <w:r w:rsidRPr="00B2564F">
        <w:t xml:space="preserve"> odobreno dajanje na trg živil in krme, ki vsebujejo gensko spremenjeni bombaž GHB614 × LLCotton25, so iz njega sestavljeni ali proizvedeni (v nadaljnjem besedilu: gensko spremenjeni bombaž). Področje uporabe te odobritve zajema tudi dajanje na trg proizvodov, ki niso živila in krma ter vsebujejo gensko spremenjeni bombaž ali so iz njega sestavljeni, za enako uporabo kot kateri koli drugi bombaž, razen za gojenje;</w:t>
      </w:r>
    </w:p>
    <w:p w14:paraId="5FEE1598" w14:textId="77777777" w:rsidR="006A1250" w:rsidRPr="00B2564F" w:rsidRDefault="006A1250" w:rsidP="006A1250">
      <w:pPr>
        <w:pStyle w:val="NormalHanging12a"/>
        <w:ind w:hanging="570"/>
      </w:pPr>
      <w:bookmarkStart w:id="10" w:name="_Hlk218675754"/>
      <w:r w:rsidRPr="00B2564F">
        <w:t>B.</w:t>
      </w:r>
      <w:r w:rsidRPr="00B2564F">
        <w:tab/>
        <w:t xml:space="preserve">ker je </w:t>
      </w:r>
      <w:r w:rsidRPr="00B2564F">
        <w:rPr>
          <w:snapToGrid w:val="0"/>
        </w:rPr>
        <w:t>družba BASF SE s sedežem v Nemčiji</w:t>
      </w:r>
      <w:r w:rsidRPr="00B2564F">
        <w:t xml:space="preserve"> 22. marca 2024 v imenu družbe BASF </w:t>
      </w:r>
      <w:proofErr w:type="spellStart"/>
      <w:r w:rsidRPr="00B2564F">
        <w:t>Agricultural</w:t>
      </w:r>
      <w:proofErr w:type="spellEnd"/>
      <w:r w:rsidRPr="00B2564F">
        <w:t xml:space="preserve"> Solutions Seed US LLC s sedežem v Združenih državah Amerike Komisiji predložila vlogo za obnovitev navedene odobritve;</w:t>
      </w:r>
    </w:p>
    <w:p w14:paraId="4BBF571D" w14:textId="77777777" w:rsidR="006A1250" w:rsidRPr="00B2564F" w:rsidRDefault="006A1250" w:rsidP="006A1250">
      <w:pPr>
        <w:pStyle w:val="NormalHanging12a"/>
        <w:ind w:hanging="570"/>
      </w:pPr>
      <w:r w:rsidRPr="00B2564F">
        <w:t>C.</w:t>
      </w:r>
      <w:r w:rsidRPr="00B2564F">
        <w:tab/>
        <w:t>ker je Evropska agencija za varnost hrane (EFSA) 7. avgusta 2025 v skladu s členoma 11 in 23 Uredbe (ES) št. 1829/2003 sprejela pozitivno mnenje o gensko spremenjenem bombažu, v katerem je ugotovila, da vloga za obnovitev odobritve ne vsebuje dokazov o novih nevarnostih, spremenjeni izpostavljenosti ali znanstvenih negotovostih, na podlagi katerih bi pri oceni tveganja gensko spremenjenega bombaža prišla do drugačnih zaključkov kot pri izvirni oceni leta 2014</w:t>
      </w:r>
      <w:r w:rsidRPr="00B2564F">
        <w:rPr>
          <w:rStyle w:val="FootnoteReference"/>
        </w:rPr>
        <w:footnoteReference w:id="6"/>
      </w:r>
      <w:r w:rsidRPr="00B2564F">
        <w:t>; ker v teh mnenjih ni bilo obravnavanih več širših okoljskih, socialno-ekonomskih in kumulativnih učinkov, za katere agencija EFSA meni, da ne spadajo v njeno pristojnost;</w:t>
      </w:r>
    </w:p>
    <w:p w14:paraId="067DC6C9" w14:textId="77777777" w:rsidR="006A1250" w:rsidRPr="00B2564F" w:rsidRDefault="006A1250" w:rsidP="006A1250">
      <w:pPr>
        <w:pStyle w:val="NormalHanging12a"/>
      </w:pPr>
      <w:r w:rsidRPr="00B2564F">
        <w:t>D.</w:t>
      </w:r>
      <w:r w:rsidRPr="00B2564F">
        <w:tab/>
        <w:t xml:space="preserve">ker je bil gensko spremenjeni bombaž razvit zato, da je odporen na </w:t>
      </w:r>
      <w:proofErr w:type="spellStart"/>
      <w:r w:rsidRPr="00B2564F">
        <w:t>glufosinat</w:t>
      </w:r>
      <w:proofErr w:type="spellEnd"/>
      <w:r w:rsidRPr="00B2564F">
        <w:t xml:space="preserve"> in glifosat; </w:t>
      </w:r>
    </w:p>
    <w:bookmarkEnd w:id="10"/>
    <w:p w14:paraId="223FB8EE" w14:textId="77777777" w:rsidR="006A1250" w:rsidRPr="00B2564F" w:rsidRDefault="006A1250" w:rsidP="006A1250">
      <w:pPr>
        <w:pStyle w:val="NormalHanging12a"/>
      </w:pPr>
      <w:r w:rsidRPr="00B2564F">
        <w:t>E.</w:t>
      </w:r>
      <w:r w:rsidRPr="00B2564F">
        <w:tab/>
        <w:t>ker ocene tveganja, ki jih je izvedla agencija EFSA, niso vključevale dolgoročnih toksikoloških študij ali podrobne analize kumulativnih in kombiniranih učinkov, vključno z morebitnimi medsebojnimi vplivi z ostanki pesticidov, ki se običajno uporabljajo pri gojenju bombaža;</w:t>
      </w:r>
    </w:p>
    <w:p w14:paraId="01A646E0" w14:textId="77777777" w:rsidR="006A1250" w:rsidRPr="00B2564F" w:rsidRDefault="006A1250" w:rsidP="006A1250">
      <w:pPr>
        <w:pStyle w:val="NormalHanging12a"/>
        <w:rPr>
          <w:color w:val="000000" w:themeColor="text1"/>
        </w:rPr>
      </w:pPr>
      <w:r w:rsidRPr="00B2564F">
        <w:rPr>
          <w:color w:val="000000" w:themeColor="text1"/>
        </w:rPr>
        <w:t>F.</w:t>
      </w:r>
      <w:r w:rsidRPr="00B2564F">
        <w:rPr>
          <w:color w:val="000000" w:themeColor="text1"/>
        </w:rPr>
        <w:tab/>
      </w:r>
      <w:r w:rsidRPr="00B2564F">
        <w:t xml:space="preserve">ker je bila velika večina gensko spremenjenih kmetijskih rastlin, vključno z gensko spremenjenim bombažem, gensko spremenjena tako, da so odporne proti enemu ali več komplementarnim herbicidom, ki se lahko uporabljajo skozi ves čas gojenja teh rastlin, ne da bi te odmrle, kot bi se zgodilo s kmetijskimi rastlinami, ki niso odporne proti herbicidom; </w:t>
      </w:r>
      <w:r w:rsidRPr="00B2564F">
        <w:rPr>
          <w:color w:val="000000" w:themeColor="text1"/>
        </w:rPr>
        <w:t xml:space="preserve">ker je iz številnih študij razvidno, da se pri gojenju gensko spremenjenih kmetijskih rastlin, odpornih proti herbicidom, uporabi več komplementarnih herbicidov, </w:t>
      </w:r>
      <w:r w:rsidRPr="00B2564F">
        <w:rPr>
          <w:color w:val="000000" w:themeColor="text1"/>
        </w:rPr>
        <w:lastRenderedPageBreak/>
        <w:t>zlasti zaradi pojavljanja plevelov, odpornih proti herbicidom</w:t>
      </w:r>
      <w:r w:rsidRPr="00B2564F">
        <w:rPr>
          <w:rStyle w:val="FootnoteReference"/>
          <w:color w:val="000000" w:themeColor="text1"/>
          <w:szCs w:val="24"/>
        </w:rPr>
        <w:footnoteReference w:id="7"/>
      </w:r>
      <w:r w:rsidRPr="00B2564F">
        <w:rPr>
          <w:color w:val="000000" w:themeColor="text1"/>
        </w:rPr>
        <w:t>;</w:t>
      </w:r>
    </w:p>
    <w:p w14:paraId="62F9ACA1" w14:textId="77777777" w:rsidR="006A1250" w:rsidRPr="00B2564F" w:rsidRDefault="006A1250" w:rsidP="006A1250">
      <w:pPr>
        <w:spacing w:after="240"/>
        <w:ind w:left="567" w:hanging="567"/>
        <w:rPr>
          <w:color w:val="000000" w:themeColor="text1"/>
        </w:rPr>
      </w:pPr>
      <w:r w:rsidRPr="00B2564F">
        <w:t>G.</w:t>
      </w:r>
      <w:r w:rsidRPr="00B2564F">
        <w:tab/>
        <w:t>ker gensko spremenjene kmetijske rastline, odporne proti herbicidom, kmete vežejo na sistem za zatiranje plevela, ki je v veliki meri ali celo povsem odvisen od herbicidov, in sicer tako, da se kmetom zaračuna premija za gensko spremenjena semena, kar se jim splača samo, če uporabljajo tudi komplementarne herbicide;</w:t>
      </w:r>
      <w:r w:rsidRPr="00B2564F">
        <w:rPr>
          <w:color w:val="000000" w:themeColor="text1"/>
        </w:rPr>
        <w:t xml:space="preserve"> ker bo večja odvisnost od komplementarnih herbicidov na kmetijah, ki gojijo gensko spremenjeni bombaž, pospešila nastajanje in širjenje plevela, odpornega proti tem herbicidom, to pa bo sprožilo potrebo po še večji stalni uporabi herbicidov, kar vodi v začaran krog; ker bodo škodljivi učinki pretirane odvisnosti od herbicidov poslabšali zdravje tal, kakovost vode ter nadzemno in podzemno biotsko raznovrstnost, ta odvisnost pa bo privedla tudi do večje izpostavljenosti ljudi in živali herbicidom, po možnosti tudi zaradi povečanih količin njihovih ostankov na živilih in krmi</w:t>
      </w:r>
      <w:r w:rsidRPr="00B2564F">
        <w:rPr>
          <w:rStyle w:val="FootnoteReference"/>
          <w:color w:val="000000" w:themeColor="text1"/>
        </w:rPr>
        <w:footnoteReference w:id="8"/>
      </w:r>
      <w:r w:rsidRPr="00B2564F">
        <w:rPr>
          <w:color w:val="000000" w:themeColor="text1"/>
        </w:rPr>
        <w:t>;</w:t>
      </w:r>
    </w:p>
    <w:p w14:paraId="1F60919B" w14:textId="77777777" w:rsidR="006A1250" w:rsidRPr="00B2564F" w:rsidRDefault="006A1250" w:rsidP="006A1250">
      <w:pPr>
        <w:pStyle w:val="NormalWeb"/>
        <w:widowControl w:val="0"/>
        <w:spacing w:before="0" w:beforeAutospacing="0" w:after="240" w:afterAutospacing="0"/>
        <w:ind w:left="567" w:hanging="567"/>
      </w:pPr>
      <w:r w:rsidRPr="00B2564F">
        <w:t>H.</w:t>
      </w:r>
      <w:r w:rsidRPr="00B2564F">
        <w:tab/>
        <w:t xml:space="preserve">ker je </w:t>
      </w:r>
      <w:proofErr w:type="spellStart"/>
      <w:r w:rsidRPr="00B2564F">
        <w:t>glufosinat</w:t>
      </w:r>
      <w:proofErr w:type="spellEnd"/>
      <w:r w:rsidRPr="00B2564F">
        <w:t xml:space="preserve"> razvrščen kot strupen za razmnoževanje iz skupine 1B in zato izpolnjuje merila za izločitev iz Uredbe (ES) št. 1107/2009 Evropskega parlamenta in Sveta</w:t>
      </w:r>
      <w:r w:rsidRPr="00B2564F">
        <w:rPr>
          <w:rStyle w:val="FootnoteReference"/>
        </w:rPr>
        <w:footnoteReference w:id="9"/>
      </w:r>
      <w:r w:rsidRPr="00B2564F">
        <w:t xml:space="preserve">; ker je veljavnost odobritve </w:t>
      </w:r>
      <w:proofErr w:type="spellStart"/>
      <w:r w:rsidRPr="00B2564F">
        <w:t>glufosinata</w:t>
      </w:r>
      <w:proofErr w:type="spellEnd"/>
      <w:r w:rsidRPr="00B2564F">
        <w:t xml:space="preserve"> za uporabo v Uniji potekla 31. julija 2018;</w:t>
      </w:r>
    </w:p>
    <w:p w14:paraId="56BEA293" w14:textId="77777777" w:rsidR="006A1250" w:rsidRPr="00B2564F" w:rsidRDefault="006A1250" w:rsidP="006A1250">
      <w:pPr>
        <w:pStyle w:val="NormalHanging12a"/>
      </w:pPr>
      <w:r w:rsidRPr="00B2564F">
        <w:t>I.</w:t>
      </w:r>
      <w:r w:rsidRPr="00B2564F">
        <w:tab/>
        <w:t>ker še vedno obstajajo resni pomisleki glede rakotvornosti glifosata; ker je agencija EFSA novembra 2015 sklenila, da glifosat verjetno ni rakotvoren, Evropska agencija za kemikalije pa je marca 2017 sklenila, da njegova razvrstitev med rakotvorne snovi ni utemeljena; ker je po drugi strani Mednarodna agencija za raziskave raka, specializirana agencija Svetovne zdravstvene organizacije, leta 2015 glifosat razvrstila med snovi, ki verjetno povzročajo raka pri ljudeh; ker več najnovejših strokovno pregledanih znanstvenih študij potrjuje rakotvornost glifosata</w:t>
      </w:r>
      <w:r w:rsidRPr="00B2564F">
        <w:rPr>
          <w:rStyle w:val="FootnoteReference"/>
        </w:rPr>
        <w:footnoteReference w:id="10"/>
      </w:r>
      <w:r w:rsidRPr="00B2564F">
        <w:t xml:space="preserve">; </w:t>
      </w:r>
      <w:bookmarkStart w:id="12" w:name="_Hlk218688545"/>
      <w:r w:rsidRPr="00B2564F">
        <w:t xml:space="preserve">ker je revija </w:t>
      </w:r>
      <w:proofErr w:type="spellStart"/>
      <w:r w:rsidRPr="00B2564F">
        <w:t>Regulatory</w:t>
      </w:r>
      <w:proofErr w:type="spellEnd"/>
      <w:r w:rsidRPr="00B2564F">
        <w:t xml:space="preserve"> </w:t>
      </w:r>
      <w:proofErr w:type="spellStart"/>
      <w:r w:rsidRPr="00B2564F">
        <w:t>Toxicology</w:t>
      </w:r>
      <w:proofErr w:type="spellEnd"/>
      <w:r w:rsidRPr="00B2564F">
        <w:t xml:space="preserve"> and </w:t>
      </w:r>
      <w:proofErr w:type="spellStart"/>
      <w:r w:rsidRPr="00B2564F">
        <w:t>Pharmacology</w:t>
      </w:r>
      <w:proofErr w:type="spellEnd"/>
      <w:r w:rsidRPr="00B2564F">
        <w:t xml:space="preserve"> uradno umaknila znanstveni članek „</w:t>
      </w:r>
      <w:proofErr w:type="spellStart"/>
      <w:r w:rsidRPr="00B2564F">
        <w:t>Safety</w:t>
      </w:r>
      <w:proofErr w:type="spellEnd"/>
      <w:r w:rsidRPr="00B2564F">
        <w:t xml:space="preserve"> </w:t>
      </w:r>
      <w:proofErr w:type="spellStart"/>
      <w:r w:rsidRPr="00B2564F">
        <w:t>Evaluation</w:t>
      </w:r>
      <w:proofErr w:type="spellEnd"/>
      <w:r w:rsidRPr="00B2564F">
        <w:t xml:space="preserve"> and </w:t>
      </w:r>
      <w:proofErr w:type="spellStart"/>
      <w:r w:rsidRPr="00B2564F">
        <w:t>Risk</w:t>
      </w:r>
      <w:proofErr w:type="spellEnd"/>
      <w:r w:rsidRPr="00B2564F">
        <w:t xml:space="preserve"> </w:t>
      </w:r>
      <w:proofErr w:type="spellStart"/>
      <w:r w:rsidRPr="00B2564F">
        <w:t>Assessment</w:t>
      </w:r>
      <w:proofErr w:type="spellEnd"/>
      <w:r w:rsidRPr="00B2564F">
        <w:t xml:space="preserve"> of the Herbicide </w:t>
      </w:r>
      <w:proofErr w:type="spellStart"/>
      <w:r w:rsidRPr="00B2564F">
        <w:t>Roundup</w:t>
      </w:r>
      <w:proofErr w:type="spellEnd"/>
      <w:r w:rsidRPr="00B2564F">
        <w:t xml:space="preserve"> and </w:t>
      </w:r>
      <w:proofErr w:type="spellStart"/>
      <w:r w:rsidRPr="00B2564F">
        <w:t>Its</w:t>
      </w:r>
      <w:proofErr w:type="spellEnd"/>
      <w:r w:rsidRPr="00B2564F">
        <w:t xml:space="preserve"> </w:t>
      </w:r>
      <w:proofErr w:type="spellStart"/>
      <w:r w:rsidRPr="00B2564F">
        <w:t>Active</w:t>
      </w:r>
      <w:proofErr w:type="spellEnd"/>
      <w:r w:rsidRPr="00B2564F">
        <w:t xml:space="preserve"> </w:t>
      </w:r>
      <w:proofErr w:type="spellStart"/>
      <w:r w:rsidRPr="00B2564F">
        <w:t>Ingredient</w:t>
      </w:r>
      <w:proofErr w:type="spellEnd"/>
      <w:r w:rsidRPr="00B2564F">
        <w:t xml:space="preserve">, </w:t>
      </w:r>
      <w:proofErr w:type="spellStart"/>
      <w:r w:rsidRPr="00B2564F">
        <w:t>Glyphosate</w:t>
      </w:r>
      <w:proofErr w:type="spellEnd"/>
      <w:r w:rsidRPr="00B2564F">
        <w:t xml:space="preserve">, for </w:t>
      </w:r>
      <w:proofErr w:type="spellStart"/>
      <w:r w:rsidRPr="00B2564F">
        <w:t>Humans</w:t>
      </w:r>
      <w:proofErr w:type="spellEnd"/>
      <w:r w:rsidRPr="00B2564F">
        <w:rPr>
          <w:shd w:val="clear" w:color="auto" w:fill="FFFFFF"/>
        </w:rPr>
        <w:t>“</w:t>
      </w:r>
      <w:r w:rsidRPr="00B2564F">
        <w:t>, objavljen leta 2000, ki je bil v številnih ocenah tveganja uporabljen kot dokaz za varnost glifosata, saj so bili izraženi pomisleki glede avtorstva članka, veljavnosti ugotovitev raziskav v okviru napačnega prikazovanja prispevkov avtorjev in sponzorja študije ter morebitnih navzkrižij interesov avtorjev</w:t>
      </w:r>
      <w:r w:rsidRPr="00B2564F">
        <w:rPr>
          <w:rStyle w:val="FootnoteReference"/>
        </w:rPr>
        <w:footnoteReference w:id="11"/>
      </w:r>
      <w:r w:rsidRPr="00B2564F">
        <w:t>;</w:t>
      </w:r>
      <w:bookmarkEnd w:id="12"/>
    </w:p>
    <w:p w14:paraId="6A6FD53D" w14:textId="77777777" w:rsidR="006A1250" w:rsidRPr="00B2564F" w:rsidRDefault="006A1250" w:rsidP="006A1250">
      <w:pPr>
        <w:pStyle w:val="NormalHanging12a"/>
      </w:pPr>
      <w:r w:rsidRPr="00B2564F">
        <w:t>J.</w:t>
      </w:r>
      <w:r w:rsidRPr="00B2564F">
        <w:tab/>
        <w:t xml:space="preserve">ker neodvisno spremljanje in nadzor morebitnih škodljivih učinkov na biotsko </w:t>
      </w:r>
      <w:r w:rsidRPr="00B2564F">
        <w:lastRenderedPageBreak/>
        <w:t>raznovrstnost, zdravje tal, opraševalce in neciljne organizme še vedno nista dovolj zagotovljena;</w:t>
      </w:r>
    </w:p>
    <w:p w14:paraId="5F547E51" w14:textId="77777777" w:rsidR="006A1250" w:rsidRPr="00B2564F" w:rsidRDefault="006A1250" w:rsidP="006A1250">
      <w:pPr>
        <w:spacing w:after="240"/>
        <w:ind w:left="567" w:hanging="567"/>
      </w:pPr>
      <w:r w:rsidRPr="00B2564F">
        <w:t>K.</w:t>
      </w:r>
      <w:r w:rsidRPr="00B2564F">
        <w:tab/>
        <w:t>ker bi se moralo previdnostno načelo, ki je zapisano v členu 191 Pogodbe o delovanju Evropske unije, uporabljati v primerih znanstvene negotovosti;</w:t>
      </w:r>
    </w:p>
    <w:p w14:paraId="477EDE9D" w14:textId="77777777" w:rsidR="006A1250" w:rsidRPr="00B2564F" w:rsidRDefault="006A1250" w:rsidP="006A1250">
      <w:pPr>
        <w:spacing w:after="240"/>
        <w:ind w:left="567" w:hanging="567"/>
      </w:pPr>
      <w:r w:rsidRPr="00B2564F">
        <w:t>L.</w:t>
      </w:r>
      <w:r w:rsidRPr="00B2564F">
        <w:tab/>
        <w:t>ker se v Uredbi (ES) št. 1829/2003 zahteva, da gensko spremenjena živila in krma ne smejo škodljivo učinkovati na zdravje ljudi, zdravje živali ali okolje;</w:t>
      </w:r>
    </w:p>
    <w:p w14:paraId="692F0A2B" w14:textId="77777777" w:rsidR="006A1250" w:rsidRPr="00B2564F" w:rsidRDefault="006A1250" w:rsidP="006A1250">
      <w:pPr>
        <w:pStyle w:val="NormalWeb"/>
        <w:widowControl w:val="0"/>
        <w:spacing w:before="0" w:beforeAutospacing="0" w:after="240" w:afterAutospacing="0"/>
        <w:ind w:left="567" w:hanging="567"/>
      </w:pPr>
      <w:r w:rsidRPr="00B2564F">
        <w:t>M.</w:t>
      </w:r>
      <w:r w:rsidRPr="00B2564F">
        <w:tab/>
        <w:t>ker obnovitev odobritve gensko spremenjenega bombaža s strani Unije ne bi bila v skladu z mednarodnimi zavezami o zmanjšanju uporabe pesticidov</w:t>
      </w:r>
      <w:r w:rsidRPr="00B2564F">
        <w:rPr>
          <w:vertAlign w:val="superscript"/>
        </w:rPr>
        <w:footnoteReference w:id="12"/>
      </w:r>
      <w:r w:rsidRPr="00B2564F">
        <w:t xml:space="preserve">, saj so ravno v državah, v katerih gojijo gensko spremenjene poljščine, odporne proti herbicidom, ljudje in okolje bolj izpostavljeni glifosatu in </w:t>
      </w:r>
      <w:proofErr w:type="spellStart"/>
      <w:r w:rsidRPr="00B2564F">
        <w:t>glufosinatu</w:t>
      </w:r>
      <w:proofErr w:type="spellEnd"/>
      <w:r w:rsidRPr="00B2564F">
        <w:t>, pa tudi potencialno resnim zdravstvenim posledicam;</w:t>
      </w:r>
    </w:p>
    <w:p w14:paraId="4CA60B5B" w14:textId="77777777" w:rsidR="006A1250" w:rsidRPr="00B2564F" w:rsidRDefault="006A1250" w:rsidP="006A1250">
      <w:pPr>
        <w:spacing w:after="240"/>
        <w:ind w:left="567" w:hanging="567"/>
      </w:pPr>
      <w:r w:rsidRPr="00B2564F">
        <w:t>N.</w:t>
      </w:r>
      <w:r w:rsidRPr="00B2564F">
        <w:tab/>
        <w:t>ker bi izvedbeni sklep Komisije še naprej omogočal uvoz proizvodov v Unijo, ki ne izpolnjujejo standardov, ki jih upoštevajo kmetje Unije, kar bi jih postavilo v slabši konkurenčni položaj;</w:t>
      </w:r>
    </w:p>
    <w:p w14:paraId="190E85F1" w14:textId="77777777" w:rsidR="006A1250" w:rsidRPr="00B2564F" w:rsidRDefault="006A1250" w:rsidP="006A1250">
      <w:pPr>
        <w:spacing w:after="240"/>
        <w:ind w:left="567" w:hanging="567"/>
      </w:pPr>
      <w:r w:rsidRPr="00B2564F">
        <w:t>O.</w:t>
      </w:r>
      <w:r w:rsidRPr="00B2564F">
        <w:tab/>
        <w:t>ker je Komisija v sklepih strateškega dialoga o prihodnosti kmetijstva v EU</w:t>
      </w:r>
      <w:r w:rsidRPr="00B2564F">
        <w:rPr>
          <w:rStyle w:val="FootnoteReference"/>
        </w:rPr>
        <w:footnoteReference w:id="13"/>
      </w:r>
      <w:r w:rsidRPr="00B2564F">
        <w:t xml:space="preserve"> pozvana, naj ponovno oceni svoj pristop v zvezi z dostopom do trga za uvoz in izvoz agroživilskih proizvodov, saj razlike v standardih Unije in njenih trgovinskih partnerjev pomenijo velik izziv; ker so bili pravičnejši trgovinski odnosi na svetovni ravni, skladni s cilji za zdravo okolje, ena od glavnih zahtev kmetov na protestih v letih 2023, 2024 in 2025;</w:t>
      </w:r>
    </w:p>
    <w:p w14:paraId="5D3526E5" w14:textId="77777777" w:rsidR="006A1250" w:rsidRPr="00B2564F" w:rsidRDefault="006A1250" w:rsidP="006A1250">
      <w:pPr>
        <w:spacing w:after="240"/>
        <w:ind w:left="567" w:hanging="567"/>
      </w:pPr>
      <w:r w:rsidRPr="00B2564F">
        <w:t>P.</w:t>
      </w:r>
      <w:r w:rsidRPr="00B2564F">
        <w:tab/>
        <w:t>ker je Parlament večkrat poudaril, da Komisija ne bi smela odobriti gensko spremenjenih organizmov v primerih, ko države članice v Stalnem odboru za rastline, živali, hrano in krmo ali odboru za pritožbe ne dosežejo kvalificirane večine, da bi odpravili vztrajni demokratični primanjkljaj;</w:t>
      </w:r>
    </w:p>
    <w:p w14:paraId="5B220FCF" w14:textId="77777777" w:rsidR="006A1250" w:rsidRPr="00B2564F" w:rsidRDefault="006A1250" w:rsidP="006A1250">
      <w:pPr>
        <w:pStyle w:val="NormalWeb"/>
        <w:widowControl w:val="0"/>
        <w:shd w:val="clear" w:color="auto" w:fill="FFFFFF"/>
        <w:spacing w:before="0" w:beforeAutospacing="0" w:after="240" w:afterAutospacing="0"/>
        <w:ind w:left="567" w:hanging="567"/>
        <w:rPr>
          <w:color w:val="000000" w:themeColor="text1"/>
        </w:rPr>
      </w:pPr>
      <w:r w:rsidRPr="00B2564F">
        <w:rPr>
          <w:color w:val="000000" w:themeColor="text1"/>
        </w:rPr>
        <w:t>Q.</w:t>
      </w:r>
      <w:r w:rsidRPr="00B2564F">
        <w:rPr>
          <w:color w:val="000000" w:themeColor="text1"/>
        </w:rPr>
        <w:tab/>
        <w:t>ker je Komisija sama priznala demokratični primanjkljaj, odsotnost podpore držav članic in nasprotovanje Parlamenta, a vseeno še naprej sprejema odobritve za gensko spremenjene organizme;</w:t>
      </w:r>
    </w:p>
    <w:p w14:paraId="44C55243" w14:textId="77777777" w:rsidR="006A1250" w:rsidRPr="00B2564F" w:rsidRDefault="006A1250" w:rsidP="006A1250">
      <w:pPr>
        <w:spacing w:after="240"/>
        <w:ind w:left="567" w:hanging="567"/>
      </w:pPr>
      <w:r w:rsidRPr="00B2564F">
        <w:t>R.</w:t>
      </w:r>
      <w:r w:rsidRPr="00B2564F">
        <w:tab/>
        <w:t>ker pristop „eno zdravje“ zahteva, da se pri ocenjevanju dolgoročne trajnosti in varnosti gensko spremenjenih organizmov upošteva medsebojna odvisnost zdravja ljudi, živali, rastlin in okolja;</w:t>
      </w:r>
    </w:p>
    <w:p w14:paraId="60F1BAEA" w14:textId="77777777" w:rsidR="006A1250" w:rsidRPr="00B2564F" w:rsidRDefault="006A1250" w:rsidP="006A1250">
      <w:pPr>
        <w:pStyle w:val="NormalHanging12a"/>
      </w:pPr>
      <w:r w:rsidRPr="00B2564F">
        <w:t>1.</w:t>
      </w:r>
      <w:r w:rsidRPr="00B2564F">
        <w:tab/>
        <w:t>meni, da osnutek izvedbenega sklepa Komisije presega izvedbena pooblastila, določena v Uredbi (ES) št. 1829/2003;</w:t>
      </w:r>
    </w:p>
    <w:p w14:paraId="349C9666" w14:textId="77777777" w:rsidR="006A1250" w:rsidRPr="00B2564F" w:rsidRDefault="006A1250" w:rsidP="006A1250">
      <w:pPr>
        <w:pStyle w:val="NormalHanging12a"/>
      </w:pPr>
      <w:bookmarkStart w:id="13" w:name="_Hlk218675825"/>
      <w:r w:rsidRPr="00B2564F">
        <w:t>2.</w:t>
      </w:r>
      <w:r w:rsidRPr="00B2564F">
        <w:tab/>
        <w:t xml:space="preserve">meni, da osnutek izvedbenega sklepa Komisije ni v skladu s pravom Unije, saj ni združljiv s ciljem Uredbe (ES) št. 1829/2003, namreč da se v skladu s splošnimi načeli </w:t>
      </w:r>
      <w:r w:rsidRPr="00B2564F">
        <w:lastRenderedPageBreak/>
        <w:t>iz Uredbe (ES) št. 178/2002 Evropskega parlamenta in Sveta</w:t>
      </w:r>
      <w:r w:rsidRPr="00B2564F">
        <w:rPr>
          <w:vertAlign w:val="superscript"/>
        </w:rPr>
        <w:footnoteReference w:id="14"/>
      </w:r>
      <w:r w:rsidRPr="00B2564F">
        <w:t xml:space="preserve"> omogoči visoka raven varovanja življenja in zdravja ljudi, zdravja in zaščite živali ter okoljskih interesov in interesov potrošnikov v zvezi z gensko spremenjenimi živili in krmo, ob hkratnem zagotavljanju nemotenega delovanja notranjega trga; </w:t>
      </w:r>
    </w:p>
    <w:bookmarkEnd w:id="13"/>
    <w:p w14:paraId="76429667" w14:textId="77777777" w:rsidR="006A1250" w:rsidRPr="00B2564F" w:rsidRDefault="006A1250" w:rsidP="006A1250">
      <w:pPr>
        <w:pStyle w:val="NormalHanging12a"/>
      </w:pPr>
      <w:r w:rsidRPr="00B2564F">
        <w:t>3.</w:t>
      </w:r>
      <w:r w:rsidRPr="00B2564F">
        <w:tab/>
        <w:t>poziva Komisijo, naj umakne osnutek izvedbenega sklepa;</w:t>
      </w:r>
    </w:p>
    <w:p w14:paraId="7390D4F7" w14:textId="77777777" w:rsidR="006A1250" w:rsidRPr="00B2564F" w:rsidRDefault="006A1250" w:rsidP="006A1250">
      <w:pPr>
        <w:spacing w:after="240"/>
        <w:ind w:left="567" w:hanging="567"/>
      </w:pPr>
      <w:r w:rsidRPr="00B2564F">
        <w:t>4.</w:t>
      </w:r>
      <w:r w:rsidRPr="00B2564F">
        <w:tab/>
        <w:t>poziva Komisijo, naj v skladu s pristopom „eno zdravje“ ne obnovi odobritve gensko spremenjenega bombaža, saj ni dovolj dokazov o dolgoročnem vplivu na biotsko raznovrstnost, varnost hrane, možnost preživljanja kmetov in zdravje živali;</w:t>
      </w:r>
    </w:p>
    <w:p w14:paraId="16470922" w14:textId="77777777" w:rsidR="006A1250" w:rsidRPr="00B2564F" w:rsidRDefault="006A1250" w:rsidP="006A1250">
      <w:pPr>
        <w:spacing w:after="240"/>
        <w:ind w:left="567" w:hanging="567"/>
      </w:pPr>
      <w:bookmarkStart w:id="14" w:name="_Hlk210900300"/>
      <w:r w:rsidRPr="00B2564F">
        <w:t>5.</w:t>
      </w:r>
      <w:r w:rsidRPr="00B2564F">
        <w:tab/>
        <w:t>poziva Komisijo, naj nemudoma predloži zakonodajni predlog za reformo postopka odločanja o gensko spremenjenih organizmih, da bi se odzvala na stalne ugovore Parlamenta in pomanjkanje podpore kvalificirane večine med državami članicami</w:t>
      </w:r>
      <w:bookmarkEnd w:id="14"/>
      <w:r w:rsidRPr="00B2564F">
        <w:t>;</w:t>
      </w:r>
    </w:p>
    <w:p w14:paraId="3E362B81" w14:textId="77777777" w:rsidR="006A1250" w:rsidRPr="00B2564F" w:rsidRDefault="006A1250" w:rsidP="006A1250">
      <w:pPr>
        <w:spacing w:after="240"/>
        <w:ind w:left="567" w:hanging="567"/>
      </w:pPr>
      <w:bookmarkStart w:id="15" w:name="_Hlk210900241"/>
      <w:r w:rsidRPr="00B2564F">
        <w:t>6.</w:t>
      </w:r>
      <w:r w:rsidRPr="00B2564F">
        <w:tab/>
        <w:t xml:space="preserve">glede tega poudarja, da odobritev uvoza katere koli gensko spremenjene rastline, ki je bila spremenjena tako, da je odporna proti herbicidom, prepovedanim v Uniji, kot je </w:t>
      </w:r>
      <w:proofErr w:type="spellStart"/>
      <w:r w:rsidRPr="00B2564F">
        <w:t>glufosinat</w:t>
      </w:r>
      <w:proofErr w:type="spellEnd"/>
      <w:r w:rsidRPr="00B2564F">
        <w:t xml:space="preserve">, za uporabo v živilih, krmi ali proizvodih ni v skladu z mednarodnimi zavezami Unije, med drugim s Konvencijo OZN o biološki raznovrstnosti in cilji OZN glede trajnostnega razvoja, vključno s </w:t>
      </w:r>
      <w:proofErr w:type="spellStart"/>
      <w:r w:rsidRPr="00B2564F">
        <w:t>Kunminško</w:t>
      </w:r>
      <w:proofErr w:type="spellEnd"/>
      <w:r w:rsidRPr="00B2564F">
        <w:t>-montrealskim okvirom, ter da ustvarja neenake konkurenčne pogoje za kmete Unije;</w:t>
      </w:r>
    </w:p>
    <w:bookmarkEnd w:id="15"/>
    <w:p w14:paraId="73589506" w14:textId="30221F73" w:rsidR="00E365E1" w:rsidRPr="00B2564F" w:rsidRDefault="006A1250" w:rsidP="005A31F4">
      <w:pPr>
        <w:spacing w:after="240"/>
        <w:ind w:left="567" w:hanging="567"/>
      </w:pPr>
      <w:r w:rsidRPr="00B2564F">
        <w:t>7.</w:t>
      </w:r>
      <w:r w:rsidRPr="00B2564F">
        <w:tab/>
        <w:t>naroči svoji predsednici, naj to resolucijo posreduje Svetu in Komisiji ter vladam in parlamentom držav članic.</w:t>
      </w:r>
    </w:p>
    <w:sectPr w:rsidR="00E365E1" w:rsidRPr="00B2564F" w:rsidSect="00B256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609F3" w14:textId="77777777" w:rsidR="001D6DBE" w:rsidRPr="00B2564F" w:rsidRDefault="001D6DBE">
      <w:r w:rsidRPr="00B2564F">
        <w:separator/>
      </w:r>
    </w:p>
  </w:endnote>
  <w:endnote w:type="continuationSeparator" w:id="0">
    <w:p w14:paraId="58190724" w14:textId="77777777" w:rsidR="001D6DBE" w:rsidRPr="00B2564F" w:rsidRDefault="001D6DBE">
      <w:r w:rsidRPr="00B25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5712A" w14:textId="77777777" w:rsidR="00064002" w:rsidRPr="00B256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883FF" w14:textId="77777777" w:rsidR="00064002" w:rsidRPr="00B256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59D9" w14:textId="77777777" w:rsidR="00064002" w:rsidRPr="00B256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BAE5D" w14:textId="77777777" w:rsidR="001D6DBE" w:rsidRPr="00B2564F" w:rsidRDefault="001D6DBE">
      <w:r w:rsidRPr="00B2564F">
        <w:separator/>
      </w:r>
    </w:p>
  </w:footnote>
  <w:footnote w:type="continuationSeparator" w:id="0">
    <w:p w14:paraId="040F34F0" w14:textId="77777777" w:rsidR="001D6DBE" w:rsidRPr="00B2564F" w:rsidRDefault="001D6DBE">
      <w:r w:rsidRPr="00B2564F">
        <w:continuationSeparator/>
      </w:r>
    </w:p>
  </w:footnote>
  <w:footnote w:id="1">
    <w:p w14:paraId="24CB8868" w14:textId="121082B7"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lang w:val="sl-SI"/>
        </w:rPr>
        <w:t xml:space="preserve"> </w:t>
      </w:r>
      <w:r w:rsidR="00B2564F" w:rsidRPr="00B2564F">
        <w:rPr>
          <w:sz w:val="24"/>
          <w:lang w:val="sl-SI"/>
        </w:rPr>
        <w:tab/>
      </w:r>
      <w:r w:rsidRPr="00B2564F">
        <w:rPr>
          <w:sz w:val="24"/>
          <w:lang w:val="sl-SI"/>
        </w:rPr>
        <w:t>UL L 268, 18.10.2003, str. 1, ELI: </w:t>
      </w:r>
      <w:hyperlink r:id="rId1" w:history="1">
        <w:r w:rsidRPr="00B2564F">
          <w:rPr>
            <w:rStyle w:val="Hyperlink"/>
            <w:sz w:val="24"/>
            <w:lang w:val="sl-SI"/>
          </w:rPr>
          <w:t>https://eur-lex.europa.eu/eli/reg/2003/1829/oj</w:t>
        </w:r>
      </w:hyperlink>
      <w:r w:rsidRPr="00B2564F">
        <w:rPr>
          <w:rStyle w:val="Hyperlink"/>
          <w:sz w:val="24"/>
          <w:lang w:val="sl-SI"/>
        </w:rPr>
        <w:t>.</w:t>
      </w:r>
    </w:p>
  </w:footnote>
  <w:footnote w:id="2">
    <w:p w14:paraId="2F3CB7ED" w14:textId="4C31C7F3"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lang w:val="sl-SI"/>
        </w:rPr>
        <w:t xml:space="preserve"> </w:t>
      </w:r>
      <w:r w:rsidR="00B2564F" w:rsidRPr="00B2564F">
        <w:rPr>
          <w:sz w:val="24"/>
          <w:lang w:val="sl-SI"/>
        </w:rPr>
        <w:tab/>
      </w:r>
      <w:r w:rsidRPr="00B2564F">
        <w:rPr>
          <w:sz w:val="24"/>
          <w:lang w:val="sl-SI"/>
        </w:rPr>
        <w:t>UL L 55, 28.2.2011, str. 13, ELI: </w:t>
      </w:r>
      <w:hyperlink r:id="rId2" w:history="1">
        <w:r w:rsidRPr="00B2564F">
          <w:rPr>
            <w:rStyle w:val="Hyperlink"/>
            <w:sz w:val="24"/>
            <w:lang w:val="sl-SI"/>
          </w:rPr>
          <w:t>http://data.europa.eu/eli/reg/2011/182/oj</w:t>
        </w:r>
      </w:hyperlink>
      <w:r w:rsidRPr="00B2564F">
        <w:rPr>
          <w:sz w:val="24"/>
          <w:lang w:val="sl-SI"/>
        </w:rPr>
        <w:t>.</w:t>
      </w:r>
    </w:p>
  </w:footnote>
  <w:footnote w:id="3">
    <w:p w14:paraId="4768D723" w14:textId="705FA8B5" w:rsidR="006A1250" w:rsidRPr="00B2564F" w:rsidRDefault="006A1250" w:rsidP="00B2564F">
      <w:pPr>
        <w:pStyle w:val="FootnoteText"/>
        <w:ind w:left="567" w:hanging="567"/>
        <w:rPr>
          <w:sz w:val="24"/>
          <w:lang w:val="sl-SI"/>
        </w:rPr>
      </w:pPr>
      <w:r w:rsidRPr="00B2564F">
        <w:rPr>
          <w:sz w:val="24"/>
          <w:vertAlign w:val="superscript"/>
          <w:lang w:val="sl-SI"/>
        </w:rPr>
        <w:footnoteRef/>
      </w:r>
      <w:bookmarkStart w:id="8" w:name="_Hlk167202528"/>
      <w:r w:rsidR="00B2564F" w:rsidRPr="00B2564F">
        <w:rPr>
          <w:sz w:val="24"/>
          <w:lang w:val="sl-SI"/>
        </w:rPr>
        <w:t xml:space="preserve"> </w:t>
      </w:r>
      <w:r w:rsidR="00B2564F" w:rsidRPr="00B2564F">
        <w:rPr>
          <w:sz w:val="24"/>
          <w:lang w:val="sl-SI"/>
        </w:rPr>
        <w:tab/>
      </w:r>
      <w:r w:rsidRPr="00B2564F">
        <w:rPr>
          <w:sz w:val="24"/>
          <w:lang w:val="sl-SI"/>
        </w:rPr>
        <w:t xml:space="preserve">Znanstveno mnenje odbora EFSA o gensko spremenjenih organizmih o oceni gensko spremenjenega bombaža GHB614 × LLCotton25 za obnovitev odobritve v skladu z Uredbo (ES) št. 1829/2003 (zadeva GMFF-2024-21890); </w:t>
      </w:r>
      <w:r w:rsidRPr="00B2564F">
        <w:rPr>
          <w:i/>
          <w:sz w:val="24"/>
          <w:lang w:val="sl-SI"/>
        </w:rPr>
        <w:t>EFSA Journal</w:t>
      </w:r>
      <w:r w:rsidRPr="00B2564F">
        <w:rPr>
          <w:sz w:val="24"/>
          <w:lang w:val="sl-SI"/>
        </w:rPr>
        <w:t xml:space="preserve"> 2025, 23(8):e9572,</w:t>
      </w:r>
      <w:bookmarkEnd w:id="8"/>
      <w:r w:rsidRPr="00B2564F">
        <w:rPr>
          <w:sz w:val="24"/>
          <w:lang w:val="sl-SI"/>
        </w:rPr>
        <w:t xml:space="preserve"> </w:t>
      </w:r>
      <w:hyperlink r:id="rId3" w:history="1">
        <w:r w:rsidRPr="00B2564F">
          <w:rPr>
            <w:rStyle w:val="Hyperlink"/>
            <w:sz w:val="24"/>
            <w:lang w:val="sl-SI"/>
          </w:rPr>
          <w:t>https://doi.org/10.2903/j.efsa.2025.9572</w:t>
        </w:r>
      </w:hyperlink>
      <w:r w:rsidRPr="00B2564F">
        <w:rPr>
          <w:sz w:val="24"/>
          <w:lang w:val="sl-SI"/>
        </w:rPr>
        <w:t xml:space="preserve">. </w:t>
      </w:r>
    </w:p>
  </w:footnote>
  <w:footnote w:id="4">
    <w:p w14:paraId="1C1243F7" w14:textId="1C14FB46" w:rsidR="006A1250" w:rsidRPr="00B2564F" w:rsidRDefault="006A1250" w:rsidP="00B2564F">
      <w:pPr>
        <w:pStyle w:val="FootnoteText"/>
        <w:ind w:left="567" w:hanging="567"/>
        <w:rPr>
          <w:color w:val="000000" w:themeColor="text1"/>
          <w:sz w:val="24"/>
          <w:vertAlign w:val="superscript"/>
          <w:lang w:val="sl-SI"/>
        </w:rPr>
      </w:pPr>
      <w:r w:rsidRPr="00B2564F">
        <w:rPr>
          <w:rStyle w:val="FootnoteReference"/>
          <w:sz w:val="24"/>
          <w:lang w:val="sl-SI"/>
        </w:rPr>
        <w:footnoteRef/>
      </w:r>
      <w:r w:rsidR="00B2564F" w:rsidRPr="00B2564F">
        <w:rPr>
          <w:color w:val="000000" w:themeColor="text1"/>
          <w:sz w:val="24"/>
          <w:lang w:val="sl-SI"/>
        </w:rPr>
        <w:t xml:space="preserve"> </w:t>
      </w:r>
      <w:r w:rsidR="00B2564F" w:rsidRPr="00B2564F">
        <w:rPr>
          <w:color w:val="000000" w:themeColor="text1"/>
          <w:sz w:val="24"/>
          <w:lang w:val="sl-SI"/>
        </w:rPr>
        <w:tab/>
      </w:r>
      <w:r w:rsidRPr="00B2564F">
        <w:rPr>
          <w:color w:val="000000" w:themeColor="text1"/>
          <w:sz w:val="24"/>
          <w:lang w:val="sl-SI"/>
        </w:rPr>
        <w:t>Parlament je v osmem zakonodajnem obdobju sprejel 36 resolucij, v katerih je nasprotoval odobritvi gensko spremenjenih organizmov, v devetem pa 38. Poleg tega je v desetem zakonodajnem obdobju sprejel še naslednje resolucije:</w:t>
      </w:r>
    </w:p>
    <w:p w14:paraId="03C623F0" w14:textId="332DB153" w:rsidR="006A1250" w:rsidRPr="00B2564F" w:rsidRDefault="00B2564F" w:rsidP="00B2564F">
      <w:pPr>
        <w:pStyle w:val="FootnoteText"/>
        <w:ind w:left="567" w:hanging="567"/>
        <w:rPr>
          <w:color w:val="000000" w:themeColor="text1"/>
          <w:sz w:val="24"/>
          <w:vertAlign w:val="superscript"/>
          <w:lang w:val="sl-SI"/>
        </w:rPr>
      </w:pPr>
      <w:r w:rsidRPr="00B2564F">
        <w:rPr>
          <w:color w:val="000000" w:themeColor="text1"/>
          <w:sz w:val="24"/>
          <w:lang w:val="sl-SI"/>
        </w:rPr>
        <w:t xml:space="preserve"> </w:t>
      </w:r>
      <w:r w:rsidRPr="00B2564F">
        <w:rPr>
          <w:color w:val="000000" w:themeColor="text1"/>
          <w:sz w:val="24"/>
          <w:lang w:val="sl-SI"/>
        </w:rPr>
        <w:tab/>
      </w:r>
      <w:r w:rsidR="006A1250" w:rsidRPr="00B2564F">
        <w:rPr>
          <w:color w:val="000000" w:themeColor="text1"/>
          <w:sz w:val="24"/>
          <w:lang w:val="sl-SI"/>
        </w:rPr>
        <w:t>–</w:t>
      </w:r>
      <w:r w:rsidR="006A1250" w:rsidRPr="00B2564F">
        <w:rPr>
          <w:color w:val="000000" w:themeColor="text1"/>
          <w:sz w:val="24"/>
          <w:lang w:val="sl-SI"/>
        </w:rPr>
        <w:tab/>
        <w:t>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4.4.2025, ELI: </w:t>
      </w:r>
      <w:hyperlink r:id="rId4" w:history="1">
        <w:r w:rsidR="006A1250" w:rsidRPr="00B2564F">
          <w:rPr>
            <w:rStyle w:val="Hyperlink"/>
            <w:sz w:val="24"/>
            <w:lang w:val="sl-SI"/>
          </w:rPr>
          <w:t>http://data.europa.eu/eli/C/2025/1797/oj</w:t>
        </w:r>
      </w:hyperlink>
      <w:r w:rsidR="006A1250" w:rsidRPr="00B2564F">
        <w:rPr>
          <w:color w:val="000000" w:themeColor="text1"/>
          <w:sz w:val="24"/>
          <w:lang w:val="sl-SI"/>
        </w:rPr>
        <w:t>);</w:t>
      </w:r>
    </w:p>
    <w:p w14:paraId="635D736B" w14:textId="2BC5B6F8" w:rsidR="006A1250" w:rsidRPr="00B2564F" w:rsidRDefault="00B2564F" w:rsidP="00B2564F">
      <w:pPr>
        <w:pStyle w:val="FootnoteText"/>
        <w:keepNext/>
        <w:ind w:left="567" w:hanging="567"/>
        <w:rPr>
          <w:color w:val="000000" w:themeColor="text1"/>
          <w:sz w:val="24"/>
          <w:vertAlign w:val="superscript"/>
          <w:lang w:val="sl-SI"/>
        </w:rPr>
      </w:pPr>
      <w:r w:rsidRPr="00B2564F">
        <w:rPr>
          <w:color w:val="000000" w:themeColor="text1"/>
          <w:sz w:val="24"/>
          <w:lang w:val="sl-SI"/>
        </w:rPr>
        <w:t xml:space="preserve"> </w:t>
      </w:r>
      <w:r w:rsidRPr="00B2564F">
        <w:rPr>
          <w:color w:val="000000" w:themeColor="text1"/>
          <w:sz w:val="24"/>
          <w:lang w:val="sl-SI"/>
        </w:rPr>
        <w:tab/>
      </w:r>
      <w:r w:rsidR="006A1250" w:rsidRPr="00B2564F">
        <w:rPr>
          <w:color w:val="000000" w:themeColor="text1"/>
          <w:sz w:val="24"/>
          <w:lang w:val="sl-SI"/>
        </w:rPr>
        <w:t>–</w:t>
      </w:r>
      <w:r w:rsidR="006A1250" w:rsidRPr="00B2564F">
        <w:rPr>
          <w:color w:val="000000" w:themeColor="text1"/>
          <w:sz w:val="24"/>
          <w:lang w:val="sl-SI"/>
        </w:rPr>
        <w:tab/>
        <w:t>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5" w:history="1">
        <w:r w:rsidR="006A1250" w:rsidRPr="00B2564F">
          <w:rPr>
            <w:rStyle w:val="Hyperlink"/>
            <w:sz w:val="24"/>
            <w:lang w:val="sl-SI"/>
          </w:rPr>
          <w:t>http://data.europa.eu/eli/C/2025/1798/oj</w:t>
        </w:r>
      </w:hyperlink>
      <w:r w:rsidR="006A1250" w:rsidRPr="00B2564F">
        <w:rPr>
          <w:color w:val="000000" w:themeColor="text1"/>
          <w:sz w:val="24"/>
          <w:lang w:val="sl-SI"/>
        </w:rPr>
        <w:t>);</w:t>
      </w:r>
    </w:p>
    <w:p w14:paraId="1321C9C8" w14:textId="0348DA79" w:rsidR="006A1250" w:rsidRPr="00B2564F" w:rsidRDefault="00B2564F" w:rsidP="00B2564F">
      <w:pPr>
        <w:pStyle w:val="FootnoteText"/>
        <w:ind w:left="567" w:hanging="567"/>
        <w:rPr>
          <w:color w:val="000000" w:themeColor="text1"/>
          <w:sz w:val="24"/>
          <w:vertAlign w:val="superscript"/>
          <w:lang w:val="sl-SI"/>
        </w:rPr>
      </w:pPr>
      <w:r w:rsidRPr="00B2564F">
        <w:rPr>
          <w:color w:val="000000" w:themeColor="text1"/>
          <w:sz w:val="24"/>
          <w:lang w:val="sl-SI"/>
        </w:rPr>
        <w:t xml:space="preserve"> </w:t>
      </w:r>
      <w:r w:rsidRPr="00B2564F">
        <w:rPr>
          <w:color w:val="000000" w:themeColor="text1"/>
          <w:sz w:val="24"/>
          <w:lang w:val="sl-SI"/>
        </w:rPr>
        <w:tab/>
      </w:r>
      <w:r w:rsidR="006A1250" w:rsidRPr="00B2564F">
        <w:rPr>
          <w:color w:val="000000" w:themeColor="text1"/>
          <w:sz w:val="24"/>
          <w:lang w:val="sl-SI"/>
        </w:rPr>
        <w:t>–</w:t>
      </w:r>
      <w:r w:rsidR="006A1250" w:rsidRPr="00B2564F">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w:t>
      </w:r>
      <w:proofErr w:type="spellStart"/>
      <w:r w:rsidR="006A1250" w:rsidRPr="00B2564F">
        <w:rPr>
          <w:color w:val="000000" w:themeColor="text1"/>
          <w:sz w:val="24"/>
          <w:lang w:val="sl-SI"/>
        </w:rPr>
        <w:t>podkombinacij</w:t>
      </w:r>
      <w:proofErr w:type="spellEnd"/>
      <w:r w:rsidR="006A1250" w:rsidRPr="00B2564F">
        <w:rPr>
          <w:color w:val="000000" w:themeColor="text1"/>
          <w:sz w:val="24"/>
          <w:lang w:val="sl-SI"/>
        </w:rPr>
        <w:t>, so iz njih sestavljeni ali proizvedeni, v skladu z Uredbo (ES) št. 1829/2003 Evropskega parlamenta in Sveta (UL C, C/2025/1799, 4.4.2025, ELI: </w:t>
      </w:r>
      <w:hyperlink r:id="rId6" w:history="1">
        <w:r w:rsidR="006A1250" w:rsidRPr="00B2564F">
          <w:rPr>
            <w:rStyle w:val="Hyperlink"/>
            <w:sz w:val="24"/>
            <w:lang w:val="sl-SI"/>
          </w:rPr>
          <w:t>http://data.europa.eu/eli/C/2025/1799/oj</w:t>
        </w:r>
      </w:hyperlink>
      <w:r w:rsidR="006A1250" w:rsidRPr="00B2564F">
        <w:rPr>
          <w:color w:val="000000" w:themeColor="text1"/>
          <w:sz w:val="24"/>
          <w:lang w:val="sl-SI"/>
        </w:rPr>
        <w:t>);</w:t>
      </w:r>
    </w:p>
    <w:p w14:paraId="1246C571" w14:textId="0BEBC0D0" w:rsidR="006A1250" w:rsidRPr="00B2564F" w:rsidRDefault="00B2564F" w:rsidP="00B2564F">
      <w:pPr>
        <w:pStyle w:val="FootnoteText"/>
        <w:ind w:left="567" w:hanging="567"/>
        <w:rPr>
          <w:color w:val="000000" w:themeColor="text1"/>
          <w:sz w:val="24"/>
          <w:vertAlign w:val="superscript"/>
          <w:lang w:val="sl-SI"/>
        </w:rPr>
      </w:pPr>
      <w:r w:rsidRPr="00B2564F">
        <w:rPr>
          <w:color w:val="000000" w:themeColor="text1"/>
          <w:sz w:val="24"/>
          <w:lang w:val="sl-SI"/>
        </w:rPr>
        <w:t xml:space="preserve"> </w:t>
      </w:r>
      <w:r w:rsidRPr="00B2564F">
        <w:rPr>
          <w:color w:val="000000" w:themeColor="text1"/>
          <w:sz w:val="24"/>
          <w:lang w:val="sl-SI"/>
        </w:rPr>
        <w:tab/>
      </w:r>
      <w:r w:rsidR="006A1250" w:rsidRPr="00B2564F">
        <w:rPr>
          <w:color w:val="000000" w:themeColor="text1"/>
          <w:sz w:val="24"/>
          <w:lang w:val="sl-SI"/>
        </w:rPr>
        <w:t>–</w:t>
      </w:r>
      <w:r w:rsidR="006A1250" w:rsidRPr="00B2564F">
        <w:rPr>
          <w:color w:val="000000" w:themeColor="text1"/>
          <w:sz w:val="24"/>
          <w:lang w:val="sl-SI"/>
        </w:rPr>
        <w:tab/>
        <w:t>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7" w:history="1">
        <w:r w:rsidR="006A1250" w:rsidRPr="00B2564F">
          <w:rPr>
            <w:rStyle w:val="Hyperlink"/>
            <w:sz w:val="24"/>
            <w:lang w:val="sl-SI"/>
          </w:rPr>
          <w:t>http://data.europa.eu/eli/C/2025/1800/oj</w:t>
        </w:r>
      </w:hyperlink>
      <w:r w:rsidR="006A1250" w:rsidRPr="00B2564F">
        <w:rPr>
          <w:color w:val="000000" w:themeColor="text1"/>
          <w:sz w:val="24"/>
          <w:lang w:val="sl-SI"/>
        </w:rPr>
        <w:t>);</w:t>
      </w:r>
    </w:p>
    <w:p w14:paraId="401133FA" w14:textId="26792E3A" w:rsidR="006A1250" w:rsidRPr="00B2564F" w:rsidRDefault="00B2564F" w:rsidP="00B2564F">
      <w:pPr>
        <w:pStyle w:val="FootnoteText"/>
        <w:ind w:left="567" w:hanging="567"/>
        <w:rPr>
          <w:color w:val="000000" w:themeColor="text1"/>
          <w:sz w:val="24"/>
          <w:vertAlign w:val="superscript"/>
          <w:lang w:val="sl-SI"/>
        </w:rPr>
      </w:pPr>
      <w:r w:rsidRPr="00B2564F">
        <w:rPr>
          <w:color w:val="000000" w:themeColor="text1"/>
          <w:sz w:val="24"/>
          <w:lang w:val="sl-SI"/>
        </w:rPr>
        <w:t xml:space="preserve"> </w:t>
      </w:r>
      <w:r w:rsidRPr="00B2564F">
        <w:rPr>
          <w:color w:val="000000" w:themeColor="text1"/>
          <w:sz w:val="24"/>
          <w:lang w:val="sl-SI"/>
        </w:rPr>
        <w:tab/>
      </w:r>
      <w:r w:rsidR="006A1250" w:rsidRPr="00B2564F">
        <w:rPr>
          <w:color w:val="000000" w:themeColor="text1"/>
          <w:sz w:val="24"/>
          <w:lang w:val="sl-SI"/>
        </w:rPr>
        <w:t>–</w:t>
      </w:r>
      <w:r w:rsidR="006A1250" w:rsidRPr="00B2564F">
        <w:rPr>
          <w:color w:val="000000" w:themeColor="text1"/>
          <w:sz w:val="24"/>
          <w:lang w:val="sl-SI"/>
        </w:rPr>
        <w:tab/>
        <w:t>resolucijo Evropskega parlamenta z dne 26. novembra 2024 o Izvedbenem sklepu Komisije (EU) 2024/1822 o odobritvi dajanja na trg proizvodov, ki vsebujejo gensko spremenjeno koruzo DP915635, so iz njega sestavljeni ali proizvedeni, v skladu z Uredbo (ES) št. 1829/2003 Evropskega parlamenta in Sveta (UL C, C/2025/1801, 4.4.2025, ELI: </w:t>
      </w:r>
      <w:hyperlink r:id="rId8" w:history="1">
        <w:r w:rsidR="006A1250" w:rsidRPr="00B2564F">
          <w:rPr>
            <w:rStyle w:val="Hyperlink"/>
            <w:sz w:val="24"/>
            <w:lang w:val="sl-SI"/>
          </w:rPr>
          <w:t>http://data.europa.eu/eli/C/2025/1801/oj</w:t>
        </w:r>
      </w:hyperlink>
      <w:r w:rsidR="006A1250" w:rsidRPr="00B2564F">
        <w:rPr>
          <w:color w:val="000000" w:themeColor="text1"/>
          <w:sz w:val="24"/>
          <w:lang w:val="sl-SI"/>
        </w:rPr>
        <w:t>);</w:t>
      </w:r>
    </w:p>
    <w:p w14:paraId="6F03D2F0" w14:textId="2243C033" w:rsidR="006A1250" w:rsidRPr="00B2564F" w:rsidRDefault="00B2564F" w:rsidP="00B2564F">
      <w:pPr>
        <w:pStyle w:val="FootnoteText"/>
        <w:ind w:left="567" w:hanging="567"/>
        <w:rPr>
          <w:color w:val="000000" w:themeColor="text1"/>
          <w:sz w:val="24"/>
          <w:vertAlign w:val="superscript"/>
          <w:lang w:val="sl-SI"/>
        </w:rPr>
      </w:pPr>
      <w:r w:rsidRPr="00B2564F">
        <w:rPr>
          <w:color w:val="000000" w:themeColor="text1"/>
          <w:sz w:val="24"/>
          <w:lang w:val="sl-SI"/>
        </w:rPr>
        <w:t xml:space="preserve"> </w:t>
      </w:r>
      <w:r w:rsidRPr="00B2564F">
        <w:rPr>
          <w:color w:val="000000" w:themeColor="text1"/>
          <w:sz w:val="24"/>
          <w:lang w:val="sl-SI"/>
        </w:rPr>
        <w:tab/>
      </w:r>
      <w:r w:rsidR="006A1250" w:rsidRPr="00B2564F">
        <w:rPr>
          <w:color w:val="000000" w:themeColor="text1"/>
          <w:sz w:val="24"/>
          <w:lang w:val="sl-SI"/>
        </w:rPr>
        <w:t>–</w:t>
      </w:r>
      <w:r w:rsidR="006A1250" w:rsidRPr="00B2564F">
        <w:rPr>
          <w:color w:val="000000" w:themeColor="text1"/>
          <w:sz w:val="24"/>
          <w:lang w:val="sl-SI"/>
        </w:rPr>
        <w:tab/>
        <w:t>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9" w:history="1">
        <w:r w:rsidR="006A1250" w:rsidRPr="00B2564F">
          <w:rPr>
            <w:rStyle w:val="Hyperlink"/>
            <w:sz w:val="24"/>
            <w:lang w:val="sl-SI"/>
          </w:rPr>
          <w:t>http://data.europa.eu/eli/C/2025/1802/oj</w:t>
        </w:r>
      </w:hyperlink>
      <w:r w:rsidR="006A1250" w:rsidRPr="00B2564F">
        <w:rPr>
          <w:color w:val="000000" w:themeColor="text1"/>
          <w:sz w:val="24"/>
          <w:lang w:val="sl-SI"/>
        </w:rPr>
        <w:t>);</w:t>
      </w:r>
    </w:p>
    <w:p w14:paraId="00C02838" w14:textId="23A92212" w:rsidR="006A1250" w:rsidRPr="00B2564F" w:rsidRDefault="00B2564F" w:rsidP="00B2564F">
      <w:pPr>
        <w:pStyle w:val="FootnoteText"/>
        <w:ind w:left="567" w:hanging="567"/>
        <w:rPr>
          <w:color w:val="000000" w:themeColor="text1"/>
          <w:sz w:val="24"/>
          <w:vertAlign w:val="superscript"/>
          <w:lang w:val="sl-SI"/>
        </w:rPr>
      </w:pPr>
      <w:r w:rsidRPr="00B2564F">
        <w:rPr>
          <w:color w:val="000000" w:themeColor="text1"/>
          <w:sz w:val="24"/>
          <w:lang w:val="sl-SI"/>
        </w:rPr>
        <w:t xml:space="preserve"> </w:t>
      </w:r>
      <w:r w:rsidRPr="00B2564F">
        <w:rPr>
          <w:color w:val="000000" w:themeColor="text1"/>
          <w:sz w:val="24"/>
          <w:lang w:val="sl-SI"/>
        </w:rPr>
        <w:tab/>
      </w:r>
      <w:r w:rsidR="006A1250" w:rsidRPr="00B2564F">
        <w:rPr>
          <w:color w:val="000000" w:themeColor="text1"/>
          <w:sz w:val="24"/>
          <w:lang w:val="sl-SI"/>
        </w:rPr>
        <w:t>–</w:t>
      </w:r>
      <w:r w:rsidR="006A1250" w:rsidRPr="00B2564F">
        <w:rPr>
          <w:color w:val="000000" w:themeColor="text1"/>
          <w:sz w:val="24"/>
          <w:lang w:val="sl-SI"/>
        </w:rPr>
        <w:tab/>
        <w:t>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0" w:history="1">
        <w:r w:rsidR="006A1250" w:rsidRPr="00B2564F">
          <w:rPr>
            <w:rStyle w:val="Hyperlink"/>
            <w:sz w:val="24"/>
            <w:lang w:val="sl-SI"/>
          </w:rPr>
          <w:t>http://data.europa.eu/eli/C/2025/1803/oj</w:t>
        </w:r>
      </w:hyperlink>
      <w:r w:rsidR="006A1250" w:rsidRPr="00B2564F">
        <w:rPr>
          <w:color w:val="000000" w:themeColor="text1"/>
          <w:sz w:val="24"/>
          <w:lang w:val="sl-SI"/>
        </w:rPr>
        <w:t>);</w:t>
      </w:r>
    </w:p>
    <w:p w14:paraId="66D39687" w14:textId="76E85184" w:rsidR="006A1250" w:rsidRPr="00B2564F" w:rsidRDefault="00B2564F" w:rsidP="00B2564F">
      <w:pPr>
        <w:pStyle w:val="FootnoteText"/>
        <w:ind w:left="567" w:hanging="567"/>
        <w:rPr>
          <w:color w:val="000000" w:themeColor="text1"/>
          <w:sz w:val="24"/>
          <w:vertAlign w:val="superscript"/>
          <w:lang w:val="sl-SI"/>
        </w:rPr>
      </w:pPr>
      <w:r w:rsidRPr="00B2564F">
        <w:rPr>
          <w:color w:val="000000" w:themeColor="text1"/>
          <w:sz w:val="24"/>
          <w:lang w:val="sl-SI"/>
        </w:rPr>
        <w:t xml:space="preserve"> </w:t>
      </w:r>
      <w:r w:rsidRPr="00B2564F">
        <w:rPr>
          <w:color w:val="000000" w:themeColor="text1"/>
          <w:sz w:val="24"/>
          <w:lang w:val="sl-SI"/>
        </w:rPr>
        <w:tab/>
      </w:r>
      <w:r w:rsidR="006A1250" w:rsidRPr="00B2564F">
        <w:rPr>
          <w:color w:val="000000" w:themeColor="text1"/>
          <w:sz w:val="24"/>
          <w:lang w:val="sl-SI"/>
        </w:rPr>
        <w:t>–</w:t>
      </w:r>
      <w:r w:rsidR="006A1250" w:rsidRPr="00B2564F">
        <w:rPr>
          <w:color w:val="000000" w:themeColor="text1"/>
          <w:sz w:val="24"/>
          <w:lang w:val="sl-SI"/>
        </w:rPr>
        <w:tab/>
        <w:t>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1" w:history="1">
        <w:r w:rsidR="006A1250" w:rsidRPr="00B2564F">
          <w:rPr>
            <w:rStyle w:val="Hyperlink"/>
            <w:sz w:val="24"/>
            <w:lang w:val="sl-SI"/>
          </w:rPr>
          <w:t>http://data.europa.eu/eli/C/2025/1804/oj</w:t>
        </w:r>
      </w:hyperlink>
      <w:r w:rsidR="006A1250" w:rsidRPr="00B2564F">
        <w:rPr>
          <w:color w:val="000000" w:themeColor="text1"/>
          <w:sz w:val="24"/>
          <w:lang w:val="sl-SI"/>
        </w:rPr>
        <w:t>);</w:t>
      </w:r>
    </w:p>
    <w:p w14:paraId="5E429CFF" w14:textId="214223E7" w:rsidR="006A1250" w:rsidRPr="00B2564F" w:rsidRDefault="00B2564F" w:rsidP="00B2564F">
      <w:pPr>
        <w:pStyle w:val="FootnoteText"/>
        <w:ind w:left="567" w:hanging="567"/>
        <w:rPr>
          <w:sz w:val="24"/>
          <w:vertAlign w:val="superscript"/>
          <w:lang w:val="sl-SI"/>
        </w:rPr>
      </w:pPr>
      <w:r w:rsidRPr="00B2564F">
        <w:rPr>
          <w:color w:val="000000" w:themeColor="text1"/>
          <w:sz w:val="24"/>
          <w:lang w:val="sl-SI"/>
        </w:rPr>
        <w:t xml:space="preserve"> </w:t>
      </w:r>
      <w:r w:rsidRPr="00B2564F">
        <w:rPr>
          <w:color w:val="000000" w:themeColor="text1"/>
          <w:sz w:val="24"/>
          <w:lang w:val="sl-SI"/>
        </w:rPr>
        <w:tab/>
      </w:r>
      <w:r w:rsidR="006A1250" w:rsidRPr="00B2564F">
        <w:rPr>
          <w:color w:val="000000" w:themeColor="text1"/>
          <w:sz w:val="24"/>
          <w:lang w:val="sl-SI"/>
        </w:rPr>
        <w:t>–</w:t>
      </w:r>
      <w:r w:rsidR="006A1250" w:rsidRPr="00B2564F">
        <w:rPr>
          <w:color w:val="000000" w:themeColor="text1"/>
          <w:sz w:val="24"/>
          <w:lang w:val="sl-SI"/>
        </w:rPr>
        <w:tab/>
      </w:r>
      <w:r w:rsidR="006A1250" w:rsidRPr="00B2564F">
        <w:rPr>
          <w:sz w:val="24"/>
          <w:lang w:val="sl-SI"/>
        </w:rPr>
        <w:t>resolucijo Evropskega parlamenta z dne 12. februarja 2025 o osnutku izvedbenega sklepa Komisije o odobritvi dajanja na trg proizvodov, ki vsebujejo gensko spremenjeno koruzo DP910521, so iz nje sestavljeni ali proizvedeni v skladu z Uredbo (ES) št. 1829/2003 Evropskega parlamenta in Sveta (UL C, C/2025/2246, 29.4.2025, ELI: </w:t>
      </w:r>
      <w:hyperlink r:id="rId12" w:tooltip="Omogoča dostop do dokumenta prek označevalnika/predloge ELI URI." w:history="1">
        <w:r w:rsidR="006A1250" w:rsidRPr="00B2564F">
          <w:rPr>
            <w:rStyle w:val="Hyperlink"/>
            <w:sz w:val="24"/>
            <w:lang w:val="sl-SI"/>
          </w:rPr>
          <w:t>http://data.europa.eu/eli/C/2025/2246/oj</w:t>
        </w:r>
      </w:hyperlink>
      <w:r w:rsidR="006A1250" w:rsidRPr="00B2564F">
        <w:rPr>
          <w:sz w:val="24"/>
          <w:lang w:val="sl-SI"/>
        </w:rPr>
        <w:t>);</w:t>
      </w:r>
    </w:p>
    <w:p w14:paraId="3C8DD3C7" w14:textId="12C2D214" w:rsidR="006A1250" w:rsidRPr="00B2564F" w:rsidRDefault="00B2564F" w:rsidP="00B2564F">
      <w:pPr>
        <w:pStyle w:val="FootnoteText"/>
        <w:ind w:left="567" w:hanging="567"/>
        <w:rPr>
          <w:sz w:val="24"/>
          <w:vertAlign w:val="superscript"/>
          <w:lang w:val="sl-SI"/>
        </w:rPr>
      </w:pPr>
      <w:r w:rsidRPr="00B2564F">
        <w:rPr>
          <w:sz w:val="24"/>
          <w:lang w:val="sl-SI"/>
        </w:rPr>
        <w:t xml:space="preserve"> </w:t>
      </w:r>
      <w:r w:rsidRPr="00B2564F">
        <w:rPr>
          <w:sz w:val="24"/>
          <w:lang w:val="sl-SI"/>
        </w:rPr>
        <w:tab/>
      </w:r>
      <w:r w:rsidR="006A1250" w:rsidRPr="00B2564F">
        <w:rPr>
          <w:sz w:val="24"/>
          <w:lang w:val="sl-SI"/>
        </w:rPr>
        <w:t>–</w:t>
      </w:r>
      <w:r w:rsidR="006A1250" w:rsidRPr="00B2564F">
        <w:rPr>
          <w:sz w:val="24"/>
          <w:lang w:val="sl-SI"/>
        </w:rPr>
        <w:tab/>
        <w:t>resolucijo Evropskega parlamenta z dne 12. februarja 2025 o osnutku izvedbenega sklepa Komisije o odobritvi dajanja na trg proizvodov, ki vsebujejo gensko spremenjeno koruzo MON 95275, so iz nje sestavljeni ali proizvedeni, v skladu z Uredbo (ES) št. 1829/2003 Evropskega parlamenta in Sveta (UL C, C/2025/2247, 29.4.2025, ELI: </w:t>
      </w:r>
      <w:hyperlink r:id="rId13" w:history="1">
        <w:r w:rsidR="006A1250" w:rsidRPr="00B2564F">
          <w:rPr>
            <w:rStyle w:val="Hyperlink"/>
            <w:sz w:val="24"/>
            <w:lang w:val="sl-SI"/>
          </w:rPr>
          <w:t>http://data.europa.eu/eli/C/2025/2247/oj</w:t>
        </w:r>
      </w:hyperlink>
      <w:r w:rsidR="006A1250" w:rsidRPr="00B2564F">
        <w:rPr>
          <w:sz w:val="24"/>
          <w:lang w:val="sl-SI"/>
        </w:rPr>
        <w:t>);</w:t>
      </w:r>
    </w:p>
    <w:p w14:paraId="28025DC6" w14:textId="33A88481" w:rsidR="006A1250" w:rsidRPr="00B2564F" w:rsidRDefault="00B2564F" w:rsidP="00B2564F">
      <w:pPr>
        <w:pStyle w:val="FootnoteText"/>
        <w:ind w:left="567" w:hanging="567"/>
        <w:rPr>
          <w:sz w:val="24"/>
          <w:vertAlign w:val="superscript"/>
          <w:lang w:val="sl-SI"/>
        </w:rPr>
      </w:pPr>
      <w:r w:rsidRPr="00B2564F">
        <w:rPr>
          <w:sz w:val="24"/>
          <w:lang w:val="sl-SI"/>
        </w:rPr>
        <w:t xml:space="preserve"> </w:t>
      </w:r>
      <w:r w:rsidRPr="00B2564F">
        <w:rPr>
          <w:sz w:val="24"/>
          <w:lang w:val="sl-SI"/>
        </w:rPr>
        <w:tab/>
      </w:r>
      <w:r w:rsidR="006A1250" w:rsidRPr="00B2564F">
        <w:rPr>
          <w:sz w:val="24"/>
          <w:lang w:val="sl-SI"/>
        </w:rPr>
        <w:t>–</w:t>
      </w:r>
      <w:r w:rsidR="006A1250" w:rsidRPr="00B2564F">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w:t>
      </w:r>
      <w:r w:rsidR="00EE3C48">
        <w:rPr>
          <w:sz w:val="24"/>
          <w:lang w:val="sl-SI"/>
        </w:rPr>
        <w:t xml:space="preserve">Sprejeta besedila, </w:t>
      </w:r>
      <w:r w:rsidR="006A1250" w:rsidRPr="00B2564F">
        <w:rPr>
          <w:sz w:val="24"/>
          <w:lang w:val="sl-SI"/>
        </w:rPr>
        <w:t>P10_TA(2025)0106);</w:t>
      </w:r>
    </w:p>
    <w:p w14:paraId="7DD43EA8" w14:textId="24670C57" w:rsidR="006A1250" w:rsidRPr="00B2564F" w:rsidRDefault="00B2564F" w:rsidP="00B2564F">
      <w:pPr>
        <w:pStyle w:val="FootnoteText"/>
        <w:ind w:left="567" w:hanging="567"/>
        <w:rPr>
          <w:sz w:val="24"/>
          <w:vertAlign w:val="superscript"/>
          <w:lang w:val="sl-SI"/>
        </w:rPr>
      </w:pPr>
      <w:r w:rsidRPr="00B2564F">
        <w:rPr>
          <w:sz w:val="24"/>
          <w:lang w:val="sl-SI"/>
        </w:rPr>
        <w:t xml:space="preserve"> </w:t>
      </w:r>
      <w:r w:rsidRPr="00B2564F">
        <w:rPr>
          <w:sz w:val="24"/>
          <w:lang w:val="sl-SI"/>
        </w:rPr>
        <w:tab/>
      </w:r>
      <w:r w:rsidR="006A1250" w:rsidRPr="00B2564F">
        <w:rPr>
          <w:sz w:val="24"/>
          <w:lang w:val="sl-SI"/>
        </w:rPr>
        <w:t>–</w:t>
      </w:r>
      <w:r w:rsidR="006A1250" w:rsidRPr="00B2564F">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w:t>
      </w:r>
      <w:r w:rsidR="00EE3C48">
        <w:rPr>
          <w:sz w:val="24"/>
          <w:lang w:val="sl-SI"/>
        </w:rPr>
        <w:t xml:space="preserve">Sprejeta besedila, </w:t>
      </w:r>
      <w:r w:rsidR="006A1250" w:rsidRPr="00B2564F">
        <w:rPr>
          <w:sz w:val="24"/>
          <w:lang w:val="sl-SI"/>
        </w:rPr>
        <w:t>P10_TA(2025)0222);</w:t>
      </w:r>
    </w:p>
    <w:p w14:paraId="5274A90B" w14:textId="68AE17F6" w:rsidR="006A1250" w:rsidRPr="00B2564F" w:rsidRDefault="00B2564F" w:rsidP="00B2564F">
      <w:pPr>
        <w:pStyle w:val="FootnoteText"/>
        <w:ind w:left="567" w:hanging="567"/>
        <w:rPr>
          <w:sz w:val="24"/>
          <w:vertAlign w:val="superscript"/>
          <w:lang w:val="sl-SI"/>
        </w:rPr>
      </w:pPr>
      <w:r w:rsidRPr="00B2564F">
        <w:rPr>
          <w:sz w:val="24"/>
          <w:lang w:val="sl-SI"/>
        </w:rPr>
        <w:t xml:space="preserve"> </w:t>
      </w:r>
      <w:r w:rsidRPr="00B2564F">
        <w:rPr>
          <w:sz w:val="24"/>
          <w:lang w:val="sl-SI"/>
        </w:rPr>
        <w:tab/>
      </w:r>
      <w:r w:rsidR="006A1250" w:rsidRPr="00B2564F">
        <w:rPr>
          <w:sz w:val="24"/>
          <w:lang w:val="sl-SI"/>
        </w:rPr>
        <w:t>–</w:t>
      </w:r>
      <w:r w:rsidR="006A1250" w:rsidRPr="00B2564F">
        <w:rPr>
          <w:sz w:val="24"/>
          <w:lang w:val="sl-SI"/>
        </w:rPr>
        <w:tab/>
        <w:t>resolucijo Evropskega parlamenta z dne 25. novembra 2025 o osnutku izvedbenega sklepa Komisije o odobritvi dajanja na trg proizvodov, ki vsebujejo gensko spremenjeno koruzo DAS1131, so iz nje sestavljeni ali proizvedeni, v skladu z Uredbo (ES) št. 1829/2003 Evropskega parlamenta in Sveta (</w:t>
      </w:r>
      <w:r w:rsidR="00EE3C48">
        <w:rPr>
          <w:sz w:val="24"/>
          <w:lang w:val="sl-SI"/>
        </w:rPr>
        <w:t xml:space="preserve">Sprejeta besedila, </w:t>
      </w:r>
      <w:r w:rsidR="006A1250" w:rsidRPr="00B2564F">
        <w:rPr>
          <w:sz w:val="24"/>
          <w:lang w:val="sl-SI"/>
        </w:rPr>
        <w:t>P10_TA(2025)0288);</w:t>
      </w:r>
    </w:p>
    <w:p w14:paraId="6085E821" w14:textId="4366088E" w:rsidR="006A1250" w:rsidRPr="00B2564F" w:rsidRDefault="00B2564F" w:rsidP="00B2564F">
      <w:pPr>
        <w:pStyle w:val="FootnoteText"/>
        <w:keepNext/>
        <w:ind w:left="567" w:hanging="567"/>
        <w:rPr>
          <w:sz w:val="24"/>
          <w:vertAlign w:val="superscript"/>
          <w:lang w:val="sl-SI"/>
        </w:rPr>
      </w:pPr>
      <w:r w:rsidRPr="00B2564F">
        <w:rPr>
          <w:sz w:val="24"/>
          <w:lang w:val="sl-SI"/>
        </w:rPr>
        <w:t xml:space="preserve"> </w:t>
      </w:r>
      <w:r w:rsidRPr="00B2564F">
        <w:rPr>
          <w:sz w:val="24"/>
          <w:lang w:val="sl-SI"/>
        </w:rPr>
        <w:tab/>
      </w:r>
      <w:r w:rsidR="006A1250" w:rsidRPr="00B2564F">
        <w:rPr>
          <w:sz w:val="24"/>
          <w:lang w:val="sl-SI"/>
        </w:rPr>
        <w:t>–</w:t>
      </w:r>
      <w:r w:rsidR="006A1250" w:rsidRPr="00B2564F">
        <w:rPr>
          <w:sz w:val="24"/>
          <w:lang w:val="sl-SI"/>
        </w:rPr>
        <w:tab/>
        <w:t>resolucijo Evropskega parlamenta z dne 25. novembra 2025 o osnutku izvedbenega sklepa Komisije o obnovitvi odobritve dajanja proizvodov, ki vsebujejo gensko spremenjeni bombaž MON 88913 (MON-88913-8), so iz njega sestavljeni ali proizvedeni, v promet v skladu z Uredbo (ES) št. 1829/2003 Evropskega parlamenta in Sveta (</w:t>
      </w:r>
      <w:r w:rsidR="00EE3C48">
        <w:rPr>
          <w:sz w:val="24"/>
          <w:lang w:val="sl-SI"/>
        </w:rPr>
        <w:t xml:space="preserve">Sprejeta besedila, </w:t>
      </w:r>
      <w:r w:rsidR="006A1250" w:rsidRPr="00B2564F">
        <w:rPr>
          <w:sz w:val="24"/>
          <w:lang w:val="sl-SI"/>
        </w:rPr>
        <w:t>P10_TA(2025)0289);</w:t>
      </w:r>
    </w:p>
    <w:p w14:paraId="0C2731BA" w14:textId="4EBC1F98" w:rsidR="006A1250" w:rsidRPr="00B2564F" w:rsidRDefault="00B2564F" w:rsidP="00B2564F">
      <w:pPr>
        <w:pStyle w:val="FootnoteText"/>
        <w:ind w:left="567" w:hanging="567"/>
        <w:rPr>
          <w:sz w:val="24"/>
          <w:vertAlign w:val="superscript"/>
          <w:lang w:val="sl-SI"/>
        </w:rPr>
      </w:pPr>
      <w:r w:rsidRPr="00B2564F">
        <w:rPr>
          <w:sz w:val="24"/>
          <w:lang w:val="sl-SI"/>
        </w:rPr>
        <w:t xml:space="preserve"> </w:t>
      </w:r>
      <w:r w:rsidRPr="00B2564F">
        <w:rPr>
          <w:sz w:val="24"/>
          <w:lang w:val="sl-SI"/>
        </w:rPr>
        <w:tab/>
      </w:r>
      <w:r w:rsidR="006A1250" w:rsidRPr="00B2564F">
        <w:rPr>
          <w:sz w:val="24"/>
          <w:lang w:val="sl-SI"/>
        </w:rPr>
        <w:t>–</w:t>
      </w:r>
      <w:r w:rsidR="006A1250" w:rsidRPr="00B2564F">
        <w:rPr>
          <w:sz w:val="24"/>
          <w:lang w:val="sl-SI"/>
        </w:rPr>
        <w:tab/>
        <w:t>resolucijo Evropskega parlamenta z dne 25. novembra 2025 o osnutku izvedbenega sklepa Komisije o obnovitvi odobritve dajanja proizvodov, ki vsebujejo gensko spremenjeno oljno ogrščico MON 88302, so iz nje sestavljeni ali proizvedeni, v promet v skladu z Uredbo (ES) št. 1829/2003 Evropskega parlamenta in Sveta (</w:t>
      </w:r>
      <w:r w:rsidR="00EE3C48">
        <w:rPr>
          <w:sz w:val="24"/>
          <w:lang w:val="sl-SI"/>
        </w:rPr>
        <w:t xml:space="preserve">Sprejeta besedila, </w:t>
      </w:r>
      <w:r w:rsidR="006A1250" w:rsidRPr="00B2564F">
        <w:rPr>
          <w:sz w:val="24"/>
          <w:lang w:val="sl-SI"/>
        </w:rPr>
        <w:t>P10_TA(2025)0290);</w:t>
      </w:r>
    </w:p>
    <w:p w14:paraId="56AB6A16" w14:textId="2371E7C8" w:rsidR="006A1250" w:rsidRPr="00B2564F" w:rsidRDefault="00B2564F" w:rsidP="00B2564F">
      <w:pPr>
        <w:pStyle w:val="FootnoteText"/>
        <w:ind w:left="567" w:hanging="567"/>
        <w:rPr>
          <w:sz w:val="24"/>
          <w:vertAlign w:val="superscript"/>
          <w:lang w:val="sl-SI"/>
        </w:rPr>
      </w:pPr>
      <w:r w:rsidRPr="00B2564F">
        <w:rPr>
          <w:sz w:val="24"/>
          <w:lang w:val="sl-SI"/>
        </w:rPr>
        <w:t xml:space="preserve"> </w:t>
      </w:r>
      <w:r w:rsidRPr="00B2564F">
        <w:rPr>
          <w:sz w:val="24"/>
          <w:lang w:val="sl-SI"/>
        </w:rPr>
        <w:tab/>
      </w:r>
      <w:r w:rsidR="006A1250" w:rsidRPr="00B2564F">
        <w:rPr>
          <w:sz w:val="24"/>
          <w:lang w:val="sl-SI"/>
        </w:rPr>
        <w:t>–</w:t>
      </w:r>
      <w:r w:rsidR="006A1250" w:rsidRPr="00B2564F">
        <w:rPr>
          <w:sz w:val="24"/>
          <w:lang w:val="sl-SI"/>
        </w:rPr>
        <w:tab/>
        <w:t>resolucijo Evropskega parlamenta z dne 25. novembra 2025 o izvedbenem sklepu Komisije o obnovitvi odobritve dajanja na trg proizvodov, ki vsebujejo gensko spremenjeno sojo MON 87708, so iz nje sestavljeni ali proizvedeni, v skladu z Uredbo (ES) št. 1829/2003 Evropskega parlamenta in Sveta (</w:t>
      </w:r>
      <w:r w:rsidR="00EE3C48">
        <w:rPr>
          <w:sz w:val="24"/>
          <w:lang w:val="sl-SI"/>
        </w:rPr>
        <w:t xml:space="preserve">Sprejeta besedila, </w:t>
      </w:r>
      <w:r w:rsidR="006A1250" w:rsidRPr="00B2564F">
        <w:rPr>
          <w:sz w:val="24"/>
          <w:lang w:val="sl-SI"/>
        </w:rPr>
        <w:t>P10_TA(2025)0291);</w:t>
      </w:r>
    </w:p>
    <w:p w14:paraId="0911ACB5" w14:textId="13A3F588" w:rsidR="006A1250" w:rsidRPr="00B2564F" w:rsidRDefault="00B2564F" w:rsidP="00B2564F">
      <w:pPr>
        <w:pStyle w:val="FootnoteText"/>
        <w:ind w:left="567" w:hanging="567"/>
        <w:rPr>
          <w:sz w:val="24"/>
          <w:vertAlign w:val="superscript"/>
          <w:lang w:val="sl-SI"/>
        </w:rPr>
      </w:pPr>
      <w:r w:rsidRPr="00B2564F">
        <w:rPr>
          <w:sz w:val="24"/>
          <w:lang w:val="sl-SI"/>
        </w:rPr>
        <w:t xml:space="preserve"> </w:t>
      </w:r>
      <w:r w:rsidRPr="00B2564F">
        <w:rPr>
          <w:sz w:val="24"/>
          <w:lang w:val="sl-SI"/>
        </w:rPr>
        <w:tab/>
      </w:r>
      <w:r w:rsidR="006A1250" w:rsidRPr="00B2564F">
        <w:rPr>
          <w:sz w:val="24"/>
          <w:lang w:val="sl-SI"/>
        </w:rPr>
        <w:t>–</w:t>
      </w:r>
      <w:r w:rsidR="006A1250" w:rsidRPr="00B2564F">
        <w:rPr>
          <w:sz w:val="24"/>
          <w:lang w:val="sl-SI"/>
        </w:rPr>
        <w:tab/>
        <w:t>resolucijo Evropskega parlamenta z dne 25. </w:t>
      </w:r>
      <w:r w:rsidR="006A1250" w:rsidRPr="00B2564F">
        <w:rPr>
          <w:sz w:val="24"/>
          <w:lang w:val="sl-SI"/>
        </w:rPr>
        <w:t>novembra 2025 o osnutku izvedbenega sklepa Komisije o obnovitvi odobritve dajanja na trg proizvodov, ki vsebujejo gensko spremenjeno koruzo MON 87427, so iz njega sestavljeni ali proizvedeni, v skladu z Uredbo</w:t>
      </w:r>
      <w:r w:rsidR="006802A8">
        <w:rPr>
          <w:sz w:val="24"/>
          <w:lang w:val="sl-SI"/>
        </w:rPr>
        <w:t xml:space="preserve"> (ES)</w:t>
      </w:r>
      <w:r w:rsidR="006A1250" w:rsidRPr="00B2564F">
        <w:rPr>
          <w:sz w:val="24"/>
          <w:lang w:val="sl-SI"/>
        </w:rPr>
        <w:t> št. 1829/2003 Evropskega parlamenta in Sveta (</w:t>
      </w:r>
      <w:r w:rsidR="00EE3C48">
        <w:rPr>
          <w:sz w:val="24"/>
          <w:lang w:val="sl-SI"/>
        </w:rPr>
        <w:t xml:space="preserve">Sprejeta besedila, </w:t>
      </w:r>
      <w:r w:rsidR="006A1250" w:rsidRPr="00B2564F">
        <w:rPr>
          <w:sz w:val="24"/>
          <w:lang w:val="sl-SI"/>
        </w:rPr>
        <w:t>P10_TA(2025)0292);</w:t>
      </w:r>
    </w:p>
    <w:p w14:paraId="061B3FA6" w14:textId="6E7AD066" w:rsidR="006A1250" w:rsidRPr="00B2564F" w:rsidRDefault="00B2564F" w:rsidP="00B2564F">
      <w:pPr>
        <w:pStyle w:val="FootnoteText"/>
        <w:ind w:left="567" w:hanging="567"/>
        <w:rPr>
          <w:sz w:val="24"/>
          <w:vertAlign w:val="superscript"/>
          <w:lang w:val="sl-SI"/>
        </w:rPr>
      </w:pPr>
      <w:r w:rsidRPr="00B2564F">
        <w:rPr>
          <w:sz w:val="24"/>
          <w:lang w:val="sl-SI"/>
        </w:rPr>
        <w:t xml:space="preserve"> </w:t>
      </w:r>
      <w:r w:rsidRPr="00B2564F">
        <w:rPr>
          <w:sz w:val="24"/>
          <w:lang w:val="sl-SI"/>
        </w:rPr>
        <w:tab/>
      </w:r>
      <w:r w:rsidR="006A1250" w:rsidRPr="00B2564F">
        <w:rPr>
          <w:sz w:val="24"/>
          <w:lang w:val="sl-SI"/>
        </w:rPr>
        <w:t>–</w:t>
      </w:r>
      <w:r w:rsidR="006A1250" w:rsidRPr="00B2564F">
        <w:rPr>
          <w:sz w:val="24"/>
          <w:lang w:val="sl-SI"/>
        </w:rPr>
        <w:tab/>
        <w:t>resolucijo Evropskega parlamenta z dne 16. decembra 2025 o osnutku izvedbenega sklepa Komisije o obnovitvi odobritve dajanja na trg proizvodov, ki vsebujejo gensko spremenjeno koruzo NK603, so iz nje sestavljeni ali proizvedeni, v skladu z Uredbo (ES) št. 1829/2003 Evropskega parlamenta in Sveta (</w:t>
      </w:r>
      <w:r w:rsidR="00EE3C48">
        <w:rPr>
          <w:sz w:val="24"/>
          <w:lang w:val="sl-SI"/>
        </w:rPr>
        <w:t xml:space="preserve">Sprejeta besedila, </w:t>
      </w:r>
      <w:r w:rsidR="006A1250" w:rsidRPr="00B2564F">
        <w:rPr>
          <w:sz w:val="24"/>
          <w:lang w:val="sl-SI"/>
        </w:rPr>
        <w:t>P10_TA(2025)0327);</w:t>
      </w:r>
    </w:p>
    <w:p w14:paraId="5E657701" w14:textId="73B37F0C" w:rsidR="006A1250" w:rsidRPr="00B2564F" w:rsidRDefault="00B2564F" w:rsidP="00B2564F">
      <w:pPr>
        <w:pStyle w:val="FootnoteText"/>
        <w:ind w:left="567" w:hanging="567"/>
        <w:rPr>
          <w:sz w:val="24"/>
          <w:lang w:val="sl-SI"/>
        </w:rPr>
      </w:pPr>
      <w:r w:rsidRPr="00B2564F">
        <w:rPr>
          <w:sz w:val="24"/>
          <w:lang w:val="sl-SI"/>
        </w:rPr>
        <w:t xml:space="preserve"> </w:t>
      </w:r>
      <w:r w:rsidRPr="00B2564F">
        <w:rPr>
          <w:sz w:val="24"/>
          <w:lang w:val="sl-SI"/>
        </w:rPr>
        <w:tab/>
      </w:r>
      <w:r w:rsidR="006A1250" w:rsidRPr="00B2564F">
        <w:rPr>
          <w:sz w:val="24"/>
          <w:lang w:val="sl-SI"/>
        </w:rPr>
        <w:t>–</w:t>
      </w:r>
      <w:r w:rsidR="006A1250" w:rsidRPr="00B2564F">
        <w:rPr>
          <w:sz w:val="24"/>
          <w:lang w:val="sl-SI"/>
        </w:rPr>
        <w:tab/>
        <w:t>resolucijo Evropskega parlamenta z dne 16. decembra 2025 o osnutku izvedbenega sklepa Komisije o odobritvi dajanja na trg proizvodov, ki vsebujejo gensko spremenjeno sladkorno peso KWS20-1, so iz nje sestavljeni ali proizvedeni, v skladu z Uredbo (ES) št. 1829/2003 Evropskega parlamenta in Sveta (Sprejeta besedila, P10_TA(2025)0328).</w:t>
      </w:r>
    </w:p>
  </w:footnote>
  <w:footnote w:id="5">
    <w:p w14:paraId="759347F0" w14:textId="3D0F54FF"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lang w:val="sl-SI"/>
        </w:rPr>
        <w:t xml:space="preserve"> </w:t>
      </w:r>
      <w:r w:rsidR="00B2564F" w:rsidRPr="00B2564F">
        <w:rPr>
          <w:sz w:val="24"/>
          <w:lang w:val="sl-SI"/>
        </w:rPr>
        <w:tab/>
      </w:r>
      <w:r w:rsidRPr="00B2564F">
        <w:rPr>
          <w:sz w:val="24"/>
          <w:lang w:val="sl-SI"/>
        </w:rPr>
        <w:t>Izvedbeni sklep Komisije (EU) 2015/690 z dne 24. aprila 2015 o odobritvi dajanja na trg proizvodov, ki vsebujejo gensko spremenjeni bombaž GHB614xLLCotton25 (BCS-GHØØ2-5xACS-GHØØ1-3), so iz njega sestavljeni ali proizvedeni, v skladu z Uredbo (ES) št. 1829/2003 Evropskega parlamenta in Sveta (UL L 112, 30.4.2015, str. 35, ELI: </w:t>
      </w:r>
      <w:hyperlink r:id="rId14" w:history="1">
        <w:r w:rsidRPr="00B2564F">
          <w:rPr>
            <w:rStyle w:val="Hyperlink"/>
            <w:sz w:val="24"/>
            <w:lang w:val="sl-SI"/>
          </w:rPr>
          <w:t>http://data.europa.eu/eli/dec_impl/2015/690/oj</w:t>
        </w:r>
      </w:hyperlink>
      <w:r w:rsidRPr="00B2564F">
        <w:rPr>
          <w:rStyle w:val="Hyperlink"/>
          <w:sz w:val="24"/>
          <w:lang w:val="sl-SI"/>
        </w:rPr>
        <w:t>).</w:t>
      </w:r>
    </w:p>
  </w:footnote>
  <w:footnote w:id="6">
    <w:p w14:paraId="2E3BB594" w14:textId="7B7E2781"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lang w:val="sl-SI"/>
        </w:rPr>
        <w:t xml:space="preserve"> </w:t>
      </w:r>
      <w:r w:rsidR="00B2564F" w:rsidRPr="00B2564F">
        <w:rPr>
          <w:sz w:val="24"/>
          <w:lang w:val="sl-SI"/>
        </w:rPr>
        <w:tab/>
      </w:r>
      <w:r w:rsidRPr="00B2564F">
        <w:rPr>
          <w:sz w:val="24"/>
          <w:lang w:val="sl-SI"/>
        </w:rPr>
        <w:t xml:space="preserve">Znanstveno mnenje odbora EFSA o gensko spremenjenih organizmih o vlogi (EFSA-GMO-NL-2010-77) za dajanje na trg na herbicid odpornega gensko spremenjenega bombaža GHB614 × LLCotton25 za uporabo v živilih in krmi ter uvoz in predelavo v skladu z Uredbo (ES) št. 1829/2003, ki jo je oddala družba Bayer </w:t>
      </w:r>
      <w:proofErr w:type="spellStart"/>
      <w:r w:rsidRPr="00B2564F">
        <w:rPr>
          <w:sz w:val="24"/>
          <w:lang w:val="sl-SI"/>
        </w:rPr>
        <w:t>CropScience</w:t>
      </w:r>
      <w:proofErr w:type="spellEnd"/>
      <w:r w:rsidRPr="00B2564F">
        <w:rPr>
          <w:sz w:val="24"/>
          <w:lang w:val="sl-SI"/>
        </w:rPr>
        <w:t xml:space="preserve">; </w:t>
      </w:r>
      <w:r w:rsidRPr="00B2564F">
        <w:rPr>
          <w:i/>
          <w:sz w:val="24"/>
          <w:lang w:val="sl-SI"/>
        </w:rPr>
        <w:t>EFSA Journal</w:t>
      </w:r>
      <w:r w:rsidRPr="00B2564F">
        <w:rPr>
          <w:sz w:val="24"/>
          <w:lang w:val="sl-SI"/>
        </w:rPr>
        <w:t xml:space="preserve">, 2014, 12(5):3680, </w:t>
      </w:r>
      <w:hyperlink r:id="rId15" w:history="1">
        <w:r w:rsidRPr="00B2564F">
          <w:rPr>
            <w:rStyle w:val="Hyperlink"/>
            <w:sz w:val="24"/>
            <w:lang w:val="sl-SI"/>
          </w:rPr>
          <w:t>https://doi.org/10.2903/j.efsa.2014.3680</w:t>
        </w:r>
      </w:hyperlink>
      <w:r w:rsidRPr="00B2564F">
        <w:rPr>
          <w:sz w:val="24"/>
          <w:lang w:val="sl-SI"/>
        </w:rPr>
        <w:t xml:space="preserve">. </w:t>
      </w:r>
    </w:p>
  </w:footnote>
  <w:footnote w:id="7">
    <w:p w14:paraId="43B1BE1D" w14:textId="2E188EDA"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shd w:val="clear" w:color="auto" w:fill="FFFFFF"/>
          <w:lang w:val="sl-SI"/>
        </w:rPr>
        <w:t xml:space="preserve"> </w:t>
      </w:r>
      <w:r w:rsidR="00B2564F" w:rsidRPr="00B2564F">
        <w:rPr>
          <w:sz w:val="24"/>
          <w:shd w:val="clear" w:color="auto" w:fill="FFFFFF"/>
          <w:lang w:val="sl-SI"/>
        </w:rPr>
        <w:tab/>
      </w:r>
      <w:r w:rsidRPr="00B2564F">
        <w:rPr>
          <w:sz w:val="24"/>
          <w:shd w:val="clear" w:color="auto" w:fill="FFFFFF"/>
          <w:lang w:val="sl-SI"/>
        </w:rPr>
        <w:t>Gl. na primer Bonny, S.: „</w:t>
      </w:r>
      <w:proofErr w:type="spellStart"/>
      <w:r w:rsidRPr="00B2564F">
        <w:rPr>
          <w:sz w:val="24"/>
          <w:shd w:val="clear" w:color="auto" w:fill="FFFFFF"/>
          <w:lang w:val="sl-SI"/>
        </w:rPr>
        <w:t>Genetically</w:t>
      </w:r>
      <w:proofErr w:type="spellEnd"/>
      <w:r w:rsidRPr="00B2564F">
        <w:rPr>
          <w:sz w:val="24"/>
          <w:shd w:val="clear" w:color="auto" w:fill="FFFFFF"/>
          <w:lang w:val="sl-SI"/>
        </w:rPr>
        <w:t xml:space="preserve"> </w:t>
      </w:r>
      <w:proofErr w:type="spellStart"/>
      <w:r w:rsidRPr="00B2564F">
        <w:rPr>
          <w:sz w:val="24"/>
          <w:shd w:val="clear" w:color="auto" w:fill="FFFFFF"/>
          <w:lang w:val="sl-SI"/>
        </w:rPr>
        <w:t>Modified</w:t>
      </w:r>
      <w:proofErr w:type="spellEnd"/>
      <w:r w:rsidRPr="00B2564F">
        <w:rPr>
          <w:sz w:val="24"/>
          <w:shd w:val="clear" w:color="auto" w:fill="FFFFFF"/>
          <w:lang w:val="sl-SI"/>
        </w:rPr>
        <w:t xml:space="preserve"> Herbicide-</w:t>
      </w:r>
      <w:proofErr w:type="spellStart"/>
      <w:r w:rsidRPr="00B2564F">
        <w:rPr>
          <w:sz w:val="24"/>
          <w:shd w:val="clear" w:color="auto" w:fill="FFFFFF"/>
          <w:lang w:val="sl-SI"/>
        </w:rPr>
        <w:t>Tolerant</w:t>
      </w:r>
      <w:proofErr w:type="spellEnd"/>
      <w:r w:rsidRPr="00B2564F">
        <w:rPr>
          <w:sz w:val="24"/>
          <w:shd w:val="clear" w:color="auto" w:fill="FFFFFF"/>
          <w:lang w:val="sl-SI"/>
        </w:rPr>
        <w:t xml:space="preserve"> </w:t>
      </w:r>
      <w:proofErr w:type="spellStart"/>
      <w:r w:rsidRPr="00B2564F">
        <w:rPr>
          <w:sz w:val="24"/>
          <w:shd w:val="clear" w:color="auto" w:fill="FFFFFF"/>
          <w:lang w:val="sl-SI"/>
        </w:rPr>
        <w:t>Crops</w:t>
      </w:r>
      <w:proofErr w:type="spellEnd"/>
      <w:r w:rsidRPr="00B2564F">
        <w:rPr>
          <w:sz w:val="24"/>
          <w:shd w:val="clear" w:color="auto" w:fill="FFFFFF"/>
          <w:lang w:val="sl-SI"/>
        </w:rPr>
        <w:t xml:space="preserve">, </w:t>
      </w:r>
      <w:proofErr w:type="spellStart"/>
      <w:r w:rsidRPr="00B2564F">
        <w:rPr>
          <w:sz w:val="24"/>
          <w:shd w:val="clear" w:color="auto" w:fill="FFFFFF"/>
          <w:lang w:val="sl-SI"/>
        </w:rPr>
        <w:t>Weeds</w:t>
      </w:r>
      <w:proofErr w:type="spellEnd"/>
      <w:r w:rsidRPr="00B2564F">
        <w:rPr>
          <w:sz w:val="24"/>
          <w:shd w:val="clear" w:color="auto" w:fill="FFFFFF"/>
          <w:lang w:val="sl-SI"/>
        </w:rPr>
        <w:t xml:space="preserve">, and </w:t>
      </w:r>
      <w:proofErr w:type="spellStart"/>
      <w:r w:rsidRPr="00B2564F">
        <w:rPr>
          <w:sz w:val="24"/>
          <w:shd w:val="clear" w:color="auto" w:fill="FFFFFF"/>
          <w:lang w:val="sl-SI"/>
        </w:rPr>
        <w:t>Herbicides</w:t>
      </w:r>
      <w:proofErr w:type="spellEnd"/>
      <w:r w:rsidRPr="00B2564F">
        <w:rPr>
          <w:sz w:val="24"/>
          <w:shd w:val="clear" w:color="auto" w:fill="FFFFFF"/>
          <w:lang w:val="sl-SI"/>
        </w:rPr>
        <w:t xml:space="preserve">: </w:t>
      </w:r>
      <w:proofErr w:type="spellStart"/>
      <w:r w:rsidRPr="00B2564F">
        <w:rPr>
          <w:sz w:val="24"/>
          <w:shd w:val="clear" w:color="auto" w:fill="FFFFFF"/>
          <w:lang w:val="sl-SI"/>
        </w:rPr>
        <w:t>Overview</w:t>
      </w:r>
      <w:proofErr w:type="spellEnd"/>
      <w:r w:rsidRPr="00B2564F">
        <w:rPr>
          <w:sz w:val="24"/>
          <w:shd w:val="clear" w:color="auto" w:fill="FFFFFF"/>
          <w:lang w:val="sl-SI"/>
        </w:rPr>
        <w:t xml:space="preserve"> and </w:t>
      </w:r>
      <w:proofErr w:type="spellStart"/>
      <w:r w:rsidRPr="00B2564F">
        <w:rPr>
          <w:sz w:val="24"/>
          <w:shd w:val="clear" w:color="auto" w:fill="FFFFFF"/>
          <w:lang w:val="sl-SI"/>
        </w:rPr>
        <w:t>Impact</w:t>
      </w:r>
      <w:proofErr w:type="spellEnd"/>
      <w:r w:rsidRPr="00B2564F">
        <w:rPr>
          <w:sz w:val="24"/>
          <w:shd w:val="clear" w:color="auto" w:fill="FFFFFF"/>
          <w:lang w:val="sl-SI"/>
        </w:rPr>
        <w:t xml:space="preserve">“, </w:t>
      </w:r>
      <w:proofErr w:type="spellStart"/>
      <w:r w:rsidRPr="00B2564F">
        <w:rPr>
          <w:i/>
          <w:sz w:val="24"/>
          <w:shd w:val="clear" w:color="auto" w:fill="FFFFFF"/>
          <w:lang w:val="sl-SI"/>
        </w:rPr>
        <w:t>Environmental</w:t>
      </w:r>
      <w:proofErr w:type="spellEnd"/>
      <w:r w:rsidRPr="00B2564F">
        <w:rPr>
          <w:i/>
          <w:sz w:val="24"/>
          <w:shd w:val="clear" w:color="auto" w:fill="FFFFFF"/>
          <w:lang w:val="sl-SI"/>
        </w:rPr>
        <w:t xml:space="preserve"> Management</w:t>
      </w:r>
      <w:r w:rsidRPr="00B2564F">
        <w:rPr>
          <w:sz w:val="24"/>
          <w:shd w:val="clear" w:color="auto" w:fill="FFFFFF"/>
          <w:lang w:val="sl-SI"/>
        </w:rPr>
        <w:t xml:space="preserve">, januar 2016, 57(1), str. 31-48, </w:t>
      </w:r>
      <w:hyperlink r:id="rId16" w:history="1">
        <w:r w:rsidRPr="00B2564F">
          <w:rPr>
            <w:rStyle w:val="Hyperlink"/>
            <w:sz w:val="24"/>
            <w:shd w:val="clear" w:color="auto" w:fill="FFFFFF"/>
            <w:lang w:val="sl-SI"/>
          </w:rPr>
          <w:t>https://doi.org/10.1007/s00267-015-0589-7</w:t>
        </w:r>
      </w:hyperlink>
      <w:r w:rsidRPr="00B2564F">
        <w:rPr>
          <w:sz w:val="24"/>
          <w:shd w:val="clear" w:color="auto" w:fill="FFFFFF"/>
          <w:lang w:val="sl-SI"/>
        </w:rPr>
        <w:t xml:space="preserve"> in </w:t>
      </w:r>
      <w:proofErr w:type="spellStart"/>
      <w:r w:rsidRPr="00B2564F">
        <w:rPr>
          <w:sz w:val="24"/>
          <w:shd w:val="clear" w:color="auto" w:fill="FFFFFF"/>
          <w:lang w:val="sl-SI"/>
        </w:rPr>
        <w:t>Benbrook</w:t>
      </w:r>
      <w:proofErr w:type="spellEnd"/>
      <w:r w:rsidRPr="00B2564F">
        <w:rPr>
          <w:sz w:val="24"/>
          <w:shd w:val="clear" w:color="auto" w:fill="FFFFFF"/>
          <w:lang w:val="sl-SI"/>
        </w:rPr>
        <w:t>, C.M.: „</w:t>
      </w:r>
      <w:proofErr w:type="spellStart"/>
      <w:r w:rsidRPr="00B2564F">
        <w:rPr>
          <w:sz w:val="24"/>
          <w:shd w:val="clear" w:color="auto" w:fill="FFFFFF"/>
          <w:lang w:val="sl-SI"/>
        </w:rPr>
        <w:t>Impacts</w:t>
      </w:r>
      <w:proofErr w:type="spellEnd"/>
      <w:r w:rsidRPr="00B2564F">
        <w:rPr>
          <w:sz w:val="24"/>
          <w:shd w:val="clear" w:color="auto" w:fill="FFFFFF"/>
          <w:lang w:val="sl-SI"/>
        </w:rPr>
        <w:t xml:space="preserve"> of </w:t>
      </w:r>
      <w:proofErr w:type="spellStart"/>
      <w:r w:rsidRPr="00B2564F">
        <w:rPr>
          <w:sz w:val="24"/>
          <w:shd w:val="clear" w:color="auto" w:fill="FFFFFF"/>
          <w:lang w:val="sl-SI"/>
        </w:rPr>
        <w:t>genetically</w:t>
      </w:r>
      <w:proofErr w:type="spellEnd"/>
      <w:r w:rsidRPr="00B2564F">
        <w:rPr>
          <w:sz w:val="24"/>
          <w:shd w:val="clear" w:color="auto" w:fill="FFFFFF"/>
          <w:lang w:val="sl-SI"/>
        </w:rPr>
        <w:t xml:space="preserve"> </w:t>
      </w:r>
      <w:proofErr w:type="spellStart"/>
      <w:r w:rsidRPr="00B2564F">
        <w:rPr>
          <w:sz w:val="24"/>
          <w:shd w:val="clear" w:color="auto" w:fill="FFFFFF"/>
          <w:lang w:val="sl-SI"/>
        </w:rPr>
        <w:t>engineered</w:t>
      </w:r>
      <w:proofErr w:type="spellEnd"/>
      <w:r w:rsidRPr="00B2564F">
        <w:rPr>
          <w:sz w:val="24"/>
          <w:shd w:val="clear" w:color="auto" w:fill="FFFFFF"/>
          <w:lang w:val="sl-SI"/>
        </w:rPr>
        <w:t xml:space="preserve"> </w:t>
      </w:r>
      <w:proofErr w:type="spellStart"/>
      <w:r w:rsidRPr="00B2564F">
        <w:rPr>
          <w:sz w:val="24"/>
          <w:shd w:val="clear" w:color="auto" w:fill="FFFFFF"/>
          <w:lang w:val="sl-SI"/>
        </w:rPr>
        <w:t>crops</w:t>
      </w:r>
      <w:proofErr w:type="spellEnd"/>
      <w:r w:rsidRPr="00B2564F">
        <w:rPr>
          <w:sz w:val="24"/>
          <w:shd w:val="clear" w:color="auto" w:fill="FFFFFF"/>
          <w:lang w:val="sl-SI"/>
        </w:rPr>
        <w:t xml:space="preserve"> on pesticide </w:t>
      </w:r>
      <w:proofErr w:type="spellStart"/>
      <w:r w:rsidRPr="00B2564F">
        <w:rPr>
          <w:sz w:val="24"/>
          <w:shd w:val="clear" w:color="auto" w:fill="FFFFFF"/>
          <w:lang w:val="sl-SI"/>
        </w:rPr>
        <w:t>use</w:t>
      </w:r>
      <w:proofErr w:type="spellEnd"/>
      <w:r w:rsidRPr="00B2564F">
        <w:rPr>
          <w:sz w:val="24"/>
          <w:shd w:val="clear" w:color="auto" w:fill="FFFFFF"/>
          <w:lang w:val="sl-SI"/>
        </w:rPr>
        <w:t xml:space="preserve"> in the U.S. - the </w:t>
      </w:r>
      <w:proofErr w:type="spellStart"/>
      <w:r w:rsidRPr="00B2564F">
        <w:rPr>
          <w:sz w:val="24"/>
          <w:shd w:val="clear" w:color="auto" w:fill="FFFFFF"/>
          <w:lang w:val="sl-SI"/>
        </w:rPr>
        <w:t>first</w:t>
      </w:r>
      <w:proofErr w:type="spellEnd"/>
      <w:r w:rsidRPr="00B2564F">
        <w:rPr>
          <w:sz w:val="24"/>
          <w:shd w:val="clear" w:color="auto" w:fill="FFFFFF"/>
          <w:lang w:val="sl-SI"/>
        </w:rPr>
        <w:t xml:space="preserve"> </w:t>
      </w:r>
      <w:proofErr w:type="spellStart"/>
      <w:r w:rsidRPr="00B2564F">
        <w:rPr>
          <w:sz w:val="24"/>
          <w:shd w:val="clear" w:color="auto" w:fill="FFFFFF"/>
          <w:lang w:val="sl-SI"/>
        </w:rPr>
        <w:t>sixteen</w:t>
      </w:r>
      <w:proofErr w:type="spellEnd"/>
      <w:r w:rsidRPr="00B2564F">
        <w:rPr>
          <w:sz w:val="24"/>
          <w:shd w:val="clear" w:color="auto" w:fill="FFFFFF"/>
          <w:lang w:val="sl-SI"/>
        </w:rPr>
        <w:t xml:space="preserve"> </w:t>
      </w:r>
      <w:proofErr w:type="spellStart"/>
      <w:r w:rsidRPr="00B2564F">
        <w:rPr>
          <w:sz w:val="24"/>
          <w:shd w:val="clear" w:color="auto" w:fill="FFFFFF"/>
          <w:lang w:val="sl-SI"/>
        </w:rPr>
        <w:t>years</w:t>
      </w:r>
      <w:proofErr w:type="spellEnd"/>
      <w:r w:rsidRPr="00B2564F">
        <w:rPr>
          <w:sz w:val="24"/>
          <w:shd w:val="clear" w:color="auto" w:fill="FFFFFF"/>
          <w:lang w:val="sl-SI"/>
        </w:rPr>
        <w:t xml:space="preserve">“, </w:t>
      </w:r>
      <w:proofErr w:type="spellStart"/>
      <w:r w:rsidRPr="00B2564F">
        <w:rPr>
          <w:i/>
          <w:iCs/>
          <w:sz w:val="24"/>
          <w:shd w:val="clear" w:color="auto" w:fill="FFFFFF"/>
          <w:lang w:val="sl-SI"/>
        </w:rPr>
        <w:t>Environmental</w:t>
      </w:r>
      <w:proofErr w:type="spellEnd"/>
      <w:r w:rsidRPr="00B2564F">
        <w:rPr>
          <w:i/>
          <w:iCs/>
          <w:sz w:val="24"/>
          <w:shd w:val="clear" w:color="auto" w:fill="FFFFFF"/>
          <w:lang w:val="sl-SI"/>
        </w:rPr>
        <w:t xml:space="preserve"> </w:t>
      </w:r>
      <w:proofErr w:type="spellStart"/>
      <w:r w:rsidRPr="00B2564F">
        <w:rPr>
          <w:i/>
          <w:iCs/>
          <w:sz w:val="24"/>
          <w:shd w:val="clear" w:color="auto" w:fill="FFFFFF"/>
          <w:lang w:val="sl-SI"/>
        </w:rPr>
        <w:t>Sciences</w:t>
      </w:r>
      <w:proofErr w:type="spellEnd"/>
      <w:r w:rsidRPr="00B2564F">
        <w:rPr>
          <w:i/>
          <w:iCs/>
          <w:sz w:val="24"/>
          <w:shd w:val="clear" w:color="auto" w:fill="FFFFFF"/>
          <w:lang w:val="sl-SI"/>
        </w:rPr>
        <w:t xml:space="preserve"> Europe</w:t>
      </w:r>
      <w:r w:rsidRPr="00B2564F">
        <w:rPr>
          <w:sz w:val="24"/>
          <w:shd w:val="clear" w:color="auto" w:fill="FFFFFF"/>
          <w:lang w:val="sl-SI"/>
        </w:rPr>
        <w:t xml:space="preserve">, 28. september 2012, zvezek 24(1), </w:t>
      </w:r>
      <w:hyperlink r:id="rId17" w:history="1">
        <w:r w:rsidRPr="00B2564F">
          <w:rPr>
            <w:rStyle w:val="Hyperlink"/>
            <w:sz w:val="24"/>
            <w:shd w:val="clear" w:color="auto" w:fill="FFFFFF"/>
            <w:lang w:val="sl-SI"/>
          </w:rPr>
          <w:t>https://doi.org/10.1186/2190-4715-24-24</w:t>
        </w:r>
      </w:hyperlink>
      <w:r w:rsidRPr="00B2564F">
        <w:rPr>
          <w:rStyle w:val="Hyperlink"/>
          <w:sz w:val="24"/>
          <w:shd w:val="clear" w:color="auto" w:fill="FFFFFF"/>
          <w:lang w:val="sl-SI"/>
        </w:rPr>
        <w:t>.</w:t>
      </w:r>
      <w:r w:rsidRPr="00B2564F">
        <w:rPr>
          <w:sz w:val="24"/>
          <w:shd w:val="clear" w:color="auto" w:fill="FFFFFF"/>
          <w:lang w:val="sl-SI"/>
        </w:rPr>
        <w:t xml:space="preserve"> </w:t>
      </w:r>
    </w:p>
  </w:footnote>
  <w:footnote w:id="8">
    <w:p w14:paraId="14D74617" w14:textId="659F0107"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lang w:val="sl-SI"/>
        </w:rPr>
        <w:t xml:space="preserve"> </w:t>
      </w:r>
      <w:r w:rsidR="00B2564F" w:rsidRPr="00B2564F">
        <w:rPr>
          <w:sz w:val="24"/>
          <w:lang w:val="sl-SI"/>
        </w:rPr>
        <w:tab/>
      </w:r>
      <w:r w:rsidRPr="00B2564F">
        <w:rPr>
          <w:sz w:val="24"/>
          <w:lang w:val="sl-SI"/>
        </w:rPr>
        <w:t xml:space="preserve">Glej na primer: </w:t>
      </w:r>
      <w:hyperlink r:id="rId18" w:history="1">
        <w:r w:rsidRPr="00B2564F">
          <w:rPr>
            <w:rStyle w:val="Hyperlink"/>
            <w:sz w:val="24"/>
            <w:lang w:val="sl-SI"/>
          </w:rPr>
          <w:t>https://doi.org/10.1002/ps.8105</w:t>
        </w:r>
      </w:hyperlink>
      <w:r w:rsidRPr="00B2564F">
        <w:rPr>
          <w:sz w:val="24"/>
          <w:lang w:val="sl-SI"/>
        </w:rPr>
        <w:t xml:space="preserve"> in </w:t>
      </w:r>
      <w:bookmarkStart w:id="11" w:name="_Hlk219205442"/>
      <w:r w:rsidRPr="00B2564F">
        <w:rPr>
          <w:sz w:val="24"/>
          <w:lang w:val="sl-SI"/>
        </w:rPr>
        <w:fldChar w:fldCharType="begin"/>
      </w:r>
      <w:r w:rsidRPr="00B2564F">
        <w:rPr>
          <w:sz w:val="24"/>
          <w:lang w:val="sl-SI"/>
        </w:rPr>
        <w:instrText>HYPERLINK "https://doi.org/10.1016/j.geoforum.2009.03.009"</w:instrText>
      </w:r>
      <w:r w:rsidRPr="00B2564F">
        <w:rPr>
          <w:sz w:val="24"/>
          <w:lang w:val="sl-SI"/>
        </w:rPr>
      </w:r>
      <w:r w:rsidRPr="00B2564F">
        <w:rPr>
          <w:sz w:val="24"/>
          <w:lang w:val="sl-SI"/>
        </w:rPr>
        <w:fldChar w:fldCharType="separate"/>
      </w:r>
      <w:r w:rsidRPr="00B2564F">
        <w:rPr>
          <w:rStyle w:val="Hyperlink"/>
          <w:sz w:val="24"/>
          <w:lang w:val="sl-SI"/>
        </w:rPr>
        <w:t>https://doi.org/10.1016/j.geoforum.2009.03.009</w:t>
      </w:r>
      <w:r w:rsidRPr="00B2564F">
        <w:rPr>
          <w:sz w:val="24"/>
          <w:lang w:val="sl-SI"/>
        </w:rPr>
        <w:fldChar w:fldCharType="end"/>
      </w:r>
      <w:bookmarkEnd w:id="11"/>
      <w:r w:rsidRPr="00B2564F">
        <w:rPr>
          <w:sz w:val="24"/>
          <w:lang w:val="sl-SI"/>
        </w:rPr>
        <w:t>.</w:t>
      </w:r>
    </w:p>
  </w:footnote>
  <w:footnote w:id="9">
    <w:p w14:paraId="21A894E2" w14:textId="56965656"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lang w:val="sl-SI"/>
        </w:rPr>
        <w:t xml:space="preserve"> </w:t>
      </w:r>
      <w:r w:rsidR="00B2564F" w:rsidRPr="00B2564F">
        <w:rPr>
          <w:sz w:val="24"/>
          <w:lang w:val="sl-SI"/>
        </w:rPr>
        <w:tab/>
      </w:r>
      <w:r w:rsidRPr="00B2564F">
        <w:rPr>
          <w:sz w:val="24"/>
          <w:lang w:val="sl-SI"/>
        </w:rPr>
        <w:t>Uredba (ES) št. 1107/2009 Evropskega parlamenta in Sveta z dne 21. oktobra 2009 o dajanju fitofarmacevtskih sredstev v promet in razveljavitvi direktiv Sveta 79/117/EGS in 91/414/EGS (UL L 309, 24.11.2009, str. 1, ELI: </w:t>
      </w:r>
      <w:hyperlink r:id="rId19" w:tooltip="Omogoča dostop do dokumenta prek označevalnika/predloge ELI URI." w:history="1">
        <w:r w:rsidRPr="00B2564F">
          <w:rPr>
            <w:rStyle w:val="Hyperlink"/>
            <w:sz w:val="24"/>
            <w:lang w:val="sl-SI"/>
          </w:rPr>
          <w:t>http://data.europa.eu/eli/reg/2009/1107/oj</w:t>
        </w:r>
      </w:hyperlink>
      <w:r w:rsidRPr="00B2564F">
        <w:rPr>
          <w:sz w:val="24"/>
          <w:lang w:val="sl-SI"/>
        </w:rPr>
        <w:t>).</w:t>
      </w:r>
    </w:p>
  </w:footnote>
  <w:footnote w:id="10">
    <w:p w14:paraId="5B64623D" w14:textId="1F86F1E2"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lang w:val="sl-SI"/>
        </w:rPr>
        <w:t xml:space="preserve"> </w:t>
      </w:r>
      <w:r w:rsidR="00B2564F" w:rsidRPr="00B2564F">
        <w:rPr>
          <w:sz w:val="24"/>
          <w:lang w:val="sl-SI"/>
        </w:rPr>
        <w:tab/>
      </w:r>
      <w:r w:rsidRPr="00B2564F">
        <w:rPr>
          <w:sz w:val="24"/>
          <w:lang w:val="sl-SI"/>
        </w:rPr>
        <w:t>Glej na primer:</w:t>
      </w:r>
      <w:r w:rsidRPr="00B2564F">
        <w:rPr>
          <w:sz w:val="24"/>
          <w:lang w:val="sl-SI"/>
        </w:rPr>
        <w:br/>
      </w:r>
      <w:hyperlink r:id="rId20" w:history="1">
        <w:r w:rsidRPr="00B2564F">
          <w:rPr>
            <w:rStyle w:val="Hyperlink"/>
            <w:sz w:val="24"/>
            <w:lang w:val="sl-SI"/>
          </w:rPr>
          <w:t>https://doi.org/10.1016/j.mrrev.2019.02.001</w:t>
        </w:r>
      </w:hyperlink>
      <w:r w:rsidRPr="00B2564F">
        <w:rPr>
          <w:sz w:val="24"/>
          <w:lang w:val="sl-SI"/>
        </w:rPr>
        <w:t>,</w:t>
      </w:r>
      <w:r w:rsidR="00EE3C48">
        <w:rPr>
          <w:sz w:val="24"/>
          <w:lang w:val="sl-SI"/>
        </w:rPr>
        <w:t xml:space="preserve"> </w:t>
      </w:r>
      <w:hyperlink r:id="rId21" w:history="1">
        <w:r w:rsidRPr="00B2564F">
          <w:rPr>
            <w:rStyle w:val="Hyperlink"/>
            <w:sz w:val="24"/>
            <w:lang w:val="sl-SI"/>
          </w:rPr>
          <w:t>https://doi.org/10.1093/ije/dyz017</w:t>
        </w:r>
      </w:hyperlink>
      <w:r w:rsidRPr="00B2564F">
        <w:rPr>
          <w:sz w:val="24"/>
          <w:lang w:val="sl-SI"/>
        </w:rPr>
        <w:t>,</w:t>
      </w:r>
      <w:r w:rsidR="00EE3C48">
        <w:rPr>
          <w:sz w:val="24"/>
          <w:lang w:val="sl-SI"/>
        </w:rPr>
        <w:t xml:space="preserve"> </w:t>
      </w:r>
      <w:hyperlink r:id="rId22" w:history="1">
        <w:r w:rsidRPr="00B2564F">
          <w:rPr>
            <w:rStyle w:val="Hyperlink"/>
            <w:sz w:val="24"/>
            <w:lang w:val="sl-SI"/>
          </w:rPr>
          <w:t>https://doi.org/10.1371/journal.pone.0219610</w:t>
        </w:r>
      </w:hyperlink>
      <w:r w:rsidRPr="00B2564F">
        <w:rPr>
          <w:sz w:val="24"/>
          <w:lang w:val="sl-SI"/>
        </w:rPr>
        <w:t xml:space="preserve"> in</w:t>
      </w:r>
      <w:r w:rsidR="00EE3C48">
        <w:rPr>
          <w:sz w:val="24"/>
          <w:lang w:val="sl-SI"/>
        </w:rPr>
        <w:t xml:space="preserve"> </w:t>
      </w:r>
      <w:hyperlink r:id="rId23" w:history="1">
        <w:r w:rsidRPr="00B2564F">
          <w:rPr>
            <w:rStyle w:val="Hyperlink"/>
            <w:sz w:val="24"/>
            <w:lang w:val="sl-SI"/>
          </w:rPr>
          <w:t>https://doi.org/10.1186/s13045-019-0767-9</w:t>
        </w:r>
      </w:hyperlink>
      <w:r w:rsidRPr="00B2564F">
        <w:rPr>
          <w:sz w:val="24"/>
          <w:lang w:val="sl-SI"/>
        </w:rPr>
        <w:t>.</w:t>
      </w:r>
    </w:p>
  </w:footnote>
  <w:footnote w:id="11">
    <w:p w14:paraId="3519AA95" w14:textId="16FA2121"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lang w:val="sl-SI"/>
        </w:rPr>
        <w:t xml:space="preserve"> </w:t>
      </w:r>
      <w:r w:rsidR="00B2564F" w:rsidRPr="00B2564F">
        <w:rPr>
          <w:sz w:val="24"/>
          <w:lang w:val="sl-SI"/>
        </w:rPr>
        <w:tab/>
      </w:r>
      <w:hyperlink r:id="rId24" w:tgtFrame="_blank" w:tooltip="Trajna povezava, ki uporablja digitalni identifikator objekta" w:history="1">
        <w:r w:rsidRPr="00B2564F">
          <w:rPr>
            <w:rStyle w:val="Hyperlink"/>
            <w:sz w:val="24"/>
            <w:lang w:val="sl-SI"/>
          </w:rPr>
          <w:t>https://doi.org/10.1006/rtph.1999.1371</w:t>
        </w:r>
      </w:hyperlink>
    </w:p>
  </w:footnote>
  <w:footnote w:id="12">
    <w:p w14:paraId="34B1E99A" w14:textId="2D85EA26"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color w:val="000000" w:themeColor="text1"/>
          <w:sz w:val="24"/>
          <w:lang w:val="sl-SI"/>
        </w:rPr>
        <w:t xml:space="preserve"> </w:t>
      </w:r>
      <w:r w:rsidR="00B2564F" w:rsidRPr="00B2564F">
        <w:rPr>
          <w:color w:val="000000" w:themeColor="text1"/>
          <w:sz w:val="24"/>
          <w:lang w:val="sl-SI"/>
        </w:rPr>
        <w:tab/>
      </w:r>
      <w:r w:rsidRPr="00B2564F">
        <w:rPr>
          <w:color w:val="000000" w:themeColor="text1"/>
          <w:sz w:val="24"/>
          <w:lang w:val="sl-SI"/>
        </w:rPr>
        <w:t>Decembra 2022 je bil na 15. konferenci pogodbenic Konvencije Združenih narodov o biološki raznovrstnosti dosežen dogovor o svetovnem okviru za biotsko raznovrstnost, ki vključuje globalni cilj zmanjšanja tveganja pesticidov za vsaj 50</w:t>
      </w:r>
      <w:r w:rsidRPr="00B2564F">
        <w:rPr>
          <w:sz w:val="24"/>
          <w:lang w:val="sl-SI"/>
        </w:rPr>
        <w:t> </w:t>
      </w:r>
      <w:r w:rsidRPr="00B2564F">
        <w:rPr>
          <w:color w:val="000000" w:themeColor="text1"/>
          <w:sz w:val="24"/>
          <w:lang w:val="sl-SI"/>
        </w:rPr>
        <w:t xml:space="preserve">% do leta 2030 (glej: </w:t>
      </w:r>
      <w:hyperlink r:id="rId25" w:history="1">
        <w:r w:rsidRPr="00B2564F">
          <w:rPr>
            <w:rStyle w:val="Hyperlink"/>
            <w:sz w:val="24"/>
            <w:lang w:val="sl-SI"/>
          </w:rPr>
          <w:t>https://ec.europa.eu/commission/presscorner/detail/sl/ip_22_7834</w:t>
        </w:r>
      </w:hyperlink>
      <w:r w:rsidRPr="00B2564F">
        <w:rPr>
          <w:sz w:val="24"/>
          <w:lang w:val="sl-SI"/>
        </w:rPr>
        <w:t xml:space="preserve">). </w:t>
      </w:r>
    </w:p>
  </w:footnote>
  <w:footnote w:id="13">
    <w:p w14:paraId="285B79C3" w14:textId="765B395D"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lang w:val="sl-SI"/>
        </w:rPr>
        <w:t xml:space="preserve"> </w:t>
      </w:r>
      <w:r w:rsidR="00B2564F" w:rsidRPr="00B2564F">
        <w:rPr>
          <w:sz w:val="24"/>
          <w:lang w:val="sl-SI"/>
        </w:rPr>
        <w:tab/>
      </w:r>
      <w:hyperlink r:id="rId26" w:history="1">
        <w:r w:rsidRPr="00B2564F">
          <w:rPr>
            <w:rStyle w:val="Hyperlink"/>
            <w:sz w:val="24"/>
            <w:lang w:val="sl-SI"/>
          </w:rPr>
          <w:t>https://commission.europa.eu/strategy-and-policy/priorities-2019-2024/european-green-deal/agriculture-and-green-deal/strategic-dialogue-future-eu-agriculture_sl</w:t>
        </w:r>
      </w:hyperlink>
    </w:p>
  </w:footnote>
  <w:footnote w:id="14">
    <w:p w14:paraId="585AE5E3" w14:textId="70A05A02" w:rsidR="006A1250" w:rsidRPr="00B2564F" w:rsidRDefault="006A1250" w:rsidP="00B2564F">
      <w:pPr>
        <w:pStyle w:val="FootnoteText"/>
        <w:ind w:left="567" w:hanging="567"/>
        <w:rPr>
          <w:sz w:val="24"/>
          <w:lang w:val="sl-SI"/>
        </w:rPr>
      </w:pPr>
      <w:r w:rsidRPr="00B2564F">
        <w:rPr>
          <w:rStyle w:val="FootnoteReference"/>
          <w:sz w:val="24"/>
          <w:lang w:val="sl-SI"/>
        </w:rPr>
        <w:footnoteRef/>
      </w:r>
      <w:r w:rsidR="00B2564F" w:rsidRPr="00B2564F">
        <w:rPr>
          <w:sz w:val="24"/>
          <w:lang w:val="sl-SI"/>
        </w:rPr>
        <w:t xml:space="preserve"> </w:t>
      </w:r>
      <w:r w:rsidR="00B2564F" w:rsidRPr="00B2564F">
        <w:rPr>
          <w:sz w:val="24"/>
          <w:lang w:val="sl-SI"/>
        </w:rPr>
        <w:tab/>
      </w:r>
      <w:r w:rsidRPr="00B2564F">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1, ELI:</w:t>
      </w:r>
      <w:r w:rsidRPr="00B2564F">
        <w:rPr>
          <w:color w:val="000000" w:themeColor="text1"/>
          <w:sz w:val="24"/>
          <w:lang w:val="sl-SI"/>
        </w:rPr>
        <w:t> </w:t>
      </w:r>
      <w:hyperlink r:id="rId27" w:tgtFrame="Gives access to this document through its ELI URI." w:history="1">
        <w:r w:rsidRPr="00B2564F">
          <w:rPr>
            <w:rStyle w:val="Hyperlink"/>
            <w:color w:val="0070C0"/>
            <w:sz w:val="24"/>
            <w:lang w:val="sl-SI"/>
          </w:rPr>
          <w:t>http://data.europa.eu/eli/reg/2002/178/oj</w:t>
        </w:r>
      </w:hyperlink>
      <w:r w:rsidRPr="00B2564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B1DB" w14:textId="77777777" w:rsidR="00064002" w:rsidRPr="00B256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D1165" w14:textId="77777777" w:rsidR="00064002" w:rsidRPr="00B256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FDF3" w14:textId="77777777" w:rsidR="00064002" w:rsidRPr="00B256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0835030">
    <w:abstractNumId w:val="9"/>
  </w:num>
  <w:num w:numId="2" w16cid:durableId="1697656975">
    <w:abstractNumId w:val="9"/>
  </w:num>
  <w:num w:numId="3" w16cid:durableId="1545602981">
    <w:abstractNumId w:val="7"/>
  </w:num>
  <w:num w:numId="4" w16cid:durableId="988022914">
    <w:abstractNumId w:val="7"/>
  </w:num>
  <w:num w:numId="5" w16cid:durableId="2034378158">
    <w:abstractNumId w:val="6"/>
  </w:num>
  <w:num w:numId="6" w16cid:durableId="617177212">
    <w:abstractNumId w:val="6"/>
  </w:num>
  <w:num w:numId="7" w16cid:durableId="1528326450">
    <w:abstractNumId w:val="5"/>
  </w:num>
  <w:num w:numId="8" w16cid:durableId="380137588">
    <w:abstractNumId w:val="5"/>
  </w:num>
  <w:num w:numId="9" w16cid:durableId="1041831002">
    <w:abstractNumId w:val="4"/>
  </w:num>
  <w:num w:numId="10" w16cid:durableId="1798836109">
    <w:abstractNumId w:val="4"/>
  </w:num>
  <w:num w:numId="11" w16cid:durableId="513813052">
    <w:abstractNumId w:val="8"/>
  </w:num>
  <w:num w:numId="12" w16cid:durableId="724065292">
    <w:abstractNumId w:val="8"/>
  </w:num>
  <w:num w:numId="13" w16cid:durableId="1600218453">
    <w:abstractNumId w:val="3"/>
  </w:num>
  <w:num w:numId="14" w16cid:durableId="652762715">
    <w:abstractNumId w:val="3"/>
  </w:num>
  <w:num w:numId="15" w16cid:durableId="112748401">
    <w:abstractNumId w:val="2"/>
  </w:num>
  <w:num w:numId="16" w16cid:durableId="91976364">
    <w:abstractNumId w:val="2"/>
  </w:num>
  <w:num w:numId="17" w16cid:durableId="1511532319">
    <w:abstractNumId w:val="1"/>
  </w:num>
  <w:num w:numId="18" w16cid:durableId="1589466476">
    <w:abstractNumId w:val="1"/>
  </w:num>
  <w:num w:numId="19" w16cid:durableId="129632270">
    <w:abstractNumId w:val="0"/>
  </w:num>
  <w:num w:numId="20" w16cid:durableId="1940596774">
    <w:abstractNumId w:val="0"/>
  </w:num>
  <w:num w:numId="21" w16cid:durableId="466825181">
    <w:abstractNumId w:val="9"/>
  </w:num>
  <w:num w:numId="22" w16cid:durableId="67383388">
    <w:abstractNumId w:val="7"/>
  </w:num>
  <w:num w:numId="23" w16cid:durableId="1369259887">
    <w:abstractNumId w:val="6"/>
  </w:num>
  <w:num w:numId="24" w16cid:durableId="489103056">
    <w:abstractNumId w:val="5"/>
  </w:num>
  <w:num w:numId="25" w16cid:durableId="641472066">
    <w:abstractNumId w:val="4"/>
  </w:num>
  <w:num w:numId="26" w16cid:durableId="2112312774">
    <w:abstractNumId w:val="8"/>
  </w:num>
  <w:num w:numId="27" w16cid:durableId="340357628">
    <w:abstractNumId w:val="3"/>
  </w:num>
  <w:num w:numId="28" w16cid:durableId="556205964">
    <w:abstractNumId w:val="2"/>
  </w:num>
  <w:num w:numId="29" w16cid:durableId="658852805">
    <w:abstractNumId w:val="1"/>
  </w:num>
  <w:num w:numId="30" w16cid:durableId="334647905">
    <w:abstractNumId w:val="0"/>
  </w:num>
  <w:num w:numId="31" w16cid:durableId="570769661">
    <w:abstractNumId w:val="9"/>
  </w:num>
  <w:num w:numId="32" w16cid:durableId="79572649">
    <w:abstractNumId w:val="7"/>
  </w:num>
  <w:num w:numId="33" w16cid:durableId="1841462022">
    <w:abstractNumId w:val="6"/>
  </w:num>
  <w:num w:numId="34" w16cid:durableId="222760856">
    <w:abstractNumId w:val="5"/>
  </w:num>
  <w:num w:numId="35" w16cid:durableId="34282337">
    <w:abstractNumId w:val="4"/>
  </w:num>
  <w:num w:numId="36" w16cid:durableId="696196555">
    <w:abstractNumId w:val="8"/>
  </w:num>
  <w:num w:numId="37" w16cid:durableId="276445483">
    <w:abstractNumId w:val="3"/>
  </w:num>
  <w:num w:numId="38" w16cid:durableId="1931766822">
    <w:abstractNumId w:val="2"/>
  </w:num>
  <w:num w:numId="39" w16cid:durableId="62920154">
    <w:abstractNumId w:val="1"/>
  </w:num>
  <w:num w:numId="40" w16cid:durableId="92435554">
    <w:abstractNumId w:val="0"/>
  </w:num>
  <w:num w:numId="41" w16cid:durableId="996573114">
    <w:abstractNumId w:val="10"/>
  </w:num>
  <w:num w:numId="42" w16cid:durableId="568540570">
    <w:abstractNumId w:val="10"/>
  </w:num>
  <w:num w:numId="43" w16cid:durableId="1400902950">
    <w:abstractNumId w:val="10"/>
  </w:num>
  <w:num w:numId="44" w16cid:durableId="16413801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SL"/>
    <w:docVar w:name="dvnumam" w:val="0"/>
    <w:docVar w:name="dvpe" w:val="782.197"/>
    <w:docVar w:name="dvtitre" w:val="Resolucija Evropskega parlamenta z dne … 2026 o osnutku izvedbenega sklepa Komisije o obnovitvi odobritve dajanja proizvodov, ki vsebujejo gensko spremenjeni bombaž GHB614 × LLCotton25, so iz njega sestavljeni ali proizvedeni, v promet v skladu z Uredbo (ES) št. 1829/2003 Evropskega parlamenta in Sveta(D111476/01 - 2026/2519(RSP))"/>
  </w:docVars>
  <w:rsids>
    <w:rsidRoot w:val="001D6DBE"/>
    <w:rsid w:val="00002272"/>
    <w:rsid w:val="000428F8"/>
    <w:rsid w:val="00064002"/>
    <w:rsid w:val="000677B9"/>
    <w:rsid w:val="000831BA"/>
    <w:rsid w:val="000A42CC"/>
    <w:rsid w:val="000E7DD9"/>
    <w:rsid w:val="0010095E"/>
    <w:rsid w:val="00125B37"/>
    <w:rsid w:val="00187494"/>
    <w:rsid w:val="001D6DBE"/>
    <w:rsid w:val="001F32AE"/>
    <w:rsid w:val="002767FF"/>
    <w:rsid w:val="002B18FE"/>
    <w:rsid w:val="002B5493"/>
    <w:rsid w:val="002F1B6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1F4"/>
    <w:rsid w:val="005C2568"/>
    <w:rsid w:val="005F1B17"/>
    <w:rsid w:val="006037C0"/>
    <w:rsid w:val="006631B6"/>
    <w:rsid w:val="006802A8"/>
    <w:rsid w:val="00680577"/>
    <w:rsid w:val="006A1250"/>
    <w:rsid w:val="006F74FA"/>
    <w:rsid w:val="00731ADD"/>
    <w:rsid w:val="00734777"/>
    <w:rsid w:val="00747932"/>
    <w:rsid w:val="00751A4A"/>
    <w:rsid w:val="00756632"/>
    <w:rsid w:val="00762C74"/>
    <w:rsid w:val="00786EC0"/>
    <w:rsid w:val="007C70C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64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C4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38068"/>
  <w15:chartTrackingRefBased/>
  <w15:docId w15:val="{DFE25893-9450-4E6D-ACE2-B94D2FEE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6A1250"/>
    <w:pPr>
      <w:spacing w:before="480" w:after="240"/>
    </w:pPr>
  </w:style>
  <w:style w:type="paragraph" w:customStyle="1" w:styleId="NormalHanging12a">
    <w:name w:val="NormalHanging12a"/>
    <w:basedOn w:val="Normal"/>
    <w:uiPriority w:val="99"/>
    <w:qFormat/>
    <w:rsid w:val="006A1250"/>
    <w:pPr>
      <w:spacing w:after="240"/>
      <w:ind w:left="567" w:hanging="567"/>
    </w:pPr>
  </w:style>
  <w:style w:type="character" w:styleId="Hyperlink">
    <w:name w:val="Hyperlink"/>
    <w:basedOn w:val="DefaultParagraphFont"/>
    <w:uiPriority w:val="99"/>
    <w:rsid w:val="006A1250"/>
    <w:rPr>
      <w:color w:val="0563C1" w:themeColor="hyperlink"/>
      <w:u w:val="single"/>
    </w:rPr>
  </w:style>
  <w:style w:type="paragraph" w:styleId="NormalWeb">
    <w:name w:val="Normal (Web)"/>
    <w:basedOn w:val="Normal"/>
    <w:uiPriority w:val="99"/>
    <w:unhideWhenUsed/>
    <w:rsid w:val="006A1250"/>
    <w:pPr>
      <w:widowControl/>
      <w:spacing w:before="100" w:beforeAutospacing="1" w:after="100" w:afterAutospacing="1"/>
    </w:pPr>
    <w:rPr>
      <w:szCs w:val="24"/>
    </w:rPr>
  </w:style>
  <w:style w:type="paragraph" w:styleId="Revision">
    <w:name w:val="Revision"/>
    <w:hidden/>
    <w:uiPriority w:val="99"/>
    <w:semiHidden/>
    <w:rsid w:val="00EE3C4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sl"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sl/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1489</Words>
  <Characters>8820</Characters>
  <Application>Microsoft Office Word</Application>
  <DocSecurity>0</DocSecurity>
  <Lines>294</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2026-03-16T15:30:00Z</dcterms:created>
  <dcterms:modified xsi:type="dcterms:W3CDTF">2026-03-16T15:30:00Z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B10-0109/2026</vt:lpwstr>
  </property>
  <property fmtid="{D5CDD505-2E9C-101B-9397-08002B2CF9AE}" pid="4" name="&lt;Type&gt;">
    <vt:lpwstr>RR</vt:lpwstr>
  </property>
</Properties>
</file>