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00F7" w14:paraId="220B24D7" w14:textId="77777777" w:rsidTr="0010095E">
        <w:trPr>
          <w:trHeight w:hRule="exact" w:val="1418"/>
        </w:trPr>
        <w:tc>
          <w:tcPr>
            <w:tcW w:w="6804" w:type="dxa"/>
            <w:shd w:val="clear" w:color="auto" w:fill="auto"/>
            <w:vAlign w:val="center"/>
          </w:tcPr>
          <w:p w14:paraId="3A72C67B" w14:textId="77777777" w:rsidR="00751A4A" w:rsidRPr="00E800F7" w:rsidRDefault="00F34A9D" w:rsidP="0010095E">
            <w:pPr>
              <w:pStyle w:val="EPName"/>
            </w:pPr>
            <w:r w:rsidRPr="00E800F7">
              <w:t>Ευρωπαϊκό Κοινοβούλιο</w:t>
            </w:r>
          </w:p>
          <w:p w14:paraId="60353A1E" w14:textId="77777777" w:rsidR="00751A4A" w:rsidRPr="00E800F7" w:rsidRDefault="005F1B17" w:rsidP="005F1B17">
            <w:pPr>
              <w:pStyle w:val="EPTerm"/>
              <w:rPr>
                <w:rStyle w:val="HideTWBExt"/>
                <w:noProof w:val="0"/>
                <w:vanish w:val="0"/>
                <w:color w:val="auto"/>
              </w:rPr>
            </w:pPr>
            <w:r w:rsidRPr="00E800F7">
              <w:t>2024</w:t>
            </w:r>
            <w:r w:rsidR="00817416" w:rsidRPr="00E800F7">
              <w:t>-202</w:t>
            </w:r>
            <w:r w:rsidRPr="00E800F7">
              <w:t>9</w:t>
            </w:r>
          </w:p>
        </w:tc>
        <w:tc>
          <w:tcPr>
            <w:tcW w:w="2268" w:type="dxa"/>
            <w:shd w:val="clear" w:color="auto" w:fill="auto"/>
          </w:tcPr>
          <w:p w14:paraId="75037E24" w14:textId="77777777" w:rsidR="00751A4A" w:rsidRPr="00E800F7" w:rsidRDefault="00187494" w:rsidP="0010095E">
            <w:pPr>
              <w:pStyle w:val="EPLogo"/>
            </w:pPr>
            <w:r w:rsidRPr="00E800F7">
              <w:rPr>
                <w:noProof/>
                <w:lang w:eastAsia="ja-JP"/>
              </w:rPr>
              <w:drawing>
                <wp:inline distT="0" distB="0" distL="0" distR="0" wp14:anchorId="398C8E52" wp14:editId="603CBB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910607" w14:textId="77777777" w:rsidR="00D058B8" w:rsidRPr="00E800F7" w:rsidRDefault="00D058B8" w:rsidP="004C5D52">
      <w:pPr>
        <w:pStyle w:val="LineTop"/>
      </w:pPr>
    </w:p>
    <w:p w14:paraId="76A0FDAD" w14:textId="77777777" w:rsidR="00680577" w:rsidRPr="00E800F7" w:rsidRDefault="00F34A9D" w:rsidP="00680577">
      <w:pPr>
        <w:pStyle w:val="EPBodyTA1"/>
      </w:pPr>
      <w:r w:rsidRPr="00E800F7">
        <w:t>ΚΕΙΜΕΝΑ ΠΟΥ ΕΓΚΡΙΘΗΚΑΝ</w:t>
      </w:r>
    </w:p>
    <w:p w14:paraId="1930CC76" w14:textId="77777777" w:rsidR="00D058B8" w:rsidRPr="00E800F7" w:rsidRDefault="00D058B8" w:rsidP="00D058B8">
      <w:pPr>
        <w:pStyle w:val="LineBottom"/>
      </w:pPr>
    </w:p>
    <w:p w14:paraId="00209307" w14:textId="5D28B7AE" w:rsidR="00F34A9D" w:rsidRPr="00E800F7" w:rsidRDefault="00F34A9D" w:rsidP="00F34A9D">
      <w:pPr>
        <w:pStyle w:val="ATHeading1"/>
      </w:pPr>
      <w:bookmarkStart w:id="0" w:name="TANumber"/>
      <w:r w:rsidRPr="00E800F7">
        <w:t>P10_TA(2026)00</w:t>
      </w:r>
      <w:r w:rsidR="00E800F7" w:rsidRPr="00E800F7">
        <w:t>44</w:t>
      </w:r>
      <w:bookmarkEnd w:id="0"/>
    </w:p>
    <w:p w14:paraId="7CB523F1" w14:textId="23F63D08" w:rsidR="00F34A9D" w:rsidRPr="00E800F7" w:rsidRDefault="000C0807" w:rsidP="00F34A9D">
      <w:pPr>
        <w:pStyle w:val="ATHeading2"/>
      </w:pPr>
      <w:bookmarkStart w:id="1" w:name="title"/>
      <w:r w:rsidRPr="00E800F7">
        <w:t>Γενετικώς τροποποιημένο βαμβάκι T304-40</w:t>
      </w:r>
      <w:bookmarkEnd w:id="1"/>
    </w:p>
    <w:p w14:paraId="4C30E1CB" w14:textId="77777777" w:rsidR="00F34A9D" w:rsidRPr="00E800F7" w:rsidRDefault="00F34A9D" w:rsidP="00F34A9D">
      <w:pPr>
        <w:rPr>
          <w:i/>
          <w:vanish/>
        </w:rPr>
      </w:pPr>
      <w:r w:rsidRPr="00E800F7">
        <w:rPr>
          <w:i/>
        </w:rPr>
        <w:fldChar w:fldCharType="begin"/>
      </w:r>
      <w:r w:rsidRPr="00E800F7">
        <w:rPr>
          <w:i/>
        </w:rPr>
        <w:instrText xml:space="preserve"> TC"(</w:instrText>
      </w:r>
      <w:bookmarkStart w:id="2" w:name="DocNumber"/>
      <w:r w:rsidRPr="00E800F7">
        <w:rPr>
          <w:i/>
        </w:rPr>
        <w:instrText>B10-0108/2026</w:instrText>
      </w:r>
      <w:bookmarkEnd w:id="2"/>
      <w:r w:rsidRPr="00E800F7">
        <w:rPr>
          <w:i/>
        </w:rPr>
        <w:instrText xml:space="preserve">)"\l3 \n&gt; \* MERGEFORMAT </w:instrText>
      </w:r>
      <w:r w:rsidRPr="00E800F7">
        <w:rPr>
          <w:i/>
        </w:rPr>
        <w:fldChar w:fldCharType="end"/>
      </w:r>
    </w:p>
    <w:p w14:paraId="0A52F9BF" w14:textId="77777777" w:rsidR="00F34A9D" w:rsidRPr="00E800F7" w:rsidRDefault="00F34A9D" w:rsidP="00F34A9D">
      <w:pPr>
        <w:rPr>
          <w:vanish/>
        </w:rPr>
      </w:pPr>
      <w:bookmarkStart w:id="3" w:name="PE"/>
      <w:r w:rsidRPr="00E800F7">
        <w:rPr>
          <w:vanish/>
        </w:rPr>
        <w:t>PE782.164</w:t>
      </w:r>
      <w:bookmarkEnd w:id="3"/>
    </w:p>
    <w:p w14:paraId="2C43D56D" w14:textId="5566BBE5" w:rsidR="00F34A9D" w:rsidRPr="00E800F7" w:rsidRDefault="00F34A9D" w:rsidP="00F34A9D">
      <w:pPr>
        <w:pStyle w:val="ATHeading3"/>
      </w:pPr>
      <w:bookmarkStart w:id="4" w:name="Sujet"/>
      <w:r w:rsidRPr="00E800F7">
        <w:t xml:space="preserve">Ψήφισμα του Ευρωπαϊκού Κοινοβουλίου της </w:t>
      </w:r>
      <w:r w:rsidR="000C0807" w:rsidRPr="00E800F7">
        <w:t xml:space="preserve">11ης Φεβρουαρίου </w:t>
      </w:r>
      <w:r w:rsidRPr="00E800F7">
        <w:t>2026 σχετικά με το σχέδιο εκτελεστικής απόφασης της Επιτροπής που ανανεώνει την έγκριση της διάθεσης στην αγορά προϊόντων που περιέχουν, αποτελούνται ή παράγονται από γενετικώς τροποποιημένο βαμβάκι T304-40, σύμφωνα με τον κανονισμό (ΕΚ) αριθ. 1829/2003 του Ευρωπαϊκού Κοινοβουλίου και του Συμβουλίου</w:t>
      </w:r>
      <w:bookmarkEnd w:id="4"/>
      <w:r w:rsidRPr="00E800F7">
        <w:t xml:space="preserve"> </w:t>
      </w:r>
      <w:bookmarkStart w:id="5" w:name="References"/>
      <w:r w:rsidRPr="00E800F7">
        <w:t>(D111477/02 – 2026/2518(RSP))</w:t>
      </w:r>
      <w:bookmarkEnd w:id="5"/>
    </w:p>
    <w:p w14:paraId="67601673" w14:textId="77777777" w:rsidR="007E6B88" w:rsidRPr="00E800F7" w:rsidRDefault="007E6B88" w:rsidP="007E6B88">
      <w:pPr>
        <w:pStyle w:val="EPComma"/>
      </w:pPr>
      <w:bookmarkStart w:id="6" w:name="TextBodyBegin"/>
      <w:bookmarkEnd w:id="6"/>
      <w:r w:rsidRPr="00E800F7">
        <w:rPr>
          <w:i/>
        </w:rPr>
        <w:t>Το Ευρωπαϊκό Κοινοβούλιο</w:t>
      </w:r>
      <w:r w:rsidRPr="00E800F7">
        <w:t>,</w:t>
      </w:r>
    </w:p>
    <w:p w14:paraId="6C4A2513" w14:textId="77777777" w:rsidR="007E6B88" w:rsidRPr="00E800F7" w:rsidRDefault="007E6B88" w:rsidP="007E6B88">
      <w:pPr>
        <w:pStyle w:val="NormalHanging12a"/>
      </w:pPr>
      <w:r w:rsidRPr="00E800F7">
        <w:t>–</w:t>
      </w:r>
      <w:r w:rsidRPr="00E800F7">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T304-40, σύμφωνα με τον κανονισμό (ΕΚ) αριθ. 1829/2003 του Ευρωπαϊκού Κοινοβουλίου και του Συμβουλίου (D111477/02),</w:t>
      </w:r>
    </w:p>
    <w:p w14:paraId="737D27EF" w14:textId="77777777" w:rsidR="007E6B88" w:rsidRPr="00E800F7" w:rsidRDefault="007E6B88" w:rsidP="007E6B88">
      <w:pPr>
        <w:pStyle w:val="NormalHanging12a"/>
      </w:pPr>
      <w:r w:rsidRPr="00E800F7">
        <w:t>–</w:t>
      </w:r>
      <w:r w:rsidRPr="00E800F7">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E800F7">
        <w:rPr>
          <w:vertAlign w:val="superscript"/>
        </w:rPr>
        <w:footnoteReference w:id="1"/>
      </w:r>
      <w:r w:rsidRPr="00E800F7">
        <w:t>, και ειδικότερα το άρθρο 11 παράγραφος 3 και το άρθρο 23 παράγραφος 3,</w:t>
      </w:r>
    </w:p>
    <w:p w14:paraId="2371FA88" w14:textId="350F57F9" w:rsidR="007E6B88" w:rsidRPr="00E800F7" w:rsidRDefault="007E6B88" w:rsidP="007E6B88">
      <w:pPr>
        <w:pStyle w:val="NormalHanging12a"/>
      </w:pPr>
      <w:bookmarkStart w:id="7" w:name="_Hlk210666078"/>
      <w:r w:rsidRPr="00E800F7">
        <w:t>–</w:t>
      </w:r>
      <w:r w:rsidRPr="00E800F7">
        <w:tab/>
        <w:t xml:space="preserve">έχοντας υπόψη την ψηφοφορία στη </w:t>
      </w:r>
      <w:bookmarkStart w:id="8" w:name="_Hlk210664905"/>
      <w:r w:rsidRPr="00E800F7">
        <w:t>Μόνιμη Επιτροπή Φυτών, Ζώων, Τροφίμων και Ζωοτροφών</w:t>
      </w:r>
      <w:bookmarkEnd w:id="8"/>
      <w:r w:rsidRPr="00E800F7">
        <w:t xml:space="preserve"> κατά το άρθρο 35 του κανονισμού (ΕΚ) αριθ. 1829/2003,</w:t>
      </w:r>
      <w:r w:rsidR="00A2351E" w:rsidRPr="00E800F7">
        <w:t xml:space="preserve"> η οποία πραγματοποιήθηκε </w:t>
      </w:r>
      <w:r w:rsidRPr="00E800F7">
        <w:t>στις 12 Δεκεμβρίου 2025</w:t>
      </w:r>
      <w:bookmarkEnd w:id="7"/>
      <w:r w:rsidR="00A2351E" w:rsidRPr="00E800F7">
        <w:t xml:space="preserve"> και </w:t>
      </w:r>
      <w:r w:rsidRPr="00E800F7">
        <w:t xml:space="preserve">κατά την οποία δεν εκδόθηκε </w:t>
      </w:r>
      <w:r w:rsidR="00B9275A" w:rsidRPr="00E800F7">
        <w:t>γνωμοδότηση</w:t>
      </w:r>
      <w:r w:rsidRPr="00E800F7">
        <w:t>,</w:t>
      </w:r>
      <w:r w:rsidR="000C0807" w:rsidRPr="00E800F7">
        <w:t xml:space="preserve"> και την ψηφοφορία στην επιτροπή προσφυγών στις 27 Ιανουαρίου 2026, που κατέληξε επίσης σε μη έκδοση γνωμοδότησης,</w:t>
      </w:r>
    </w:p>
    <w:p w14:paraId="66A4ECE0" w14:textId="77777777" w:rsidR="007E6B88" w:rsidRPr="00E800F7" w:rsidRDefault="007E6B88" w:rsidP="007E6B88">
      <w:pPr>
        <w:pStyle w:val="NormalHanging12a"/>
      </w:pPr>
      <w:r w:rsidRPr="00E800F7">
        <w:t>–</w:t>
      </w:r>
      <w:r w:rsidRPr="00E800F7">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ελεγκτικούς μηχανισμούς των κρατών μελών όσον αφορά την άσκηση των εκτελεστικών αρμοδιοτήτων από την Επιτροπή</w:t>
      </w:r>
      <w:r w:rsidRPr="00E800F7">
        <w:rPr>
          <w:vertAlign w:val="superscript"/>
        </w:rPr>
        <w:footnoteReference w:id="2"/>
      </w:r>
      <w:r w:rsidRPr="00E800F7">
        <w:t>,</w:t>
      </w:r>
    </w:p>
    <w:p w14:paraId="6020336D" w14:textId="77777777" w:rsidR="007E6B88" w:rsidRPr="00E800F7" w:rsidRDefault="007E6B88" w:rsidP="007E6B88">
      <w:pPr>
        <w:pStyle w:val="NormalHanging12a"/>
      </w:pPr>
      <w:r w:rsidRPr="00E800F7">
        <w:t>–</w:t>
      </w:r>
      <w:r w:rsidRPr="00E800F7">
        <w:tab/>
        <w:t xml:space="preserve">έχοντας υπόψη τη γνώμη που εκδόθηκε από την Ευρωπαϊκή Αρχή για την Ασφάλεια </w:t>
      </w:r>
      <w:r w:rsidRPr="00E800F7">
        <w:lastRenderedPageBreak/>
        <w:t>των Τροφίμων (EFSA) στις 30 Ιουνίου 2025 και δημοσιεύθηκε στις 22 Ιουλίου 2025</w:t>
      </w:r>
      <w:r w:rsidRPr="00E800F7">
        <w:rPr>
          <w:vertAlign w:val="superscript"/>
        </w:rPr>
        <w:footnoteReference w:id="3"/>
      </w:r>
      <w:r w:rsidRPr="00E800F7">
        <w:t>,</w:t>
      </w:r>
    </w:p>
    <w:p w14:paraId="4E61C592" w14:textId="28AEB929" w:rsidR="007E6B88" w:rsidRPr="00E800F7" w:rsidRDefault="007E6B88" w:rsidP="007E6B88">
      <w:pPr>
        <w:pStyle w:val="NormalHanging12a"/>
      </w:pPr>
      <w:r w:rsidRPr="00E800F7">
        <w:t>–</w:t>
      </w:r>
      <w:r w:rsidRPr="00E800F7">
        <w:tab/>
        <w:t>έχοντας υπόψη τα προηγούμενα ψηφίσματά του που ήταν αντίθετα στην έγκριση γενετικώς τροποποιημένων οργανισμών (ΓΤΟ)</w:t>
      </w:r>
      <w:bookmarkStart w:id="9" w:name="_Hlk210666451"/>
      <w:r w:rsidRPr="00E800F7">
        <w:rPr>
          <w:vertAlign w:val="superscript"/>
        </w:rPr>
        <w:footnoteReference w:id="4"/>
      </w:r>
      <w:bookmarkEnd w:id="9"/>
      <w:r w:rsidRPr="00E800F7">
        <w:t>,</w:t>
      </w:r>
    </w:p>
    <w:p w14:paraId="17E55E3D" w14:textId="77777777" w:rsidR="007E6B88" w:rsidRPr="00E800F7" w:rsidRDefault="007E6B88" w:rsidP="007E6B88">
      <w:pPr>
        <w:pStyle w:val="NormalHanging12a"/>
      </w:pPr>
      <w:r w:rsidRPr="00E800F7">
        <w:lastRenderedPageBreak/>
        <w:t>–</w:t>
      </w:r>
      <w:r w:rsidRPr="00E800F7">
        <w:tab/>
        <w:t>έχοντας υπόψη το άρθρο 115 παράγραφοι 2 και 3 του Κανονισμού,</w:t>
      </w:r>
    </w:p>
    <w:p w14:paraId="555D08B9" w14:textId="77777777" w:rsidR="007E6B88" w:rsidRPr="00E800F7" w:rsidRDefault="007E6B88" w:rsidP="007E6B88">
      <w:pPr>
        <w:pStyle w:val="NormalHanging12a"/>
      </w:pPr>
      <w:r w:rsidRPr="00E800F7">
        <w:t>–</w:t>
      </w:r>
      <w:r w:rsidRPr="00E800F7">
        <w:tab/>
        <w:t>έχοντας υπόψη την πρόταση ψηφίσματος της Επιτροπής Περιβάλλοντος, Κλίματος και Ασφάλειας των Τροφίμων,</w:t>
      </w:r>
    </w:p>
    <w:p w14:paraId="6D2494BE" w14:textId="528C73A5" w:rsidR="007E6B88" w:rsidRPr="00E800F7" w:rsidRDefault="007E6B88" w:rsidP="007E6B88">
      <w:pPr>
        <w:pStyle w:val="NormalHanging12a"/>
      </w:pPr>
      <w:r w:rsidRPr="00E800F7">
        <w:lastRenderedPageBreak/>
        <w:t>Α.</w:t>
      </w:r>
      <w:r w:rsidRPr="00E800F7">
        <w:tab/>
        <w:t>λαμβάνοντας υπόψη ότι η εκτελεστική απόφαση (EE) 2015/699</w:t>
      </w:r>
      <w:r w:rsidR="000C0807" w:rsidRPr="00E800F7">
        <w:t xml:space="preserve"> της Επιτροπής</w:t>
      </w:r>
      <w:r w:rsidRPr="00E800F7">
        <w:rPr>
          <w:vertAlign w:val="superscript"/>
        </w:rPr>
        <w:footnoteReference w:id="5"/>
      </w:r>
      <w:r w:rsidRPr="00E800F7">
        <w:t>, όπως τροποποιήθηκε από την εκτελεστική απόφαση (EE) 2019/1195</w:t>
      </w:r>
      <w:r w:rsidR="000C0807" w:rsidRPr="00E800F7">
        <w:t xml:space="preserve"> της Επιτροπής</w:t>
      </w:r>
      <w:r w:rsidRPr="00E800F7">
        <w:rPr>
          <w:vertAlign w:val="superscript"/>
        </w:rPr>
        <w:footnoteReference w:id="6"/>
      </w:r>
      <w:r w:rsidRPr="00E800F7">
        <w:t>, ενέκρινε τη διάθεση στην αγορά τροφίμων και ζωοτροφών που περιέχουν, αποτελούνται ή παράγονται από γενετικώς τροποποιημένο βαμβάκι T304-40 (ΓΤ</w:t>
      </w:r>
      <w:r w:rsidR="002F16C4" w:rsidRPr="00E800F7">
        <w:t> </w:t>
      </w:r>
      <w:r w:rsidRPr="00E800F7">
        <w:t>βαμβάκι)· Το πεδίο εφαρμογής της έγκρισης αυτής καλύπτει επίσης τη διάθεση στην αγορά άλλων προϊόντων εκτός των τροφίμων και των ζωοτροφών που περιέχουν ή αποτελούνται από ΓΤ βαμβάκι, για τις ίδιες χρήσεις όπως οποιουδήποτε άλλου βαμβακιού, πλην της καλλιέργειας·</w:t>
      </w:r>
    </w:p>
    <w:p w14:paraId="2F6B40AC" w14:textId="77777777" w:rsidR="007E6B88" w:rsidRPr="00E800F7" w:rsidRDefault="007E6B88" w:rsidP="007E6B88">
      <w:pPr>
        <w:pStyle w:val="NormalHanging12a"/>
      </w:pPr>
      <w:r w:rsidRPr="00E800F7">
        <w:t>Β.</w:t>
      </w:r>
      <w:r w:rsidRPr="00E800F7">
        <w:tab/>
        <w:t xml:space="preserve">λαμβάνοντας υπόψη ότι στις 22 Μαρτίου 2024 η εταιρεία BASF SE, με έδρα τη Γερμανία, εξ ονόματος της BASF Agricultural </w:t>
      </w:r>
      <w:proofErr w:type="spellStart"/>
      <w:r w:rsidRPr="00E800F7">
        <w:t>Solutions</w:t>
      </w:r>
      <w:proofErr w:type="spellEnd"/>
      <w:r w:rsidRPr="00E800F7">
        <w:t xml:space="preserve"> </w:t>
      </w:r>
      <w:proofErr w:type="spellStart"/>
      <w:r w:rsidRPr="00E800F7">
        <w:t>Seed</w:t>
      </w:r>
      <w:proofErr w:type="spellEnd"/>
      <w:r w:rsidRPr="00E800F7">
        <w:t xml:space="preserve"> US LLC, με έδρα τις Ηνωμένες Πολιτείες, υπέβαλε στην Επιτροπή αίτηση για την ανανέωση της εν λόγω έγκρισης, σύμφωνα με τα άρθρα 11 και 23 του κανονισμού (ΕΚ) αριθ. 1829/2003· </w:t>
      </w:r>
    </w:p>
    <w:p w14:paraId="409CE5DE" w14:textId="77777777" w:rsidR="007E6B88" w:rsidRPr="00E800F7" w:rsidRDefault="007E6B88" w:rsidP="007E6B88">
      <w:pPr>
        <w:pStyle w:val="NormalHanging12a"/>
      </w:pPr>
      <w:r w:rsidRPr="00E800F7">
        <w:t>Γ.</w:t>
      </w:r>
      <w:r w:rsidRPr="00E800F7">
        <w:tab/>
        <w:t>λαμβάνοντας υπόψη ότι, στις 22 Ιουλίου 2025, η EFSA εξέδωσε ευνοϊκή επιστημονική γνώμη σχετικά με το ΓΤ βαμβάκι</w:t>
      </w:r>
      <w:r w:rsidRPr="00E800F7">
        <w:rPr>
          <w:vertAlign w:val="superscript"/>
        </w:rPr>
        <w:footnoteReference w:id="7"/>
      </w:r>
      <w:r w:rsidRPr="00E800F7">
        <w:t xml:space="preserve">, </w:t>
      </w:r>
      <w:bookmarkStart w:id="10" w:name="_Hlk219204313"/>
      <w:r w:rsidRPr="00E800F7">
        <w:t>σύμφωνα με τα άρθρα 11 και 23</w:t>
      </w:r>
      <w:bookmarkEnd w:id="10"/>
      <w:r w:rsidRPr="00E800F7">
        <w:t xml:space="preserve"> του </w:t>
      </w:r>
      <w:bookmarkStart w:id="11" w:name="_Hlk219204327"/>
      <w:r w:rsidRPr="00E800F7">
        <w:t>κανονισμού (ΕΚ) αριθ. 1829/2003</w:t>
      </w:r>
      <w:bookmarkEnd w:id="11"/>
      <w:r w:rsidRPr="00E800F7">
        <w:t>, όπου κατέληγε στο συμπέρασμα ότι η αίτηση ανανέωσης δεν περιείχε στοιχεία σχετικά με νέους κινδύνους, τροποποιημένη έκθεση ή επιστημονικές αβεβαιότητες τα οποία θα μπορούσαν να μεταβάλουν τα συμπεράσματα της αρχικής εκτίμησης κινδύνου που είχε εκδώσει η EFSA το 2013 όσον αφορά το ΓΤ βαμβάκι</w:t>
      </w:r>
      <w:r w:rsidRPr="00E800F7">
        <w:rPr>
          <w:vertAlign w:val="superscript"/>
        </w:rPr>
        <w:footnoteReference w:id="8"/>
      </w:r>
      <w:r w:rsidRPr="00E800F7">
        <w:t xml:space="preserve">· λαμβάνοντας υπόψη ότι η εν λόγω γνώμη δεν εξέτασε αρκετές ευρύτερες </w:t>
      </w:r>
      <w:r w:rsidRPr="00E800F7">
        <w:lastRenderedPageBreak/>
        <w:t>περιβαλλοντικές, κοινωνικοοικονομικές και σωρευτικές επιπτώσεις που η EFSA θεωρεί ότι δεν εμπίπτουν στην αρμοδιότητά της·</w:t>
      </w:r>
    </w:p>
    <w:p w14:paraId="5E2B5841" w14:textId="77777777" w:rsidR="007E6B88" w:rsidRPr="00E800F7" w:rsidRDefault="007E6B88" w:rsidP="007E6B88">
      <w:pPr>
        <w:pStyle w:val="NormalHanging12a"/>
      </w:pPr>
      <w:r w:rsidRPr="00E800F7">
        <w:t>Δ.</w:t>
      </w:r>
      <w:r w:rsidRPr="00E800F7">
        <w:tab/>
        <w:t xml:space="preserve">λαμβάνοντας υπόψη ότι το ΓΤ βαμβάκι έχει αναπτυχθεί ώστε να είναι ανθεκτικό σε ορισμένα επιβλαβή λεπιδόπτερα, παράγοντας εντομοκτόνο τοξίνη, καθώς και στο </w:t>
      </w:r>
      <w:proofErr w:type="spellStart"/>
      <w:r w:rsidRPr="00E800F7">
        <w:t>γλυφοσινικό</w:t>
      </w:r>
      <w:proofErr w:type="spellEnd"/>
      <w:r w:rsidRPr="00E800F7">
        <w:t xml:space="preserve">· </w:t>
      </w:r>
    </w:p>
    <w:p w14:paraId="3FE590F4" w14:textId="77777777" w:rsidR="007E6B88" w:rsidRPr="00E800F7" w:rsidRDefault="007E6B88" w:rsidP="007E6B88">
      <w:pPr>
        <w:pStyle w:val="NormalHanging12a"/>
      </w:pPr>
      <w:r w:rsidRPr="00E800F7">
        <w:t>Ε.</w:t>
      </w:r>
      <w:r w:rsidRPr="00E800F7">
        <w:tab/>
        <w:t>λαμβάνοντας υπόψη ότι οι εκτιμήσεις κινδύνου που διενήργησε η EFSA δεν περιελάμβαναν τοξικολογικές μελέτες διαχρονικής παρακολούθησης ούτε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βαμβακιού·</w:t>
      </w:r>
    </w:p>
    <w:p w14:paraId="64F6A439" w14:textId="77777777" w:rsidR="007E6B88" w:rsidRPr="00E800F7" w:rsidRDefault="007E6B88" w:rsidP="007E6B88">
      <w:pPr>
        <w:pStyle w:val="NormalHanging12a"/>
      </w:pPr>
      <w:r w:rsidRPr="00E800F7">
        <w:t>ΣΤ.</w:t>
      </w:r>
      <w:r w:rsidRPr="00E800F7">
        <w:tab/>
        <w:t>λαμβάνοντας υπόψη ότι στη συντριπτική τους πλειονότητα οι γενετικώς τροποποιημένες καλλιέργειες, συμπεριλαμβανομένου του ΓΤ βαμβακιού,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γενετικώς τροποποιημένων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sidRPr="00E800F7">
        <w:rPr>
          <w:vertAlign w:val="superscript"/>
        </w:rPr>
        <w:footnoteReference w:id="9"/>
      </w:r>
      <w:r w:rsidRPr="00E800F7">
        <w:t>·</w:t>
      </w:r>
    </w:p>
    <w:p w14:paraId="650718C3" w14:textId="77777777" w:rsidR="007E6B88" w:rsidRPr="00E800F7" w:rsidRDefault="007E6B88" w:rsidP="007E6B88">
      <w:pPr>
        <w:pStyle w:val="NormalHanging12a"/>
      </w:pPr>
      <w:r w:rsidRPr="00E800F7">
        <w:t>Ζ.</w:t>
      </w:r>
      <w:r w:rsidRPr="00E800F7">
        <w:tab/>
        <w:t>λαμβάνοντας υπόψη 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ΓΤ βαμβακιού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λαμβάνοντας υπόψη ότι, κατά συνέπεια, οι δυσμενείς επιπτώσεις της υπερβολικής εξάρτησης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r w:rsidRPr="00E800F7">
        <w:rPr>
          <w:vertAlign w:val="superscript"/>
        </w:rPr>
        <w:footnoteReference w:id="10"/>
      </w:r>
      <w:r w:rsidRPr="00E800F7">
        <w:t>·</w:t>
      </w:r>
    </w:p>
    <w:p w14:paraId="5C4DECEB" w14:textId="77777777" w:rsidR="007E6B88" w:rsidRPr="00E800F7" w:rsidRDefault="007E6B88" w:rsidP="007E6B88">
      <w:pPr>
        <w:pStyle w:val="NormalHanging12a"/>
      </w:pPr>
      <w:r w:rsidRPr="00E800F7">
        <w:lastRenderedPageBreak/>
        <w:t>Η.</w:t>
      </w:r>
      <w:r w:rsidRPr="00E800F7">
        <w:tab/>
        <w:t xml:space="preserve">λαμβάνοντας υπόψη ότι το </w:t>
      </w:r>
      <w:proofErr w:type="spellStart"/>
      <w:r w:rsidRPr="00E800F7">
        <w:t>γλυφοσινικό</w:t>
      </w:r>
      <w:proofErr w:type="spellEnd"/>
      <w:r w:rsidRPr="00E800F7">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E800F7">
        <w:rPr>
          <w:vertAlign w:val="superscript"/>
        </w:rPr>
        <w:footnoteReference w:id="11"/>
      </w:r>
      <w:r w:rsidRPr="00E800F7">
        <w:t xml:space="preserve">· λαμβάνοντας υπόψη ότι η έγκριση του </w:t>
      </w:r>
      <w:proofErr w:type="spellStart"/>
      <w:r w:rsidRPr="00E800F7">
        <w:t>γλυφοσινικού</w:t>
      </w:r>
      <w:proofErr w:type="spellEnd"/>
      <w:r w:rsidRPr="00E800F7">
        <w:t xml:space="preserve"> για χρήση στην Ένωση έληξε στις 31 Ιουλίου 2018·</w:t>
      </w:r>
    </w:p>
    <w:p w14:paraId="3486EBC8" w14:textId="77777777" w:rsidR="007E6B88" w:rsidRPr="00E800F7" w:rsidRDefault="007E6B88" w:rsidP="007E6B88">
      <w:pPr>
        <w:pStyle w:val="NormalHanging12a"/>
      </w:pPr>
      <w:r w:rsidRPr="00E800F7">
        <w:t xml:space="preserve">Θ. </w:t>
      </w:r>
      <w:r w:rsidRPr="00E800F7">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 διασφαλίζεται επαρκώς·</w:t>
      </w:r>
    </w:p>
    <w:p w14:paraId="37102D86" w14:textId="77777777" w:rsidR="007E6B88" w:rsidRPr="00E800F7" w:rsidRDefault="007E6B88" w:rsidP="007E6B88">
      <w:pPr>
        <w:pStyle w:val="NormalHanging12a"/>
      </w:pPr>
      <w:r w:rsidRPr="00E800F7">
        <w:t>Ι.</w:t>
      </w:r>
      <w:r w:rsidRPr="00E800F7">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14:paraId="02AF4DAB" w14:textId="77777777" w:rsidR="007E6B88" w:rsidRPr="00E800F7" w:rsidRDefault="007E6B88" w:rsidP="007E6B88">
      <w:pPr>
        <w:pStyle w:val="NormalHanging12a"/>
      </w:pPr>
      <w:r w:rsidRPr="00E800F7">
        <w:t>ΙΑ.</w:t>
      </w:r>
      <w:r w:rsidRPr="00E800F7">
        <w:tab/>
        <w:t>λαμβάνοντας υπόψη ότι ο κανονισμός (ΕΚ) αριθ. 1829/2003 ορίζει ότι τα ΓΤ τρόφιμα και ζωοτροφές δεν πρέπει να έχουν δυσμενείς επιπτώσεις στην υγεία του ανθρώπου, στην υγεία των ζώων ή στο περιβάλλον·</w:t>
      </w:r>
    </w:p>
    <w:p w14:paraId="1A434063" w14:textId="77777777" w:rsidR="007E6B88" w:rsidRPr="00E800F7" w:rsidRDefault="007E6B88" w:rsidP="007E6B88">
      <w:pPr>
        <w:pStyle w:val="NormalHanging12a"/>
      </w:pPr>
      <w:r w:rsidRPr="00E800F7">
        <w:t>ΙΒ.</w:t>
      </w:r>
      <w:r w:rsidRPr="00E800F7">
        <w:tab/>
        <w:t>λαμβάνοντας υπόψη ότι η ανανέωση της έγκρισης του ΓΤ βαμβακιού από την Ένωση δεν θα ήταν σύμφωνη με τις διεθνείς δεσμεύσεις για τη μείωση των φυτοφαρμάκων</w:t>
      </w:r>
      <w:r w:rsidRPr="00E800F7">
        <w:rPr>
          <w:vertAlign w:val="superscript"/>
        </w:rPr>
        <w:footnoteReference w:id="12"/>
      </w:r>
      <w:r w:rsidRPr="00E800F7">
        <w:t xml:space="preserve">, δεδομένης της αυξημένης έκθεσης του ανθρώπου, των ζώων και του περιβάλλοντος στη </w:t>
      </w:r>
      <w:proofErr w:type="spellStart"/>
      <w:r w:rsidRPr="00E800F7">
        <w:t>γλυφοσάτη</w:t>
      </w:r>
      <w:proofErr w:type="spellEnd"/>
      <w:r w:rsidRPr="00E800F7">
        <w:t xml:space="preserve"> και το </w:t>
      </w:r>
      <w:proofErr w:type="spellStart"/>
      <w:r w:rsidRPr="00E800F7">
        <w:t>γλυφοσινικό</w:t>
      </w:r>
      <w:proofErr w:type="spellEnd"/>
      <w:r w:rsidRPr="00E800F7">
        <w:t xml:space="preserve"> σε χώρες με την εν λόγω ανθεκτική σε ζιζανιοκτόνα ΓΤ καλλιέργεια, καθώς και των δυνητικά σοβαρών σχετικών προβλημάτων υγείας·</w:t>
      </w:r>
    </w:p>
    <w:p w14:paraId="2109D057" w14:textId="77777777" w:rsidR="007E6B88" w:rsidRPr="00E800F7" w:rsidRDefault="007E6B88" w:rsidP="007E6B88">
      <w:pPr>
        <w:pStyle w:val="NormalHanging12a"/>
      </w:pPr>
      <w:r w:rsidRPr="00E800F7">
        <w:t>ΙΓ.</w:t>
      </w:r>
      <w:r w:rsidRPr="00E800F7">
        <w:tab/>
        <w:t>λαμβάνοντας υπόψη ότι η εκτελεστική απόφαση της Επιτροπής θα συνεχίσει να επιτρέπει εισαγωγές στην Ένωση που δεν συμμορφώνονται με τα πρότυπα που τηρούν οι γεωργοί της Ένωσης, με αποτέλεσμα να περιέρχονται οι τελευταίοι σε μειονεκτική ανταγωνιστική θέση·</w:t>
      </w:r>
    </w:p>
    <w:p w14:paraId="108A50D5" w14:textId="77777777" w:rsidR="007E6B88" w:rsidRPr="00E800F7" w:rsidRDefault="007E6B88" w:rsidP="007E6B88">
      <w:pPr>
        <w:pStyle w:val="NormalHanging12a"/>
      </w:pPr>
      <w:r w:rsidRPr="00E800F7">
        <w:t>ΙΔ.</w:t>
      </w:r>
      <w:r w:rsidRPr="00E800F7">
        <w:tab/>
        <w:t>λαμβάνοντας υπόψη ότι τα συμπεράσματα του στρατηγικού διαλόγου για το μέλλον της γεωργίας της ΕΕ</w:t>
      </w:r>
      <w:r w:rsidRPr="00E800F7">
        <w:rPr>
          <w:vertAlign w:val="superscript"/>
        </w:rPr>
        <w:footnoteReference w:id="13"/>
      </w:r>
      <w:r w:rsidRPr="00E800F7">
        <w:t xml:space="preserve"> καλούν την Επιτροπή να επανεξετάσει την προσέγγισή της όσον αφορά την πρόσβαση στην αγορά για τις εισαγωγές και τις εξαγωγές γεωργικών ειδών διατροφής, δεδομένης της πρόκλησης που επιφέρουν τα αποκλίνοντα πρότυπα της Ένωσης και των εμπορικών εταίρων της· λαμβάνοντας υπόψη ότι μία από τις κύριες απαιτήσεις των γεωργών κατά τις διαδηλώσεις του 2023, του 2024 και του 2025 ήταν οι δικαιότερες εμπορικές σχέσεις σε παγκόσμιο επίπεδο, που να συνάδουν με τους στόχους για ένα υγιές περιβάλλον·</w:t>
      </w:r>
    </w:p>
    <w:p w14:paraId="254BA9D6" w14:textId="77777777" w:rsidR="007E6B88" w:rsidRPr="00E800F7" w:rsidRDefault="007E6B88" w:rsidP="007E6B88">
      <w:pPr>
        <w:pStyle w:val="NormalHanging12a"/>
      </w:pPr>
      <w:r w:rsidRPr="00E800F7">
        <w:lastRenderedPageBreak/>
        <w:t>ΙΕ.</w:t>
      </w:r>
      <w:r w:rsidRPr="00E800F7">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62BF41E5" w14:textId="77777777" w:rsidR="007E6B88" w:rsidRPr="00E800F7" w:rsidRDefault="007E6B88" w:rsidP="007E6B88">
      <w:pPr>
        <w:pStyle w:val="NormalHanging12a"/>
      </w:pPr>
      <w:r w:rsidRPr="00E800F7">
        <w:t>ΙΣΤ.</w:t>
      </w:r>
      <w:r w:rsidRPr="00E800F7">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5E4FCF26" w14:textId="77777777" w:rsidR="007E6B88" w:rsidRPr="00E800F7" w:rsidRDefault="007E6B88" w:rsidP="007E6B88">
      <w:pPr>
        <w:pStyle w:val="NormalHanging12a"/>
      </w:pPr>
      <w:r w:rsidRPr="00E800F7">
        <w:t>ΙΖ.</w:t>
      </w:r>
      <w:r w:rsidRPr="00E800F7">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διαρκούς βιωσιμότητας και ασφάλειας των ΓΤΟ·</w:t>
      </w:r>
    </w:p>
    <w:p w14:paraId="36CAC04B" w14:textId="77777777" w:rsidR="007E6B88" w:rsidRPr="00E800F7" w:rsidRDefault="007E6B88" w:rsidP="007E6B88">
      <w:pPr>
        <w:pStyle w:val="NormalHanging12a"/>
      </w:pPr>
      <w:r w:rsidRPr="00E800F7">
        <w:t>1.</w:t>
      </w:r>
      <w:r w:rsidRPr="00E800F7">
        <w:tab/>
        <w:t>εκτιμά ότι το σχέδιο εκτελεστικής απόφασης της Επιτροπής υπερβαίνει τις εκτελεστικές αρμοδιότητες που προβλέπει ο κανονισμός (ΕΚ) αριθ. 1829/2003·</w:t>
      </w:r>
    </w:p>
    <w:p w14:paraId="1B3FCEC5" w14:textId="77777777" w:rsidR="007E6B88" w:rsidRPr="00E800F7" w:rsidRDefault="007E6B88" w:rsidP="007E6B88">
      <w:pPr>
        <w:pStyle w:val="NormalHanging12a"/>
      </w:pPr>
      <w:r w:rsidRPr="00E800F7">
        <w:t>2.</w:t>
      </w:r>
      <w:r w:rsidRPr="00E800F7">
        <w:tab/>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E800F7">
        <w:rPr>
          <w:vertAlign w:val="superscript"/>
        </w:rPr>
        <w:footnoteReference w:id="14"/>
      </w:r>
      <w:r w:rsidRPr="00E800F7">
        <w:t xml:space="preserve">,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τις ΓΤ ζωοτροφές, εξασφαλίζοντας παράλληλα την αποτελεσματική λειτουργία της εσωτερικής αγοράς· </w:t>
      </w:r>
    </w:p>
    <w:p w14:paraId="79EC2704" w14:textId="77777777" w:rsidR="007E6B88" w:rsidRPr="00E800F7" w:rsidRDefault="007E6B88" w:rsidP="007E6B88">
      <w:pPr>
        <w:pStyle w:val="NormalHanging12a"/>
      </w:pPr>
      <w:r w:rsidRPr="00E800F7">
        <w:t>3.</w:t>
      </w:r>
      <w:r w:rsidRPr="00E800F7">
        <w:tab/>
        <w:t>ζητεί από την Επιτροπή να αποσύρει την εκτελεστική απόφασή της·</w:t>
      </w:r>
    </w:p>
    <w:p w14:paraId="73A1C148" w14:textId="77777777" w:rsidR="007E6B88" w:rsidRPr="00E800F7" w:rsidRDefault="007E6B88" w:rsidP="007E6B88">
      <w:pPr>
        <w:pStyle w:val="NormalHanging12a"/>
      </w:pPr>
      <w:bookmarkStart w:id="12" w:name="_Hlk218675841"/>
      <w:r w:rsidRPr="00E800F7">
        <w:t>4.</w:t>
      </w:r>
      <w:r w:rsidRPr="00E800F7">
        <w:tab/>
        <w:t>καλεί την Επιτροπή να μην ανανεώσει την έγκριση του ΓΤ βαμβακιού λόγω της έλλειψης επαρκών στοιχείων σχετικά με τον μακροχρόνιο αντίκτυπο στη βιοποικιλότητα, την ασφάλεια των τροφίμων και τα μέσα διαβίωσης των γεωργών και την υγεία των ζώων, σύμφωνα με την προσέγγιση «Μία υγεία»·</w:t>
      </w:r>
    </w:p>
    <w:p w14:paraId="1F80D8AD" w14:textId="77777777" w:rsidR="007E6B88" w:rsidRPr="00E800F7" w:rsidRDefault="007E6B88" w:rsidP="007E6B88">
      <w:pPr>
        <w:pStyle w:val="NormalHanging12a"/>
      </w:pPr>
      <w:bookmarkStart w:id="13" w:name="_Hlk210900300"/>
      <w:r w:rsidRPr="00E800F7">
        <w:t>5.</w:t>
      </w:r>
      <w:r w:rsidRPr="00E800F7">
        <w:tab/>
        <w:t>καλεί την Επιτροπή να υποβάλει, χωρίς καθυστέρηση, νομοθετική πρόταση για τη μεταρρύθμιση της διαδικασίας λήψης αποφάσεων σχετικά με τους ΓΤΟ, ώστε να ανταποκριθεί στις συνεχείς αντιρρήσεις του Κοινοβουλίου και στην έλλειψη στήριξης από ειδική πλειοψηφία των κρατών μελών</w:t>
      </w:r>
      <w:bookmarkEnd w:id="13"/>
      <w:r w:rsidRPr="00E800F7">
        <w:t>·</w:t>
      </w:r>
    </w:p>
    <w:p w14:paraId="2D051F85" w14:textId="77777777" w:rsidR="007E6B88" w:rsidRPr="00E800F7" w:rsidRDefault="007E6B88" w:rsidP="007E6B88">
      <w:pPr>
        <w:pStyle w:val="NormalHanging12a"/>
      </w:pPr>
      <w:bookmarkStart w:id="14" w:name="_Hlk210900241"/>
      <w:r w:rsidRPr="00E800F7">
        <w:t>6.</w:t>
      </w:r>
      <w:r w:rsidRPr="00E800F7">
        <w:tab/>
        <w:t xml:space="preserve">επισημαίνει, εν προκειμένω, ότι η έγκριση της εισαγωγής για χρήση σε τρόφιμα, ζωοτροφές ή προϊόντα οποιουδήποτε ΓΤ φυτού έχει καταστεί ανθεκτικό σε ζιζανιοκτόνα που απαγορεύονται στην Ένωση, όπως το </w:t>
      </w:r>
      <w:proofErr w:type="spellStart"/>
      <w:r w:rsidRPr="00E800F7">
        <w:t>γλυφοσινικό</w:t>
      </w:r>
      <w:proofErr w:type="spellEnd"/>
      <w:r w:rsidRPr="00E800F7">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w:t>
      </w:r>
      <w:r w:rsidRPr="00E800F7">
        <w:lastRenderedPageBreak/>
        <w:t xml:space="preserve">των Ηνωμένων Εθνών, συμπεριλαμβανομένου του πλαισίου </w:t>
      </w:r>
      <w:proofErr w:type="spellStart"/>
      <w:r w:rsidRPr="00E800F7">
        <w:t>Κουνμίνγκ</w:t>
      </w:r>
      <w:proofErr w:type="spellEnd"/>
      <w:r w:rsidRPr="00E800F7">
        <w:t>-Μόντρεαλ, και δημιουργεί άνισους όρους ανταγωνισμού για τους γεωργούς της Ένωσης·</w:t>
      </w:r>
    </w:p>
    <w:bookmarkEnd w:id="14"/>
    <w:p w14:paraId="3896ED69" w14:textId="38E19B9E" w:rsidR="00907F59" w:rsidRPr="00E800F7" w:rsidRDefault="007E6B88" w:rsidP="00907F59">
      <w:pPr>
        <w:pStyle w:val="NormalHanging12a"/>
      </w:pPr>
      <w:r w:rsidRPr="00E800F7">
        <w:t>7.</w:t>
      </w:r>
      <w:r w:rsidRPr="00E800F7">
        <w:tab/>
      </w:r>
      <w:bookmarkEnd w:id="12"/>
      <w:r w:rsidRPr="00E800F7">
        <w:t>αναθέτει στην Πρόεδρό του να διαβιβάσει το παρόν ψήφισμα στο Συμβούλιο, στην Επιτροπή και στις κυβερνήσεις και στα κοινοβούλια των κρατών μελών.</w:t>
      </w:r>
    </w:p>
    <w:p w14:paraId="13C07F9F" w14:textId="42B9DCB8" w:rsidR="00E365E1" w:rsidRPr="00E800F7" w:rsidRDefault="00E365E1" w:rsidP="00F34A9D"/>
    <w:sectPr w:rsidR="00E365E1" w:rsidRPr="00E800F7" w:rsidSect="00907F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F0F15" w14:textId="77777777" w:rsidR="00F34A9D" w:rsidRPr="00907F59" w:rsidRDefault="00F34A9D">
      <w:r w:rsidRPr="00907F59">
        <w:separator/>
      </w:r>
    </w:p>
  </w:endnote>
  <w:endnote w:type="continuationSeparator" w:id="0">
    <w:p w14:paraId="35723101" w14:textId="77777777" w:rsidR="00F34A9D" w:rsidRPr="00907F59" w:rsidRDefault="00F34A9D">
      <w:r w:rsidRPr="00907F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37DC1" w14:textId="77777777" w:rsidR="00064002" w:rsidRPr="00907F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C991" w14:textId="77777777" w:rsidR="00064002" w:rsidRPr="00907F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6D21E" w14:textId="77777777" w:rsidR="00064002" w:rsidRPr="00907F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8DBAB" w14:textId="77777777" w:rsidR="00F34A9D" w:rsidRPr="00907F59" w:rsidRDefault="00F34A9D">
      <w:r w:rsidRPr="00907F59">
        <w:separator/>
      </w:r>
    </w:p>
  </w:footnote>
  <w:footnote w:type="continuationSeparator" w:id="0">
    <w:p w14:paraId="1DF616BB" w14:textId="77777777" w:rsidR="00F34A9D" w:rsidRPr="00907F59" w:rsidRDefault="00F34A9D">
      <w:r w:rsidRPr="00907F59">
        <w:continuationSeparator/>
      </w:r>
    </w:p>
  </w:footnote>
  <w:footnote w:id="1">
    <w:p w14:paraId="0AB384DE" w14:textId="3097DA0A"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ΕΕ L 268 της 18.10.2003, σ. 1, ELI: </w:t>
      </w:r>
      <w:hyperlink r:id="rId1" w:history="1">
        <w:r w:rsidRPr="002F16C4">
          <w:rPr>
            <w:rStyle w:val="Hyperlink"/>
            <w:sz w:val="24"/>
            <w:szCs w:val="24"/>
            <w:lang w:val="el-GR"/>
          </w:rPr>
          <w:t>https://eur-lex.europa.eu/eli/reg/2003/1829/oj</w:t>
        </w:r>
      </w:hyperlink>
      <w:r w:rsidRPr="002F16C4">
        <w:rPr>
          <w:sz w:val="24"/>
          <w:szCs w:val="24"/>
          <w:lang w:val="el-GR"/>
        </w:rPr>
        <w:t>.</w:t>
      </w:r>
    </w:p>
  </w:footnote>
  <w:footnote w:id="2">
    <w:p w14:paraId="23FCE72E" w14:textId="1424BEB7"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 xml:space="preserve">ΕΕ L 55 της 28.2.2011, σ. </w:t>
      </w:r>
      <w:r w:rsidRPr="002F16C4">
        <w:rPr>
          <w:sz w:val="24"/>
          <w:szCs w:val="24"/>
          <w:lang w:val="el-GR"/>
        </w:rPr>
        <w:t>13, ELI: </w:t>
      </w:r>
      <w:hyperlink r:id="rId2" w:history="1">
        <w:r w:rsidRPr="002F16C4">
          <w:rPr>
            <w:rStyle w:val="Hyperlink"/>
            <w:sz w:val="24"/>
            <w:szCs w:val="24"/>
            <w:lang w:val="el-GR"/>
          </w:rPr>
          <w:t>http://data.europa.eu/eli/reg/2011/182/oj</w:t>
        </w:r>
      </w:hyperlink>
      <w:r w:rsidRPr="002F16C4">
        <w:rPr>
          <w:sz w:val="24"/>
          <w:szCs w:val="24"/>
          <w:lang w:val="el-GR"/>
        </w:rPr>
        <w:t>.</w:t>
      </w:r>
    </w:p>
  </w:footnote>
  <w:footnote w:id="3">
    <w:p w14:paraId="383DA1D5" w14:textId="0C2CA64D" w:rsidR="007E6B88" w:rsidRPr="002F16C4" w:rsidRDefault="007E6B88" w:rsidP="000C0807">
      <w:pPr>
        <w:pStyle w:val="FootnoteText"/>
        <w:spacing w:line="240" w:lineRule="auto"/>
        <w:ind w:left="567" w:hanging="567"/>
        <w:rPr>
          <w:sz w:val="24"/>
          <w:szCs w:val="24"/>
          <w:lang w:val="el-GR"/>
        </w:rPr>
      </w:pPr>
      <w:r w:rsidRPr="002F16C4">
        <w:rPr>
          <w:sz w:val="24"/>
          <w:szCs w:val="24"/>
          <w:vertAlign w:val="superscript"/>
          <w:lang w:val="el-GR"/>
        </w:rPr>
        <w:t>3</w:t>
      </w:r>
      <w:r w:rsidR="00907F59" w:rsidRPr="002F16C4">
        <w:rPr>
          <w:sz w:val="24"/>
          <w:szCs w:val="24"/>
          <w:vertAlign w:val="superscript"/>
          <w:lang w:val="el-GR"/>
        </w:rPr>
        <w:t xml:space="preserve"> </w:t>
      </w:r>
      <w:r w:rsidR="00907F59" w:rsidRPr="002F16C4">
        <w:rPr>
          <w:sz w:val="24"/>
          <w:szCs w:val="24"/>
          <w:vertAlign w:val="superscript"/>
          <w:lang w:val="el-GR"/>
        </w:rPr>
        <w:tab/>
      </w:r>
      <w:r w:rsidRPr="002F16C4">
        <w:rPr>
          <w:sz w:val="24"/>
          <w:szCs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βαμβακιού T304-40 για ανανέωση της έγκρισης βάσει του κανονισμού (ΕΚ) αριθ. </w:t>
      </w:r>
      <w:r w:rsidRPr="002F16C4">
        <w:rPr>
          <w:sz w:val="24"/>
          <w:szCs w:val="24"/>
          <w:lang w:val="el-GR"/>
        </w:rPr>
        <w:t xml:space="preserve">1829/2003 (αίτηση GMFF-2024-23010), </w:t>
      </w:r>
      <w:r w:rsidRPr="002F16C4">
        <w:rPr>
          <w:i/>
          <w:sz w:val="24"/>
          <w:szCs w:val="24"/>
          <w:lang w:val="el-GR"/>
        </w:rPr>
        <w:t>EFSA Journal,</w:t>
      </w:r>
      <w:r w:rsidRPr="002F16C4">
        <w:rPr>
          <w:sz w:val="24"/>
          <w:szCs w:val="24"/>
          <w:lang w:val="el-GR"/>
        </w:rPr>
        <w:t xml:space="preserve"> 2025, 23(7):e9580, </w:t>
      </w:r>
      <w:hyperlink r:id="rId3" w:history="1">
        <w:r w:rsidRPr="002F16C4">
          <w:rPr>
            <w:rStyle w:val="Hyperlink"/>
            <w:sz w:val="24"/>
            <w:szCs w:val="24"/>
            <w:lang w:val="el-GR"/>
          </w:rPr>
          <w:t>https://doi.org/10.2903/j.efsa.2025.9580</w:t>
        </w:r>
      </w:hyperlink>
      <w:r w:rsidRPr="002F16C4">
        <w:rPr>
          <w:sz w:val="24"/>
          <w:szCs w:val="24"/>
          <w:lang w:val="el-GR"/>
        </w:rPr>
        <w:t xml:space="preserve">. </w:t>
      </w:r>
    </w:p>
  </w:footnote>
  <w:footnote w:id="4">
    <w:p w14:paraId="2F764537" w14:textId="0346B372" w:rsidR="007E6B88" w:rsidRPr="002F16C4" w:rsidRDefault="007E6B88" w:rsidP="000C0807">
      <w:pPr>
        <w:pStyle w:val="FootnoteText"/>
        <w:spacing w:line="240" w:lineRule="auto"/>
        <w:ind w:left="567" w:hanging="567"/>
        <w:rPr>
          <w:color w:val="000000" w:themeColor="text1"/>
          <w:sz w:val="24"/>
          <w:szCs w:val="24"/>
          <w:vertAlign w:val="superscript"/>
          <w:lang w:val="el-GR"/>
        </w:rPr>
      </w:pPr>
      <w:r w:rsidRPr="002F16C4">
        <w:rPr>
          <w:rStyle w:val="FootnoteReference"/>
          <w:sz w:val="24"/>
          <w:szCs w:val="24"/>
          <w:lang w:val="el-GR"/>
        </w:rPr>
        <w:footnoteRef/>
      </w:r>
      <w:r w:rsidR="00907F59" w:rsidRPr="002F16C4">
        <w:rPr>
          <w:color w:val="000000" w:themeColor="text1"/>
          <w:sz w:val="24"/>
          <w:szCs w:val="24"/>
          <w:lang w:val="el-GR"/>
        </w:rPr>
        <w:t xml:space="preserve"> </w:t>
      </w:r>
      <w:r w:rsidR="00907F59" w:rsidRPr="002F16C4">
        <w:rPr>
          <w:color w:val="000000" w:themeColor="text1"/>
          <w:sz w:val="24"/>
          <w:szCs w:val="24"/>
          <w:lang w:val="el-GR"/>
        </w:rPr>
        <w:tab/>
      </w:r>
      <w:r w:rsidRPr="002F16C4">
        <w:rPr>
          <w:color w:val="000000" w:themeColor="text1"/>
          <w:sz w:val="24"/>
          <w:szCs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Επιπλέον, κατά τη δέκατη κοινοβουλευτική του περίοδο, το Κοινοβούλιο έχει εγκρίνει τα ακόλουθα ψηφίσματα:</w:t>
      </w:r>
    </w:p>
    <w:p w14:paraId="674A2AD7" w14:textId="4A5EC8FF"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w:t>
      </w:r>
      <w:r w:rsidR="007E6B88" w:rsidRPr="002F16C4">
        <w:rPr>
          <w:color w:val="000000" w:themeColor="text1"/>
          <w:sz w:val="24"/>
          <w:szCs w:val="24"/>
          <w:lang w:val="el-GR"/>
        </w:rPr>
        <w:t>1829/2003 του Ευρωπαϊκού Κοινοβουλίου και του Συμβουλίου (ΕΕ C, C/2025/1797, 4.4.2025, ELI: </w:t>
      </w:r>
      <w:hyperlink r:id="rId4" w:history="1">
        <w:r w:rsidR="007E6B88" w:rsidRPr="002F16C4">
          <w:rPr>
            <w:rStyle w:val="Hyperlink"/>
            <w:sz w:val="24"/>
            <w:szCs w:val="24"/>
            <w:lang w:val="el-GR"/>
          </w:rPr>
          <w:t>http://data.europa.eu/eli/C/2025/1797/oj</w:t>
        </w:r>
      </w:hyperlink>
      <w:r w:rsidR="007E6B88" w:rsidRPr="002F16C4">
        <w:rPr>
          <w:color w:val="000000" w:themeColor="text1"/>
          <w:sz w:val="24"/>
          <w:szCs w:val="24"/>
          <w:lang w:val="el-GR"/>
        </w:rPr>
        <w:t>).</w:t>
      </w:r>
    </w:p>
    <w:p w14:paraId="235A6E79" w14:textId="3151BB67"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007E6B88" w:rsidRPr="002F16C4">
          <w:rPr>
            <w:rStyle w:val="Hyperlink"/>
            <w:sz w:val="24"/>
            <w:szCs w:val="24"/>
            <w:lang w:val="el-GR"/>
          </w:rPr>
          <w:t>http://data.europa.eu/eli/C/2025/1798/oj</w:t>
        </w:r>
      </w:hyperlink>
      <w:r w:rsidR="007E6B88" w:rsidRPr="002F16C4">
        <w:rPr>
          <w:color w:val="000000" w:themeColor="text1"/>
          <w:sz w:val="24"/>
          <w:szCs w:val="24"/>
          <w:lang w:val="el-GR"/>
        </w:rPr>
        <w:t>).</w:t>
      </w:r>
    </w:p>
    <w:p w14:paraId="5F4CCECE" w14:textId="278F23F4"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007E6B88" w:rsidRPr="002F16C4">
          <w:rPr>
            <w:rStyle w:val="Hyperlink"/>
            <w:sz w:val="24"/>
            <w:szCs w:val="24"/>
            <w:lang w:val="el-GR"/>
          </w:rPr>
          <w:t>http://data.europa.eu/eli/C/2025/1799/oj</w:t>
        </w:r>
      </w:hyperlink>
      <w:r w:rsidR="007E6B88" w:rsidRPr="002F16C4">
        <w:rPr>
          <w:color w:val="000000" w:themeColor="text1"/>
          <w:sz w:val="24"/>
          <w:szCs w:val="24"/>
          <w:lang w:val="el-GR"/>
        </w:rPr>
        <w:t>).</w:t>
      </w:r>
    </w:p>
    <w:p w14:paraId="20A68D2E" w14:textId="396310B2"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007E6B88" w:rsidRPr="002F16C4">
          <w:rPr>
            <w:rStyle w:val="Hyperlink"/>
            <w:sz w:val="24"/>
            <w:szCs w:val="24"/>
            <w:lang w:val="el-GR"/>
          </w:rPr>
          <w:t>http://data.europa.eu/eli/C/2025/1800/oj</w:t>
        </w:r>
      </w:hyperlink>
      <w:r w:rsidR="007E6B88" w:rsidRPr="002F16C4">
        <w:rPr>
          <w:color w:val="000000" w:themeColor="text1"/>
          <w:sz w:val="24"/>
          <w:szCs w:val="24"/>
          <w:lang w:val="el-GR"/>
        </w:rPr>
        <w:t>).</w:t>
      </w:r>
    </w:p>
    <w:p w14:paraId="3082D71B" w14:textId="28845A54"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007E6B88" w:rsidRPr="002F16C4">
          <w:rPr>
            <w:rStyle w:val="Hyperlink"/>
            <w:sz w:val="24"/>
            <w:szCs w:val="24"/>
            <w:lang w:val="el-GR"/>
          </w:rPr>
          <w:t>http://data.europa.eu/eli/C/2025/1801/oj</w:t>
        </w:r>
      </w:hyperlink>
      <w:r w:rsidR="007E6B88" w:rsidRPr="002F16C4">
        <w:rPr>
          <w:color w:val="000000" w:themeColor="text1"/>
          <w:sz w:val="24"/>
          <w:szCs w:val="24"/>
          <w:lang w:val="el-GR"/>
        </w:rPr>
        <w:t>).</w:t>
      </w:r>
    </w:p>
    <w:p w14:paraId="268305E5" w14:textId="7889FDF0"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007E6B88" w:rsidRPr="002F16C4">
          <w:rPr>
            <w:rStyle w:val="Hyperlink"/>
            <w:sz w:val="24"/>
            <w:szCs w:val="24"/>
            <w:lang w:val="el-GR"/>
          </w:rPr>
          <w:t>http://data.europa.eu/eli/C/2025/1802/oj</w:t>
        </w:r>
      </w:hyperlink>
      <w:r w:rsidR="007E6B88" w:rsidRPr="002F16C4">
        <w:rPr>
          <w:color w:val="000000" w:themeColor="text1"/>
          <w:sz w:val="24"/>
          <w:szCs w:val="24"/>
          <w:lang w:val="el-GR"/>
        </w:rPr>
        <w:t>).</w:t>
      </w:r>
    </w:p>
    <w:p w14:paraId="0B85E8ED" w14:textId="60DFCD95"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007E6B88" w:rsidRPr="002F16C4">
          <w:rPr>
            <w:rStyle w:val="Hyperlink"/>
            <w:sz w:val="24"/>
            <w:szCs w:val="24"/>
            <w:lang w:val="el-GR"/>
          </w:rPr>
          <w:t>http://data.europa.eu/eli/C/2025/1803/oj</w:t>
        </w:r>
      </w:hyperlink>
      <w:r w:rsidR="007E6B88" w:rsidRPr="002F16C4">
        <w:rPr>
          <w:color w:val="000000" w:themeColor="text1"/>
          <w:sz w:val="24"/>
          <w:szCs w:val="24"/>
          <w:lang w:val="el-GR"/>
        </w:rPr>
        <w:t>).</w:t>
      </w:r>
    </w:p>
    <w:p w14:paraId="2B45918F" w14:textId="04DEAE77" w:rsidR="007E6B88" w:rsidRPr="002F16C4" w:rsidRDefault="00907F59" w:rsidP="00E800F7">
      <w:pPr>
        <w:pStyle w:val="FootnoteText"/>
        <w:tabs>
          <w:tab w:val="left" w:pos="567"/>
          <w:tab w:val="left" w:pos="1134"/>
        </w:tabs>
        <w:spacing w:line="240" w:lineRule="auto"/>
        <w:ind w:left="1134" w:hanging="1134"/>
        <w:rPr>
          <w:color w:val="000000" w:themeColor="text1"/>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007E6B88" w:rsidRPr="002F16C4">
          <w:rPr>
            <w:rStyle w:val="Hyperlink"/>
            <w:sz w:val="24"/>
            <w:szCs w:val="24"/>
            <w:lang w:val="el-GR"/>
          </w:rPr>
          <w:t>http://data.europa.eu/eli/C/2025/1804/oj</w:t>
        </w:r>
      </w:hyperlink>
      <w:r w:rsidR="007E6B88" w:rsidRPr="002F16C4">
        <w:rPr>
          <w:color w:val="000000" w:themeColor="text1"/>
          <w:sz w:val="24"/>
          <w:szCs w:val="24"/>
          <w:lang w:val="el-GR"/>
        </w:rPr>
        <w:t>).</w:t>
      </w:r>
    </w:p>
    <w:p w14:paraId="26EDDD0A" w14:textId="6DD7BCD5"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color w:val="000000" w:themeColor="text1"/>
          <w:sz w:val="24"/>
          <w:szCs w:val="24"/>
          <w:lang w:val="el-GR"/>
        </w:rPr>
        <w:t xml:space="preserve"> </w:t>
      </w:r>
      <w:r w:rsidRPr="002F16C4">
        <w:rPr>
          <w:color w:val="000000" w:themeColor="text1"/>
          <w:sz w:val="24"/>
          <w:szCs w:val="24"/>
          <w:lang w:val="el-GR"/>
        </w:rPr>
        <w:tab/>
      </w:r>
      <w:r w:rsidR="007E6B88" w:rsidRPr="002F16C4">
        <w:rPr>
          <w:color w:val="000000" w:themeColor="text1"/>
          <w:sz w:val="24"/>
          <w:szCs w:val="24"/>
          <w:lang w:val="el-GR"/>
        </w:rPr>
        <w:t>–</w:t>
      </w:r>
      <w:r w:rsidR="007E6B88" w:rsidRPr="002F16C4">
        <w:rPr>
          <w:color w:val="000000" w:themeColor="text1"/>
          <w:sz w:val="24"/>
          <w:szCs w:val="24"/>
          <w:lang w:val="el-GR"/>
        </w:rPr>
        <w:tab/>
      </w:r>
      <w:r w:rsidR="007E6B88" w:rsidRPr="002F16C4">
        <w:rPr>
          <w:sz w:val="24"/>
          <w:szCs w:val="24"/>
          <w:lang w:val="el-GR"/>
        </w:rPr>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history="1">
        <w:r w:rsidR="007E6B88" w:rsidRPr="002F16C4">
          <w:rPr>
            <w:rStyle w:val="Hyperlink"/>
            <w:sz w:val="24"/>
            <w:szCs w:val="24"/>
            <w:lang w:val="el-GR"/>
          </w:rPr>
          <w:t>http://data.europa.eu/eli/C/2025/2246/oj</w:t>
        </w:r>
      </w:hyperlink>
      <w:r w:rsidR="007E6B88" w:rsidRPr="002F16C4">
        <w:rPr>
          <w:sz w:val="24"/>
          <w:szCs w:val="24"/>
          <w:lang w:val="el-GR"/>
        </w:rPr>
        <w:t>).</w:t>
      </w:r>
    </w:p>
    <w:p w14:paraId="0E45840E" w14:textId="08741AAA"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r>
      <w:r w:rsidR="007E6B88" w:rsidRPr="002F16C4">
        <w:rPr>
          <w:sz w:val="24"/>
          <w:szCs w:val="24"/>
          <w:lang w:val="el-GR"/>
        </w:rPr>
        <w:t>–</w:t>
      </w:r>
      <w:r w:rsidR="007E6B88" w:rsidRPr="002F16C4">
        <w:rPr>
          <w:sz w:val="24"/>
          <w:szCs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history="1">
        <w:r w:rsidR="007E6B88" w:rsidRPr="002F16C4">
          <w:rPr>
            <w:rStyle w:val="Hyperlink"/>
            <w:sz w:val="24"/>
            <w:szCs w:val="24"/>
            <w:lang w:val="el-GR"/>
          </w:rPr>
          <w:t>http://data.europa.eu/eli/C/2025/2247/oj</w:t>
        </w:r>
      </w:hyperlink>
      <w:r w:rsidR="007E6B88" w:rsidRPr="002F16C4">
        <w:rPr>
          <w:sz w:val="24"/>
          <w:szCs w:val="24"/>
          <w:lang w:val="el-GR"/>
        </w:rPr>
        <w:t>).</w:t>
      </w:r>
    </w:p>
    <w:p w14:paraId="1BE7C223" w14:textId="755FF48A"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r>
      <w:r w:rsidR="007E6B88" w:rsidRPr="002F16C4">
        <w:rPr>
          <w:sz w:val="24"/>
          <w:szCs w:val="24"/>
          <w:lang w:val="el-GR"/>
        </w:rPr>
        <w:t>–</w:t>
      </w:r>
      <w:r w:rsidR="007E6B88" w:rsidRPr="002F16C4">
        <w:rPr>
          <w:sz w:val="24"/>
          <w:szCs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0C0807" w:rsidRPr="002F16C4">
        <w:rPr>
          <w:sz w:val="24"/>
          <w:szCs w:val="24"/>
          <w:lang w:val="el-GR"/>
        </w:rPr>
        <w:t xml:space="preserve">Κείμενα που εγκρίθηκαν, </w:t>
      </w:r>
      <w:r w:rsidR="007E6B88" w:rsidRPr="002F16C4">
        <w:rPr>
          <w:sz w:val="24"/>
          <w:szCs w:val="24"/>
          <w:lang w:val="el-GR"/>
        </w:rPr>
        <w:t>P10_TA(2025)0106).</w:t>
      </w:r>
    </w:p>
    <w:p w14:paraId="250F8345" w14:textId="556F4F3D"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r>
      <w:r w:rsidR="007E6B88" w:rsidRPr="002F16C4">
        <w:rPr>
          <w:sz w:val="24"/>
          <w:szCs w:val="24"/>
          <w:lang w:val="el-GR"/>
        </w:rPr>
        <w:t>–</w:t>
      </w:r>
      <w:r w:rsidR="007E6B88" w:rsidRPr="002F16C4">
        <w:rPr>
          <w:sz w:val="24"/>
          <w:szCs w:val="24"/>
          <w:lang w:val="el-GR"/>
        </w:rPr>
        <w:tab/>
        <w:t>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0C0807" w:rsidRPr="002F16C4">
        <w:rPr>
          <w:sz w:val="24"/>
          <w:szCs w:val="24"/>
          <w:lang w:val="el-GR"/>
        </w:rPr>
        <w:t xml:space="preserve">Κείμενα που εγκρίθηκαν, </w:t>
      </w:r>
      <w:r w:rsidR="007E6B88" w:rsidRPr="002F16C4">
        <w:rPr>
          <w:sz w:val="24"/>
          <w:szCs w:val="24"/>
          <w:lang w:val="el-GR"/>
        </w:rPr>
        <w:t>P10_TA(2025)0222).</w:t>
      </w:r>
    </w:p>
    <w:p w14:paraId="5F2BBDA4" w14:textId="5B126DD8"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r>
      <w:r w:rsidR="007E6B88" w:rsidRPr="002F16C4">
        <w:rPr>
          <w:sz w:val="24"/>
          <w:szCs w:val="24"/>
          <w:lang w:val="el-GR"/>
        </w:rPr>
        <w:t>–</w:t>
      </w:r>
      <w:r w:rsidR="007E6B88" w:rsidRPr="002F16C4">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w:t>
      </w:r>
      <w:r w:rsidR="000C0807" w:rsidRPr="002F16C4">
        <w:rPr>
          <w:sz w:val="24"/>
          <w:szCs w:val="24"/>
          <w:lang w:val="el-GR"/>
        </w:rPr>
        <w:t xml:space="preserve">(Κείμενα που εγκρίθηκαν, </w:t>
      </w:r>
      <w:r w:rsidR="007E6B88" w:rsidRPr="002F16C4">
        <w:rPr>
          <w:sz w:val="24"/>
          <w:szCs w:val="24"/>
          <w:lang w:val="el-GR"/>
        </w:rPr>
        <w:t>P10_TA(2025)0288</w:t>
      </w:r>
      <w:r w:rsidR="000C0807" w:rsidRPr="002F16C4">
        <w:rPr>
          <w:sz w:val="24"/>
          <w:szCs w:val="24"/>
          <w:lang w:val="el-GR"/>
        </w:rPr>
        <w:t>)</w:t>
      </w:r>
      <w:r w:rsidR="007E6B88" w:rsidRPr="002F16C4">
        <w:rPr>
          <w:sz w:val="24"/>
          <w:szCs w:val="24"/>
          <w:lang w:val="el-GR"/>
        </w:rPr>
        <w:t>.</w:t>
      </w:r>
    </w:p>
    <w:p w14:paraId="2C1712AC" w14:textId="1F8D17F6"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r>
      <w:r w:rsidR="007E6B88" w:rsidRPr="002F16C4">
        <w:rPr>
          <w:sz w:val="24"/>
          <w:szCs w:val="24"/>
          <w:lang w:val="el-GR"/>
        </w:rPr>
        <w:t>–</w:t>
      </w:r>
      <w:r w:rsidR="007E6B88" w:rsidRPr="002F16C4">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w:t>
      </w:r>
      <w:r w:rsidR="000C0807" w:rsidRPr="002F16C4">
        <w:rPr>
          <w:sz w:val="24"/>
          <w:szCs w:val="24"/>
          <w:lang w:val="el-GR"/>
        </w:rPr>
        <w:t xml:space="preserve">(Κείμενα που εγκρίθηκαν, </w:t>
      </w:r>
      <w:r w:rsidR="007E6B88" w:rsidRPr="002F16C4">
        <w:rPr>
          <w:sz w:val="24"/>
          <w:szCs w:val="24"/>
          <w:lang w:val="el-GR"/>
        </w:rPr>
        <w:t>P10_TA(2025)0289</w:t>
      </w:r>
      <w:r w:rsidR="000C0807" w:rsidRPr="002F16C4">
        <w:rPr>
          <w:sz w:val="24"/>
          <w:szCs w:val="24"/>
          <w:lang w:val="el-GR"/>
        </w:rPr>
        <w:t>)</w:t>
      </w:r>
      <w:r w:rsidR="007E6B88" w:rsidRPr="002F16C4">
        <w:rPr>
          <w:sz w:val="24"/>
          <w:szCs w:val="24"/>
          <w:lang w:val="el-GR"/>
        </w:rPr>
        <w:t>.</w:t>
      </w:r>
    </w:p>
    <w:p w14:paraId="0C341F03" w14:textId="615DF999" w:rsidR="007E6B88" w:rsidRPr="002F16C4" w:rsidRDefault="000C0807"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t>–</w:t>
      </w:r>
      <w:r w:rsidRPr="002F16C4">
        <w:rPr>
          <w:sz w:val="24"/>
          <w:szCs w:val="24"/>
          <w:lang w:val="el-GR"/>
        </w:rPr>
        <w:tab/>
      </w:r>
      <w:r w:rsidR="007E6B88" w:rsidRPr="002F16C4">
        <w:rPr>
          <w:sz w:val="24"/>
          <w:szCs w:val="24"/>
          <w:lang w:val="el-GR"/>
        </w:rPr>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w:t>
      </w:r>
      <w:r w:rsidRPr="002F16C4">
        <w:rPr>
          <w:sz w:val="24"/>
          <w:szCs w:val="24"/>
          <w:lang w:val="el-GR"/>
        </w:rPr>
        <w:t xml:space="preserve">(Κείμενα που εγκρίθηκαν, </w:t>
      </w:r>
      <w:r w:rsidR="007E6B88" w:rsidRPr="002F16C4">
        <w:rPr>
          <w:sz w:val="24"/>
          <w:szCs w:val="24"/>
          <w:lang w:val="el-GR"/>
        </w:rPr>
        <w:t>P10_TA(2025)0290</w:t>
      </w:r>
      <w:r w:rsidRPr="002F16C4">
        <w:rPr>
          <w:sz w:val="24"/>
          <w:szCs w:val="24"/>
          <w:lang w:val="el-GR"/>
        </w:rPr>
        <w:t>)</w:t>
      </w:r>
      <w:r w:rsidR="007E6B88" w:rsidRPr="002F16C4">
        <w:rPr>
          <w:sz w:val="24"/>
          <w:szCs w:val="24"/>
          <w:lang w:val="el-GR"/>
        </w:rPr>
        <w:t>.</w:t>
      </w:r>
    </w:p>
    <w:p w14:paraId="4696775A" w14:textId="6143CCE8" w:rsidR="007E6B88" w:rsidRPr="002F16C4" w:rsidRDefault="00907F59"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r>
      <w:r w:rsidR="007E6B88" w:rsidRPr="002F16C4">
        <w:rPr>
          <w:sz w:val="24"/>
          <w:szCs w:val="24"/>
          <w:lang w:val="el-GR"/>
        </w:rPr>
        <w:t>–</w:t>
      </w:r>
      <w:r w:rsidR="007E6B88" w:rsidRPr="002F16C4">
        <w:rPr>
          <w:sz w:val="24"/>
          <w:szCs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w:t>
      </w:r>
      <w:r w:rsidR="000C0807" w:rsidRPr="002F16C4">
        <w:rPr>
          <w:sz w:val="24"/>
          <w:szCs w:val="24"/>
          <w:lang w:val="el-GR"/>
        </w:rPr>
        <w:t xml:space="preserve">(Κείμενα που εγκρίθηκαν, </w:t>
      </w:r>
      <w:r w:rsidR="007E6B88" w:rsidRPr="002F16C4">
        <w:rPr>
          <w:sz w:val="24"/>
          <w:szCs w:val="24"/>
          <w:lang w:val="el-GR"/>
        </w:rPr>
        <w:t>P10_TA(2025)0291</w:t>
      </w:r>
      <w:r w:rsidR="000C0807" w:rsidRPr="002F16C4">
        <w:rPr>
          <w:sz w:val="24"/>
          <w:szCs w:val="24"/>
          <w:lang w:val="el-GR"/>
        </w:rPr>
        <w:t>)</w:t>
      </w:r>
      <w:r w:rsidR="007E6B88" w:rsidRPr="002F16C4">
        <w:rPr>
          <w:sz w:val="24"/>
          <w:szCs w:val="24"/>
          <w:lang w:val="el-GR"/>
        </w:rPr>
        <w:t>.</w:t>
      </w:r>
    </w:p>
    <w:p w14:paraId="156D998E" w14:textId="32AEEAA7" w:rsidR="007E6B88" w:rsidRPr="002F16C4" w:rsidRDefault="000C0807"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t>–</w:t>
      </w:r>
      <w:r w:rsidRPr="002F16C4">
        <w:rPr>
          <w:sz w:val="24"/>
          <w:szCs w:val="24"/>
          <w:lang w:val="el-GR"/>
        </w:rPr>
        <w:tab/>
      </w:r>
      <w:r w:rsidR="007E6B88" w:rsidRPr="002F16C4">
        <w:rPr>
          <w:sz w:val="24"/>
          <w:szCs w:val="24"/>
          <w:lang w:val="el-GR"/>
        </w:rPr>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w:t>
      </w:r>
      <w:r w:rsidRPr="002F16C4">
        <w:rPr>
          <w:sz w:val="24"/>
          <w:szCs w:val="24"/>
          <w:lang w:val="el-GR"/>
        </w:rPr>
        <w:t xml:space="preserve">(Κείμενα που εγκρίθηκαν, </w:t>
      </w:r>
      <w:r w:rsidR="007E6B88" w:rsidRPr="002F16C4">
        <w:rPr>
          <w:sz w:val="24"/>
          <w:szCs w:val="24"/>
          <w:lang w:val="el-GR"/>
        </w:rPr>
        <w:t>P10_TA(2025)0292</w:t>
      </w:r>
      <w:r w:rsidRPr="002F16C4">
        <w:rPr>
          <w:sz w:val="24"/>
          <w:szCs w:val="24"/>
          <w:lang w:val="el-GR"/>
        </w:rPr>
        <w:t>)</w:t>
      </w:r>
      <w:r w:rsidR="007E6B88" w:rsidRPr="002F16C4">
        <w:rPr>
          <w:sz w:val="24"/>
          <w:szCs w:val="24"/>
          <w:lang w:val="el-GR"/>
        </w:rPr>
        <w:t>.</w:t>
      </w:r>
    </w:p>
    <w:p w14:paraId="28A8989B" w14:textId="67A07A68" w:rsidR="007E6B88" w:rsidRPr="002F16C4" w:rsidRDefault="000C0807" w:rsidP="00E800F7">
      <w:pPr>
        <w:pStyle w:val="FootnoteText"/>
        <w:tabs>
          <w:tab w:val="left" w:pos="567"/>
          <w:tab w:val="left" w:pos="1134"/>
        </w:tabs>
        <w:spacing w:line="240" w:lineRule="auto"/>
        <w:ind w:left="1134" w:hanging="1134"/>
        <w:rPr>
          <w:sz w:val="24"/>
          <w:szCs w:val="24"/>
          <w:vertAlign w:val="superscript"/>
          <w:lang w:val="el-GR"/>
        </w:rPr>
      </w:pPr>
      <w:r w:rsidRPr="002F16C4">
        <w:rPr>
          <w:sz w:val="24"/>
          <w:szCs w:val="24"/>
          <w:lang w:val="el-GR"/>
        </w:rPr>
        <w:t xml:space="preserve"> </w:t>
      </w:r>
      <w:r w:rsidRPr="002F16C4">
        <w:rPr>
          <w:sz w:val="24"/>
          <w:szCs w:val="24"/>
          <w:lang w:val="el-GR"/>
        </w:rPr>
        <w:tab/>
        <w:t>–</w:t>
      </w:r>
      <w:r w:rsidRPr="002F16C4">
        <w:rPr>
          <w:sz w:val="24"/>
          <w:szCs w:val="24"/>
          <w:lang w:val="el-GR"/>
        </w:rPr>
        <w:tab/>
      </w:r>
      <w:r w:rsidR="007E6B88" w:rsidRPr="002F16C4">
        <w:rPr>
          <w:sz w:val="24"/>
          <w:szCs w:val="24"/>
          <w:lang w:val="el-GR"/>
        </w:rPr>
        <w:t xml:space="preserve">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w:t>
      </w:r>
      <w:r w:rsidRPr="002F16C4">
        <w:rPr>
          <w:sz w:val="24"/>
          <w:szCs w:val="24"/>
          <w:lang w:val="el-GR"/>
        </w:rPr>
        <w:t xml:space="preserve">(Κείμενα που εγκρίθηκαν, </w:t>
      </w:r>
      <w:r w:rsidR="007E6B88" w:rsidRPr="002F16C4">
        <w:rPr>
          <w:sz w:val="24"/>
          <w:szCs w:val="24"/>
          <w:lang w:val="el-GR"/>
        </w:rPr>
        <w:t>P10_TA(2025)0327</w:t>
      </w:r>
      <w:r w:rsidRPr="002F16C4">
        <w:rPr>
          <w:sz w:val="24"/>
          <w:szCs w:val="24"/>
          <w:lang w:val="el-GR"/>
        </w:rPr>
        <w:t>)</w:t>
      </w:r>
      <w:r w:rsidR="007E6B88" w:rsidRPr="002F16C4">
        <w:rPr>
          <w:sz w:val="24"/>
          <w:szCs w:val="24"/>
          <w:lang w:val="el-GR"/>
        </w:rPr>
        <w:t>.</w:t>
      </w:r>
    </w:p>
    <w:p w14:paraId="66F338BD" w14:textId="1284CB97" w:rsidR="007E6B88" w:rsidRPr="002F16C4" w:rsidRDefault="000C0807" w:rsidP="00E800F7">
      <w:pPr>
        <w:pStyle w:val="FootnoteText"/>
        <w:tabs>
          <w:tab w:val="left" w:pos="567"/>
          <w:tab w:val="left" w:pos="1134"/>
        </w:tabs>
        <w:spacing w:line="240" w:lineRule="auto"/>
        <w:ind w:left="1134" w:hanging="1134"/>
        <w:rPr>
          <w:sz w:val="24"/>
          <w:szCs w:val="24"/>
          <w:lang w:val="el-GR"/>
        </w:rPr>
      </w:pPr>
      <w:r w:rsidRPr="002F16C4">
        <w:rPr>
          <w:sz w:val="24"/>
          <w:szCs w:val="24"/>
          <w:lang w:val="el-GR"/>
        </w:rPr>
        <w:t xml:space="preserve"> </w:t>
      </w:r>
      <w:r w:rsidRPr="002F16C4">
        <w:rPr>
          <w:sz w:val="24"/>
          <w:szCs w:val="24"/>
          <w:lang w:val="el-GR"/>
        </w:rPr>
        <w:tab/>
        <w:t>–</w:t>
      </w:r>
      <w:r w:rsidRPr="002F16C4">
        <w:rPr>
          <w:sz w:val="24"/>
          <w:szCs w:val="24"/>
          <w:lang w:val="el-GR"/>
        </w:rPr>
        <w:tab/>
      </w:r>
      <w:r w:rsidR="007E6B88" w:rsidRPr="002F16C4">
        <w:rPr>
          <w:sz w:val="24"/>
          <w:szCs w:val="24"/>
          <w:lang w:val="el-GR"/>
        </w:rPr>
        <w:t>Ψήφισμα του Ευρωπαϊκού Κοινοβουλίου της 16ης Δεκεμβρίου 2025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w:t>
      </w:r>
      <w:r w:rsidRPr="002F16C4">
        <w:rPr>
          <w:sz w:val="24"/>
          <w:szCs w:val="24"/>
          <w:lang w:val="el-GR"/>
        </w:rPr>
        <w:t xml:space="preserve">Κείμενα που εγκρίθηκαν, </w:t>
      </w:r>
      <w:r w:rsidR="007E6B88" w:rsidRPr="002F16C4">
        <w:rPr>
          <w:sz w:val="24"/>
          <w:szCs w:val="24"/>
          <w:lang w:val="el-GR"/>
        </w:rPr>
        <w:t>P10_TA(2025)0328).</w:t>
      </w:r>
    </w:p>
  </w:footnote>
  <w:footnote w:id="5">
    <w:p w14:paraId="1BD4A0F9" w14:textId="41F5DCF5"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Εκτελεστική απόφαση (ΕΕ) 2015/699 της Επιτροπής, της 24ης Απριλίου 2015, για την έγκριση της διάθεσης στην αγορά προϊόντων που περιέχουν, αποτελούνται ή παράγονται από γενετικώς τροποποιημένο βαμβάκι T304-40 (BCS-GHØØ4-7) σύμφωνα με τον κανονισμό (ΕΚ) αριθ. 1829/2003 του Ευρωπαϊκού Κοινοβουλίου και του Συμβουλίου (ΕΕ L 112 της 30.4.2015, σ. </w:t>
      </w:r>
      <w:r w:rsidRPr="002F16C4">
        <w:rPr>
          <w:sz w:val="24"/>
          <w:szCs w:val="24"/>
          <w:lang w:val="el-GR"/>
        </w:rPr>
        <w:t>77, ELI: </w:t>
      </w:r>
      <w:hyperlink r:id="rId14" w:history="1">
        <w:r w:rsidRPr="002F16C4">
          <w:rPr>
            <w:rStyle w:val="Hyperlink"/>
            <w:sz w:val="24"/>
            <w:szCs w:val="24"/>
            <w:lang w:val="el-GR"/>
          </w:rPr>
          <w:t>http://data.europa.eu/eli/dec_impl/2015/699/oj</w:t>
        </w:r>
      </w:hyperlink>
      <w:r w:rsidRPr="002F16C4">
        <w:rPr>
          <w:sz w:val="24"/>
          <w:szCs w:val="24"/>
          <w:lang w:val="el-GR"/>
        </w:rPr>
        <w:t>).</w:t>
      </w:r>
    </w:p>
  </w:footnote>
  <w:footnote w:id="6">
    <w:p w14:paraId="47304307" w14:textId="5E24DA0D"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002F16C4" w:rsidRPr="002F16C4">
        <w:rPr>
          <w:sz w:val="24"/>
          <w:szCs w:val="24"/>
          <w:lang w:val="el-GR"/>
        </w:rPr>
        <w:t>Εκτελεστική</w:t>
      </w:r>
      <w:r w:rsidRPr="002F16C4">
        <w:rPr>
          <w:sz w:val="24"/>
          <w:szCs w:val="24"/>
          <w:lang w:val="el-GR"/>
        </w:rPr>
        <w:t xml:space="preserve"> απόφαση (ΕΕ) 2019/1195 της Επιτροπής, της 10ης Ιουλίου 2019, για την τροποποίηση των αποφάσεων 2008/730/ΕΚ, 2008/837/ΕΚ, 2009/184/ΕΚ, 2011/354/ΕΕ, των εκτελεστικών αποφάσεων 2012/81/ΕΕ, 2013/327/ΕΕ, (ΕΕ) 2015/690, (ΕΕ) 2015/697, (ΕΕ) 2015/699, (ΕΕ) 2016/1215, (ΕΕ) 2017/1208 και (ΕΕ) 2017/2451 όσον αφορά τον κάτοχο της έγκρισης και τον εκπρόσωπο για τη διάθεση στην αγορά γενετικώς τροποποιημένης σόγιας, βαμβακιού, ελαιοκράμβης και αραβοσίτου (ΕΕ L 187 της 12.7.2019, σ. </w:t>
      </w:r>
      <w:r w:rsidRPr="002F16C4">
        <w:rPr>
          <w:sz w:val="24"/>
          <w:szCs w:val="24"/>
          <w:lang w:val="el-GR"/>
        </w:rPr>
        <w:t>43, ELI: </w:t>
      </w:r>
      <w:hyperlink r:id="rId15" w:tooltip="Πρόσβαση στο κείμενο μέσω URI τύπου ELI." w:history="1">
        <w:r w:rsidRPr="002F16C4">
          <w:rPr>
            <w:rStyle w:val="Hyperlink"/>
            <w:sz w:val="24"/>
            <w:szCs w:val="24"/>
            <w:lang w:val="el-GR"/>
          </w:rPr>
          <w:t>http://data.europa.eu/eli/dec_impl/2019/1195/oj</w:t>
        </w:r>
      </w:hyperlink>
      <w:r w:rsidRPr="002F16C4">
        <w:rPr>
          <w:sz w:val="24"/>
          <w:szCs w:val="24"/>
          <w:lang w:val="el-GR"/>
        </w:rPr>
        <w:t xml:space="preserve">). </w:t>
      </w:r>
    </w:p>
  </w:footnote>
  <w:footnote w:id="7">
    <w:p w14:paraId="218843D4" w14:textId="43444932"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αραβοσίτου T304-40 για ανανέωση της έγκρισης βάσει του κανονισμού (ΕΚ) αριθ. </w:t>
      </w:r>
      <w:r w:rsidRPr="002F16C4">
        <w:rPr>
          <w:sz w:val="24"/>
          <w:szCs w:val="24"/>
          <w:lang w:val="el-GR"/>
        </w:rPr>
        <w:t>1829/2003 (αίτηση GMFF-2024-23010),</w:t>
      </w:r>
      <w:r w:rsidRPr="002F16C4">
        <w:rPr>
          <w:i/>
          <w:sz w:val="24"/>
          <w:szCs w:val="24"/>
          <w:lang w:val="el-GR"/>
        </w:rPr>
        <w:t xml:space="preserve"> EFSA Journal,</w:t>
      </w:r>
      <w:r w:rsidRPr="002F16C4">
        <w:rPr>
          <w:sz w:val="24"/>
          <w:szCs w:val="24"/>
          <w:lang w:val="el-GR"/>
        </w:rPr>
        <w:t xml:space="preserve"> 2025,</w:t>
      </w:r>
      <w:r w:rsidR="002F16C4" w:rsidRPr="002F16C4">
        <w:rPr>
          <w:sz w:val="24"/>
          <w:szCs w:val="24"/>
          <w:lang w:val="el-GR"/>
        </w:rPr>
        <w:t xml:space="preserve"> </w:t>
      </w:r>
      <w:r w:rsidRPr="002F16C4">
        <w:rPr>
          <w:sz w:val="24"/>
          <w:szCs w:val="24"/>
          <w:lang w:val="el-GR"/>
        </w:rPr>
        <w:t xml:space="preserve">23(7):e9580, </w:t>
      </w:r>
      <w:hyperlink r:id="rId16" w:history="1">
        <w:r w:rsidR="002F16C4" w:rsidRPr="002F16C4">
          <w:rPr>
            <w:rStyle w:val="Hyperlink"/>
            <w:sz w:val="24"/>
            <w:szCs w:val="24"/>
            <w:lang w:val="el-GR"/>
          </w:rPr>
          <w:t>https://doi.org/10.2903/j.efsa.2025.9580</w:t>
        </w:r>
      </w:hyperlink>
      <w:r w:rsidRPr="002F16C4">
        <w:rPr>
          <w:sz w:val="24"/>
          <w:szCs w:val="24"/>
          <w:lang w:val="el-GR"/>
        </w:rPr>
        <w:t>.</w:t>
      </w:r>
    </w:p>
  </w:footnote>
  <w:footnote w:id="8">
    <w:p w14:paraId="039EDF28" w14:textId="6C63E489"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 xml:space="preserve">«Scientific </w:t>
      </w:r>
      <w:proofErr w:type="spellStart"/>
      <w:r w:rsidRPr="002F16C4">
        <w:rPr>
          <w:sz w:val="24"/>
          <w:szCs w:val="24"/>
          <w:lang w:val="el-GR"/>
        </w:rPr>
        <w:t>Opinion</w:t>
      </w:r>
      <w:proofErr w:type="spellEnd"/>
      <w:r w:rsidRPr="002F16C4">
        <w:rPr>
          <w:sz w:val="24"/>
          <w:szCs w:val="24"/>
          <w:lang w:val="el-GR"/>
        </w:rPr>
        <w:t xml:space="preserve"> of the EFSA </w:t>
      </w:r>
      <w:proofErr w:type="spellStart"/>
      <w:r w:rsidRPr="002F16C4">
        <w:rPr>
          <w:sz w:val="24"/>
          <w:szCs w:val="24"/>
          <w:lang w:val="el-GR"/>
        </w:rPr>
        <w:t>Panel</w:t>
      </w:r>
      <w:proofErr w:type="spellEnd"/>
      <w:r w:rsidRPr="002F16C4">
        <w:rPr>
          <w:sz w:val="24"/>
          <w:szCs w:val="24"/>
          <w:lang w:val="el-GR"/>
        </w:rPr>
        <w:t xml:space="preserve"> on </w:t>
      </w:r>
      <w:proofErr w:type="spellStart"/>
      <w:r w:rsidRPr="002F16C4">
        <w:rPr>
          <w:sz w:val="24"/>
          <w:szCs w:val="24"/>
          <w:lang w:val="el-GR"/>
        </w:rPr>
        <w:t>Genetically</w:t>
      </w:r>
      <w:proofErr w:type="spellEnd"/>
      <w:r w:rsidRPr="002F16C4">
        <w:rPr>
          <w:sz w:val="24"/>
          <w:szCs w:val="24"/>
          <w:lang w:val="el-GR"/>
        </w:rPr>
        <w:t xml:space="preserve"> </w:t>
      </w:r>
      <w:proofErr w:type="spellStart"/>
      <w:r w:rsidRPr="002F16C4">
        <w:rPr>
          <w:sz w:val="24"/>
          <w:szCs w:val="24"/>
          <w:lang w:val="el-GR"/>
        </w:rPr>
        <w:t>Modified</w:t>
      </w:r>
      <w:proofErr w:type="spellEnd"/>
      <w:r w:rsidRPr="002F16C4">
        <w:rPr>
          <w:sz w:val="24"/>
          <w:szCs w:val="24"/>
          <w:lang w:val="el-GR"/>
        </w:rPr>
        <w:t xml:space="preserve"> </w:t>
      </w:r>
      <w:proofErr w:type="spellStart"/>
      <w:r w:rsidRPr="002F16C4">
        <w:rPr>
          <w:sz w:val="24"/>
          <w:szCs w:val="24"/>
          <w:lang w:val="el-GR"/>
        </w:rPr>
        <w:t>Organisms</w:t>
      </w:r>
      <w:proofErr w:type="spellEnd"/>
      <w:r w:rsidRPr="002F16C4">
        <w:rPr>
          <w:sz w:val="24"/>
          <w:szCs w:val="24"/>
          <w:lang w:val="el-GR"/>
        </w:rPr>
        <w:t xml:space="preserve"> on </w:t>
      </w:r>
      <w:proofErr w:type="spellStart"/>
      <w:r w:rsidRPr="002F16C4">
        <w:rPr>
          <w:sz w:val="24"/>
          <w:szCs w:val="24"/>
          <w:lang w:val="el-GR"/>
        </w:rPr>
        <w:t>application</w:t>
      </w:r>
      <w:proofErr w:type="spellEnd"/>
      <w:r w:rsidRPr="002F16C4">
        <w:rPr>
          <w:sz w:val="24"/>
          <w:szCs w:val="24"/>
          <w:lang w:val="el-GR"/>
        </w:rPr>
        <w:t xml:space="preserve"> EFSA-GMO-NL-2011-97 for the </w:t>
      </w:r>
      <w:proofErr w:type="spellStart"/>
      <w:r w:rsidRPr="002F16C4">
        <w:rPr>
          <w:sz w:val="24"/>
          <w:szCs w:val="24"/>
          <w:lang w:val="el-GR"/>
        </w:rPr>
        <w:t>placing</w:t>
      </w:r>
      <w:proofErr w:type="spellEnd"/>
      <w:r w:rsidRPr="002F16C4">
        <w:rPr>
          <w:sz w:val="24"/>
          <w:szCs w:val="24"/>
          <w:lang w:val="el-GR"/>
        </w:rPr>
        <w:t xml:space="preserve"> on the </w:t>
      </w:r>
      <w:proofErr w:type="spellStart"/>
      <w:r w:rsidRPr="002F16C4">
        <w:rPr>
          <w:sz w:val="24"/>
          <w:szCs w:val="24"/>
          <w:lang w:val="el-GR"/>
        </w:rPr>
        <w:t>market</w:t>
      </w:r>
      <w:proofErr w:type="spellEnd"/>
      <w:r w:rsidRPr="002F16C4">
        <w:rPr>
          <w:sz w:val="24"/>
          <w:szCs w:val="24"/>
          <w:lang w:val="el-GR"/>
        </w:rPr>
        <w:t xml:space="preserve"> of </w:t>
      </w:r>
      <w:proofErr w:type="spellStart"/>
      <w:r w:rsidRPr="002F16C4">
        <w:rPr>
          <w:sz w:val="24"/>
          <w:szCs w:val="24"/>
          <w:lang w:val="el-GR"/>
        </w:rPr>
        <w:t>insect-resistant</w:t>
      </w:r>
      <w:proofErr w:type="spellEnd"/>
      <w:r w:rsidRPr="002F16C4">
        <w:rPr>
          <w:sz w:val="24"/>
          <w:szCs w:val="24"/>
          <w:lang w:val="el-GR"/>
        </w:rPr>
        <w:t xml:space="preserve"> and </w:t>
      </w:r>
      <w:proofErr w:type="spellStart"/>
      <w:r w:rsidRPr="002F16C4">
        <w:rPr>
          <w:sz w:val="24"/>
          <w:szCs w:val="24"/>
          <w:lang w:val="el-GR"/>
        </w:rPr>
        <w:t>herbicide-tolerant</w:t>
      </w:r>
      <w:proofErr w:type="spellEnd"/>
      <w:r w:rsidRPr="002F16C4">
        <w:rPr>
          <w:sz w:val="24"/>
          <w:szCs w:val="24"/>
          <w:lang w:val="el-GR"/>
        </w:rPr>
        <w:t xml:space="preserve"> </w:t>
      </w:r>
      <w:proofErr w:type="spellStart"/>
      <w:r w:rsidRPr="002F16C4">
        <w:rPr>
          <w:sz w:val="24"/>
          <w:szCs w:val="24"/>
          <w:lang w:val="el-GR"/>
        </w:rPr>
        <w:t>genetically</w:t>
      </w:r>
      <w:proofErr w:type="spellEnd"/>
      <w:r w:rsidRPr="002F16C4">
        <w:rPr>
          <w:sz w:val="24"/>
          <w:szCs w:val="24"/>
          <w:lang w:val="el-GR"/>
        </w:rPr>
        <w:t xml:space="preserve"> </w:t>
      </w:r>
      <w:proofErr w:type="spellStart"/>
      <w:r w:rsidRPr="002F16C4">
        <w:rPr>
          <w:sz w:val="24"/>
          <w:szCs w:val="24"/>
          <w:lang w:val="el-GR"/>
        </w:rPr>
        <w:t>modified</w:t>
      </w:r>
      <w:proofErr w:type="spellEnd"/>
      <w:r w:rsidRPr="002F16C4">
        <w:rPr>
          <w:sz w:val="24"/>
          <w:szCs w:val="24"/>
          <w:lang w:val="el-GR"/>
        </w:rPr>
        <w:t xml:space="preserve"> </w:t>
      </w:r>
      <w:proofErr w:type="spellStart"/>
      <w:r w:rsidRPr="002F16C4">
        <w:rPr>
          <w:sz w:val="24"/>
          <w:szCs w:val="24"/>
          <w:lang w:val="el-GR"/>
        </w:rPr>
        <w:t>cotton</w:t>
      </w:r>
      <w:proofErr w:type="spellEnd"/>
      <w:r w:rsidRPr="002F16C4">
        <w:rPr>
          <w:sz w:val="24"/>
          <w:szCs w:val="24"/>
          <w:lang w:val="el-GR"/>
        </w:rPr>
        <w:t xml:space="preserve"> T304-40 for </w:t>
      </w:r>
      <w:proofErr w:type="spellStart"/>
      <w:r w:rsidRPr="002F16C4">
        <w:rPr>
          <w:sz w:val="24"/>
          <w:szCs w:val="24"/>
          <w:lang w:val="el-GR"/>
        </w:rPr>
        <w:t>food</w:t>
      </w:r>
      <w:proofErr w:type="spellEnd"/>
      <w:r w:rsidRPr="002F16C4">
        <w:rPr>
          <w:sz w:val="24"/>
          <w:szCs w:val="24"/>
          <w:lang w:val="el-GR"/>
        </w:rPr>
        <w:t xml:space="preserve"> and </w:t>
      </w:r>
      <w:proofErr w:type="spellStart"/>
      <w:r w:rsidRPr="002F16C4">
        <w:rPr>
          <w:sz w:val="24"/>
          <w:szCs w:val="24"/>
          <w:lang w:val="el-GR"/>
        </w:rPr>
        <w:t>feed</w:t>
      </w:r>
      <w:proofErr w:type="spellEnd"/>
      <w:r w:rsidRPr="002F16C4">
        <w:rPr>
          <w:sz w:val="24"/>
          <w:szCs w:val="24"/>
          <w:lang w:val="el-GR"/>
        </w:rPr>
        <w:t xml:space="preserve"> </w:t>
      </w:r>
      <w:proofErr w:type="spellStart"/>
      <w:r w:rsidRPr="002F16C4">
        <w:rPr>
          <w:sz w:val="24"/>
          <w:szCs w:val="24"/>
          <w:lang w:val="el-GR"/>
        </w:rPr>
        <w:t>uses</w:t>
      </w:r>
      <w:proofErr w:type="spellEnd"/>
      <w:r w:rsidRPr="002F16C4">
        <w:rPr>
          <w:sz w:val="24"/>
          <w:szCs w:val="24"/>
          <w:lang w:val="el-GR"/>
        </w:rPr>
        <w:t xml:space="preserve">, </w:t>
      </w:r>
      <w:proofErr w:type="spellStart"/>
      <w:r w:rsidRPr="002F16C4">
        <w:rPr>
          <w:sz w:val="24"/>
          <w:szCs w:val="24"/>
          <w:lang w:val="el-GR"/>
        </w:rPr>
        <w:t>import</w:t>
      </w:r>
      <w:proofErr w:type="spellEnd"/>
      <w:r w:rsidRPr="002F16C4">
        <w:rPr>
          <w:sz w:val="24"/>
          <w:szCs w:val="24"/>
          <w:lang w:val="el-GR"/>
        </w:rPr>
        <w:t xml:space="preserve"> and </w:t>
      </w:r>
      <w:proofErr w:type="spellStart"/>
      <w:r w:rsidRPr="002F16C4">
        <w:rPr>
          <w:sz w:val="24"/>
          <w:szCs w:val="24"/>
          <w:lang w:val="el-GR"/>
        </w:rPr>
        <w:t>processing</w:t>
      </w:r>
      <w:proofErr w:type="spellEnd"/>
      <w:r w:rsidRPr="002F16C4">
        <w:rPr>
          <w:sz w:val="24"/>
          <w:szCs w:val="24"/>
          <w:lang w:val="el-GR"/>
        </w:rPr>
        <w:t xml:space="preserve"> </w:t>
      </w:r>
      <w:proofErr w:type="spellStart"/>
      <w:r w:rsidRPr="002F16C4">
        <w:rPr>
          <w:sz w:val="24"/>
          <w:szCs w:val="24"/>
          <w:lang w:val="el-GR"/>
        </w:rPr>
        <w:t>under</w:t>
      </w:r>
      <w:proofErr w:type="spellEnd"/>
      <w:r w:rsidRPr="002F16C4">
        <w:rPr>
          <w:sz w:val="24"/>
          <w:szCs w:val="24"/>
          <w:lang w:val="el-GR"/>
        </w:rPr>
        <w:t xml:space="preserve"> </w:t>
      </w:r>
      <w:proofErr w:type="spellStart"/>
      <w:r w:rsidRPr="002F16C4">
        <w:rPr>
          <w:sz w:val="24"/>
          <w:szCs w:val="24"/>
          <w:lang w:val="el-GR"/>
        </w:rPr>
        <w:t>Regulation</w:t>
      </w:r>
      <w:proofErr w:type="spellEnd"/>
      <w:r w:rsidRPr="002F16C4">
        <w:rPr>
          <w:sz w:val="24"/>
          <w:szCs w:val="24"/>
          <w:lang w:val="el-GR"/>
        </w:rPr>
        <w:t xml:space="preserve"> (EC) </w:t>
      </w:r>
      <w:proofErr w:type="spellStart"/>
      <w:r w:rsidRPr="002F16C4">
        <w:rPr>
          <w:sz w:val="24"/>
          <w:szCs w:val="24"/>
          <w:lang w:val="el-GR"/>
        </w:rPr>
        <w:t>No</w:t>
      </w:r>
      <w:proofErr w:type="spellEnd"/>
      <w:r w:rsidRPr="002F16C4">
        <w:rPr>
          <w:sz w:val="24"/>
          <w:szCs w:val="24"/>
          <w:lang w:val="el-GR"/>
        </w:rPr>
        <w:t xml:space="preserve"> 1829/2003 </w:t>
      </w:r>
      <w:proofErr w:type="spellStart"/>
      <w:r w:rsidRPr="002F16C4">
        <w:rPr>
          <w:sz w:val="24"/>
          <w:szCs w:val="24"/>
          <w:lang w:val="el-GR"/>
        </w:rPr>
        <w:t>from</w:t>
      </w:r>
      <w:proofErr w:type="spellEnd"/>
      <w:r w:rsidRPr="002F16C4">
        <w:rPr>
          <w:sz w:val="24"/>
          <w:szCs w:val="24"/>
          <w:lang w:val="el-GR"/>
        </w:rPr>
        <w:t xml:space="preserve"> Bayer CropScience AG» (Επιστημονική γνώμη της ομάδας της EFSA για τους γενετικώς τροποποιημένους οργανισμούς σχετικά με την αίτηση EFSA-GMO-NL-2011-97 για τη διάθεση στην αγορά του ανθεκτικού στα έντομα και τα ζιζανιοκτόνα γενετικώς τροποποιημένου βαμβακιού T304-40, που προορίζεται για χρήση σε τρόφιμα και ζωοτροφές, την εισαγωγή και την επεξεργασία, βάσει του κανονισμού (ΕΚ) αριθ. </w:t>
      </w:r>
      <w:r w:rsidRPr="002F16C4">
        <w:rPr>
          <w:sz w:val="24"/>
          <w:szCs w:val="24"/>
          <w:lang w:val="el-GR"/>
        </w:rPr>
        <w:t xml:space="preserve">1829/2003, από την εταιρεία Bayer CropScience AG), </w:t>
      </w:r>
      <w:r w:rsidRPr="002F16C4">
        <w:rPr>
          <w:i/>
          <w:sz w:val="24"/>
          <w:szCs w:val="24"/>
          <w:lang w:val="el-GR"/>
        </w:rPr>
        <w:t>EFSA Journal</w:t>
      </w:r>
      <w:r w:rsidRPr="002F16C4">
        <w:rPr>
          <w:sz w:val="24"/>
          <w:szCs w:val="24"/>
          <w:lang w:val="el-GR"/>
        </w:rPr>
        <w:t xml:space="preserve">, 2013, 11(6): 3251, </w:t>
      </w:r>
      <w:hyperlink r:id="rId17" w:history="1">
        <w:r w:rsidRPr="00E800F7">
          <w:rPr>
            <w:rStyle w:val="Hyperlink"/>
            <w:szCs w:val="24"/>
          </w:rPr>
          <w:t>https</w:t>
        </w:r>
        <w:r w:rsidRPr="00E800F7">
          <w:rPr>
            <w:rStyle w:val="Hyperlink"/>
            <w:szCs w:val="24"/>
            <w:lang w:val="el-GR"/>
          </w:rPr>
          <w:t>://</w:t>
        </w:r>
        <w:proofErr w:type="spellStart"/>
        <w:r w:rsidRPr="00E800F7">
          <w:rPr>
            <w:rStyle w:val="Hyperlink"/>
            <w:szCs w:val="24"/>
          </w:rPr>
          <w:t>doi</w:t>
        </w:r>
        <w:proofErr w:type="spellEnd"/>
        <w:r w:rsidRPr="00E800F7">
          <w:rPr>
            <w:rStyle w:val="Hyperlink"/>
            <w:szCs w:val="24"/>
            <w:lang w:val="el-GR"/>
          </w:rPr>
          <w:t>.</w:t>
        </w:r>
        <w:proofErr w:type="spellStart"/>
        <w:r w:rsidRPr="00E800F7">
          <w:rPr>
            <w:rStyle w:val="Hyperlink"/>
            <w:szCs w:val="24"/>
          </w:rPr>
          <w:t>org</w:t>
        </w:r>
        <w:proofErr w:type="spellEnd"/>
        <w:r w:rsidRPr="00E800F7">
          <w:rPr>
            <w:rStyle w:val="Hyperlink"/>
            <w:szCs w:val="24"/>
            <w:lang w:val="el-GR"/>
          </w:rPr>
          <w:t>/10.2903/</w:t>
        </w:r>
        <w:r w:rsidRPr="00E800F7">
          <w:rPr>
            <w:rStyle w:val="Hyperlink"/>
            <w:szCs w:val="24"/>
          </w:rPr>
          <w:t>j</w:t>
        </w:r>
        <w:r w:rsidRPr="00E800F7">
          <w:rPr>
            <w:rStyle w:val="Hyperlink"/>
            <w:szCs w:val="24"/>
            <w:lang w:val="el-GR"/>
          </w:rPr>
          <w:t>.</w:t>
        </w:r>
        <w:proofErr w:type="spellStart"/>
        <w:r w:rsidRPr="00E800F7">
          <w:rPr>
            <w:rStyle w:val="Hyperlink"/>
            <w:szCs w:val="24"/>
          </w:rPr>
          <w:t>efsa</w:t>
        </w:r>
        <w:proofErr w:type="spellEnd"/>
        <w:r w:rsidRPr="00E800F7">
          <w:rPr>
            <w:rStyle w:val="Hyperlink"/>
            <w:szCs w:val="24"/>
            <w:lang w:val="el-GR"/>
          </w:rPr>
          <w:t>.2013.3251</w:t>
        </w:r>
      </w:hyperlink>
      <w:r w:rsidRPr="002F16C4">
        <w:rPr>
          <w:sz w:val="24"/>
          <w:szCs w:val="24"/>
          <w:lang w:val="el-GR"/>
        </w:rPr>
        <w:t>.</w:t>
      </w:r>
    </w:p>
  </w:footnote>
  <w:footnote w:id="9">
    <w:p w14:paraId="00E3AB6C" w14:textId="2ABBE6AD"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002F16C4" w:rsidRPr="002F16C4">
        <w:rPr>
          <w:sz w:val="24"/>
          <w:szCs w:val="24"/>
          <w:lang w:val="el-GR"/>
        </w:rPr>
        <w:t>Γ</w:t>
      </w:r>
      <w:r w:rsidRPr="002F16C4">
        <w:rPr>
          <w:sz w:val="24"/>
          <w:szCs w:val="24"/>
          <w:lang w:val="el-GR"/>
        </w:rPr>
        <w:t>ια παράδειγμα</w:t>
      </w:r>
      <w:r w:rsidR="002F16C4" w:rsidRPr="002F16C4">
        <w:rPr>
          <w:sz w:val="24"/>
          <w:szCs w:val="24"/>
          <w:lang w:val="el-GR"/>
        </w:rPr>
        <w:t>,</w:t>
      </w:r>
      <w:r w:rsidRPr="002F16C4">
        <w:rPr>
          <w:sz w:val="24"/>
          <w:szCs w:val="24"/>
          <w:lang w:val="el-GR"/>
        </w:rPr>
        <w:t xml:space="preserve"> </w:t>
      </w:r>
      <w:proofErr w:type="spellStart"/>
      <w:r w:rsidRPr="002F16C4">
        <w:rPr>
          <w:sz w:val="24"/>
          <w:szCs w:val="24"/>
          <w:lang w:val="el-GR"/>
        </w:rPr>
        <w:t>Bonny</w:t>
      </w:r>
      <w:proofErr w:type="spellEnd"/>
      <w:r w:rsidRPr="002F16C4">
        <w:rPr>
          <w:sz w:val="24"/>
          <w:szCs w:val="24"/>
          <w:lang w:val="el-GR"/>
        </w:rPr>
        <w:t>, S., «</w:t>
      </w:r>
      <w:proofErr w:type="spellStart"/>
      <w:r w:rsidRPr="002F16C4">
        <w:rPr>
          <w:sz w:val="24"/>
          <w:szCs w:val="24"/>
          <w:lang w:val="el-GR"/>
        </w:rPr>
        <w:t>Genetically</w:t>
      </w:r>
      <w:proofErr w:type="spellEnd"/>
      <w:r w:rsidRPr="002F16C4">
        <w:rPr>
          <w:sz w:val="24"/>
          <w:szCs w:val="24"/>
          <w:lang w:val="el-GR"/>
        </w:rPr>
        <w:t xml:space="preserve"> </w:t>
      </w:r>
      <w:proofErr w:type="spellStart"/>
      <w:r w:rsidRPr="002F16C4">
        <w:rPr>
          <w:sz w:val="24"/>
          <w:szCs w:val="24"/>
          <w:lang w:val="el-GR"/>
        </w:rPr>
        <w:t>Modified</w:t>
      </w:r>
      <w:proofErr w:type="spellEnd"/>
      <w:r w:rsidRPr="002F16C4">
        <w:rPr>
          <w:sz w:val="24"/>
          <w:szCs w:val="24"/>
          <w:lang w:val="el-GR"/>
        </w:rPr>
        <w:t xml:space="preserve"> </w:t>
      </w:r>
      <w:proofErr w:type="spellStart"/>
      <w:r w:rsidRPr="002F16C4">
        <w:rPr>
          <w:sz w:val="24"/>
          <w:szCs w:val="24"/>
          <w:lang w:val="el-GR"/>
        </w:rPr>
        <w:t>Herbicide-Tolerant</w:t>
      </w:r>
      <w:proofErr w:type="spellEnd"/>
      <w:r w:rsidRPr="002F16C4">
        <w:rPr>
          <w:sz w:val="24"/>
          <w:szCs w:val="24"/>
          <w:lang w:val="el-GR"/>
        </w:rPr>
        <w:t xml:space="preserve"> </w:t>
      </w:r>
      <w:proofErr w:type="spellStart"/>
      <w:r w:rsidRPr="002F16C4">
        <w:rPr>
          <w:sz w:val="24"/>
          <w:szCs w:val="24"/>
          <w:lang w:val="el-GR"/>
        </w:rPr>
        <w:t>Crops</w:t>
      </w:r>
      <w:proofErr w:type="spellEnd"/>
      <w:r w:rsidRPr="002F16C4">
        <w:rPr>
          <w:sz w:val="24"/>
          <w:szCs w:val="24"/>
          <w:lang w:val="el-GR"/>
        </w:rPr>
        <w:t xml:space="preserve">, </w:t>
      </w:r>
      <w:proofErr w:type="spellStart"/>
      <w:r w:rsidRPr="002F16C4">
        <w:rPr>
          <w:sz w:val="24"/>
          <w:szCs w:val="24"/>
          <w:lang w:val="el-GR"/>
        </w:rPr>
        <w:t>Weeds</w:t>
      </w:r>
      <w:proofErr w:type="spellEnd"/>
      <w:r w:rsidRPr="002F16C4">
        <w:rPr>
          <w:sz w:val="24"/>
          <w:szCs w:val="24"/>
          <w:lang w:val="el-GR"/>
        </w:rPr>
        <w:t xml:space="preserve">, and </w:t>
      </w:r>
      <w:proofErr w:type="spellStart"/>
      <w:r w:rsidRPr="002F16C4">
        <w:rPr>
          <w:sz w:val="24"/>
          <w:szCs w:val="24"/>
          <w:lang w:val="el-GR"/>
        </w:rPr>
        <w:t>Herbicides</w:t>
      </w:r>
      <w:proofErr w:type="spellEnd"/>
      <w:r w:rsidRPr="002F16C4">
        <w:rPr>
          <w:sz w:val="24"/>
          <w:szCs w:val="24"/>
          <w:lang w:val="el-GR"/>
        </w:rPr>
        <w:t xml:space="preserve">: </w:t>
      </w:r>
      <w:proofErr w:type="spellStart"/>
      <w:r w:rsidRPr="002F16C4">
        <w:rPr>
          <w:sz w:val="24"/>
          <w:szCs w:val="24"/>
          <w:lang w:val="el-GR"/>
        </w:rPr>
        <w:t>Overview</w:t>
      </w:r>
      <w:proofErr w:type="spellEnd"/>
      <w:r w:rsidRPr="002F16C4">
        <w:rPr>
          <w:sz w:val="24"/>
          <w:szCs w:val="24"/>
          <w:lang w:val="el-GR"/>
        </w:rPr>
        <w:t xml:space="preserve"> and </w:t>
      </w:r>
      <w:proofErr w:type="spellStart"/>
      <w:r w:rsidRPr="002F16C4">
        <w:rPr>
          <w:sz w:val="24"/>
          <w:szCs w:val="24"/>
          <w:lang w:val="el-GR"/>
        </w:rPr>
        <w:t>Impact</w:t>
      </w:r>
      <w:proofErr w:type="spellEnd"/>
      <w:r w:rsidRPr="002F16C4">
        <w:rPr>
          <w:sz w:val="24"/>
          <w:szCs w:val="24"/>
          <w:lang w:val="el-GR"/>
        </w:rPr>
        <w:t xml:space="preserve">» (Γενετικώς τροποποιημένες καλλιέργειες ανθεκτικές στα ζιζανιοκτόνα, ζιζάνια και ζιζανιοκτόνα: επισκόπηση και αντίκτυπος), </w:t>
      </w:r>
      <w:proofErr w:type="spellStart"/>
      <w:r w:rsidRPr="002F16C4">
        <w:rPr>
          <w:i/>
          <w:iCs/>
          <w:sz w:val="24"/>
          <w:szCs w:val="24"/>
          <w:lang w:val="el-GR"/>
        </w:rPr>
        <w:t>Environmental</w:t>
      </w:r>
      <w:proofErr w:type="spellEnd"/>
      <w:r w:rsidRPr="002F16C4">
        <w:rPr>
          <w:i/>
          <w:iCs/>
          <w:sz w:val="24"/>
          <w:szCs w:val="24"/>
          <w:lang w:val="el-GR"/>
        </w:rPr>
        <w:t xml:space="preserve"> Management</w:t>
      </w:r>
      <w:r w:rsidRPr="002F16C4">
        <w:rPr>
          <w:sz w:val="24"/>
          <w:szCs w:val="24"/>
          <w:lang w:val="el-GR"/>
        </w:rPr>
        <w:t xml:space="preserve">, Ιανουάριος 2016, 57(1), σ. 31-48, </w:t>
      </w:r>
      <w:hyperlink r:id="rId18" w:history="1">
        <w:r w:rsidRPr="002F16C4">
          <w:rPr>
            <w:rStyle w:val="Hyperlink"/>
            <w:sz w:val="24"/>
            <w:szCs w:val="24"/>
            <w:shd w:val="clear" w:color="auto" w:fill="FFFFFF"/>
            <w:lang w:val="el-GR"/>
          </w:rPr>
          <w:t>https://doi.org/10.1007/s00267-015-0589-7</w:t>
        </w:r>
      </w:hyperlink>
      <w:r w:rsidR="002F16C4" w:rsidRPr="002F16C4">
        <w:rPr>
          <w:rStyle w:val="Hyperlink"/>
          <w:sz w:val="24"/>
          <w:szCs w:val="24"/>
          <w:shd w:val="clear" w:color="auto" w:fill="FFFFFF"/>
          <w:lang w:val="el-GR"/>
        </w:rPr>
        <w:t>,</w:t>
      </w:r>
      <w:r w:rsidRPr="002F16C4">
        <w:rPr>
          <w:sz w:val="24"/>
          <w:szCs w:val="24"/>
          <w:shd w:val="clear" w:color="auto" w:fill="FFFFFF"/>
          <w:lang w:val="el-GR"/>
        </w:rPr>
        <w:t xml:space="preserve"> </w:t>
      </w:r>
      <w:r w:rsidR="002F16C4" w:rsidRPr="002F16C4">
        <w:rPr>
          <w:sz w:val="24"/>
          <w:szCs w:val="24"/>
          <w:shd w:val="clear" w:color="auto" w:fill="FFFFFF"/>
          <w:lang w:val="el-GR"/>
        </w:rPr>
        <w:t>και</w:t>
      </w:r>
      <w:r w:rsidRPr="002F16C4">
        <w:rPr>
          <w:sz w:val="24"/>
          <w:szCs w:val="24"/>
          <w:shd w:val="clear" w:color="auto" w:fill="FFFFFF"/>
          <w:lang w:val="el-GR"/>
        </w:rPr>
        <w:t xml:space="preserve"> </w:t>
      </w:r>
      <w:proofErr w:type="spellStart"/>
      <w:r w:rsidRPr="002F16C4">
        <w:rPr>
          <w:sz w:val="24"/>
          <w:szCs w:val="24"/>
          <w:shd w:val="clear" w:color="auto" w:fill="FFFFFF"/>
          <w:lang w:val="el-GR"/>
        </w:rPr>
        <w:t>Benbrook</w:t>
      </w:r>
      <w:proofErr w:type="spellEnd"/>
      <w:r w:rsidRPr="002F16C4">
        <w:rPr>
          <w:sz w:val="24"/>
          <w:szCs w:val="24"/>
          <w:shd w:val="clear" w:color="auto" w:fill="FFFFFF"/>
          <w:lang w:val="el-GR"/>
        </w:rPr>
        <w:t xml:space="preserve">, C.M., </w:t>
      </w:r>
      <w:r w:rsidRPr="002F16C4">
        <w:rPr>
          <w:sz w:val="24"/>
          <w:szCs w:val="24"/>
          <w:lang w:val="el-GR"/>
        </w:rPr>
        <w:t>«</w:t>
      </w:r>
      <w:proofErr w:type="spellStart"/>
      <w:r w:rsidRPr="002F16C4">
        <w:rPr>
          <w:sz w:val="24"/>
          <w:szCs w:val="24"/>
          <w:lang w:val="el-GR"/>
        </w:rPr>
        <w:t>Impacts</w:t>
      </w:r>
      <w:proofErr w:type="spellEnd"/>
      <w:r w:rsidRPr="002F16C4">
        <w:rPr>
          <w:sz w:val="24"/>
          <w:szCs w:val="24"/>
          <w:lang w:val="el-GR"/>
        </w:rPr>
        <w:t xml:space="preserve"> of </w:t>
      </w:r>
      <w:proofErr w:type="spellStart"/>
      <w:r w:rsidRPr="002F16C4">
        <w:rPr>
          <w:sz w:val="24"/>
          <w:szCs w:val="24"/>
          <w:lang w:val="el-GR"/>
        </w:rPr>
        <w:t>genetically</w:t>
      </w:r>
      <w:proofErr w:type="spellEnd"/>
      <w:r w:rsidRPr="002F16C4">
        <w:rPr>
          <w:sz w:val="24"/>
          <w:szCs w:val="24"/>
          <w:lang w:val="el-GR"/>
        </w:rPr>
        <w:t xml:space="preserve"> </w:t>
      </w:r>
      <w:proofErr w:type="spellStart"/>
      <w:r w:rsidRPr="002F16C4">
        <w:rPr>
          <w:sz w:val="24"/>
          <w:szCs w:val="24"/>
          <w:lang w:val="el-GR"/>
        </w:rPr>
        <w:t>engineered</w:t>
      </w:r>
      <w:proofErr w:type="spellEnd"/>
      <w:r w:rsidRPr="002F16C4">
        <w:rPr>
          <w:sz w:val="24"/>
          <w:szCs w:val="24"/>
          <w:lang w:val="el-GR"/>
        </w:rPr>
        <w:t xml:space="preserve"> </w:t>
      </w:r>
      <w:proofErr w:type="spellStart"/>
      <w:r w:rsidRPr="002F16C4">
        <w:rPr>
          <w:sz w:val="24"/>
          <w:szCs w:val="24"/>
          <w:lang w:val="el-GR"/>
        </w:rPr>
        <w:t>crops</w:t>
      </w:r>
      <w:proofErr w:type="spellEnd"/>
      <w:r w:rsidRPr="002F16C4">
        <w:rPr>
          <w:sz w:val="24"/>
          <w:szCs w:val="24"/>
          <w:lang w:val="el-GR"/>
        </w:rPr>
        <w:t xml:space="preserve"> on </w:t>
      </w:r>
      <w:proofErr w:type="spellStart"/>
      <w:r w:rsidRPr="002F16C4">
        <w:rPr>
          <w:sz w:val="24"/>
          <w:szCs w:val="24"/>
          <w:lang w:val="el-GR"/>
        </w:rPr>
        <w:t>pesticide</w:t>
      </w:r>
      <w:proofErr w:type="spellEnd"/>
      <w:r w:rsidRPr="002F16C4">
        <w:rPr>
          <w:sz w:val="24"/>
          <w:szCs w:val="24"/>
          <w:lang w:val="el-GR"/>
        </w:rPr>
        <w:t xml:space="preserve"> </w:t>
      </w:r>
      <w:proofErr w:type="spellStart"/>
      <w:r w:rsidRPr="002F16C4">
        <w:rPr>
          <w:sz w:val="24"/>
          <w:szCs w:val="24"/>
          <w:lang w:val="el-GR"/>
        </w:rPr>
        <w:t>use</w:t>
      </w:r>
      <w:proofErr w:type="spellEnd"/>
      <w:r w:rsidRPr="002F16C4">
        <w:rPr>
          <w:sz w:val="24"/>
          <w:szCs w:val="24"/>
          <w:lang w:val="el-GR"/>
        </w:rPr>
        <w:t xml:space="preserve"> in the U.S. – the </w:t>
      </w:r>
      <w:proofErr w:type="spellStart"/>
      <w:r w:rsidRPr="002F16C4">
        <w:rPr>
          <w:sz w:val="24"/>
          <w:szCs w:val="24"/>
          <w:lang w:val="el-GR"/>
        </w:rPr>
        <w:t>first</w:t>
      </w:r>
      <w:proofErr w:type="spellEnd"/>
      <w:r w:rsidRPr="002F16C4">
        <w:rPr>
          <w:sz w:val="24"/>
          <w:szCs w:val="24"/>
          <w:lang w:val="el-GR"/>
        </w:rPr>
        <w:t xml:space="preserve"> </w:t>
      </w:r>
      <w:proofErr w:type="spellStart"/>
      <w:r w:rsidRPr="002F16C4">
        <w:rPr>
          <w:sz w:val="24"/>
          <w:szCs w:val="24"/>
          <w:lang w:val="el-GR"/>
        </w:rPr>
        <w:t>sixteen</w:t>
      </w:r>
      <w:proofErr w:type="spellEnd"/>
      <w:r w:rsidRPr="002F16C4">
        <w:rPr>
          <w:sz w:val="24"/>
          <w:szCs w:val="24"/>
          <w:lang w:val="el-GR"/>
        </w:rPr>
        <w:t xml:space="preserve"> </w:t>
      </w:r>
      <w:proofErr w:type="spellStart"/>
      <w:r w:rsidRPr="002F16C4">
        <w:rPr>
          <w:sz w:val="24"/>
          <w:szCs w:val="24"/>
          <w:lang w:val="el-GR"/>
        </w:rPr>
        <w:t>years</w:t>
      </w:r>
      <w:proofErr w:type="spellEnd"/>
      <w:r w:rsidRPr="002F16C4">
        <w:rPr>
          <w:sz w:val="24"/>
          <w:szCs w:val="24"/>
          <w:lang w:val="el-GR"/>
        </w:rPr>
        <w:t xml:space="preserve">» (Επιπτώσεις των γενετικώς τροποποιημένων καλλιεργειών στη χρήση φυτοφαρμάκων στις ΗΠΑ – τα πρώτα 16 χρόνια), </w:t>
      </w:r>
      <w:proofErr w:type="spellStart"/>
      <w:r w:rsidRPr="002F16C4">
        <w:rPr>
          <w:i/>
          <w:iCs/>
          <w:sz w:val="24"/>
          <w:szCs w:val="24"/>
          <w:lang w:val="el-GR"/>
        </w:rPr>
        <w:t>Environmental</w:t>
      </w:r>
      <w:proofErr w:type="spellEnd"/>
      <w:r w:rsidRPr="002F16C4">
        <w:rPr>
          <w:i/>
          <w:iCs/>
          <w:sz w:val="24"/>
          <w:szCs w:val="24"/>
          <w:lang w:val="el-GR"/>
        </w:rPr>
        <w:t xml:space="preserve"> </w:t>
      </w:r>
      <w:proofErr w:type="spellStart"/>
      <w:r w:rsidRPr="002F16C4">
        <w:rPr>
          <w:i/>
          <w:iCs/>
          <w:sz w:val="24"/>
          <w:szCs w:val="24"/>
          <w:lang w:val="el-GR"/>
        </w:rPr>
        <w:t>Sciences</w:t>
      </w:r>
      <w:proofErr w:type="spellEnd"/>
      <w:r w:rsidRPr="002F16C4">
        <w:rPr>
          <w:i/>
          <w:iCs/>
          <w:sz w:val="24"/>
          <w:szCs w:val="24"/>
          <w:lang w:val="el-GR"/>
        </w:rPr>
        <w:t xml:space="preserve"> Europe</w:t>
      </w:r>
      <w:r w:rsidRPr="002F16C4">
        <w:rPr>
          <w:sz w:val="24"/>
          <w:szCs w:val="24"/>
          <w:lang w:val="el-GR"/>
        </w:rPr>
        <w:t xml:space="preserve">, 28 Σεπτεμβρίου 2012, Τόμος 24(1), </w:t>
      </w:r>
      <w:hyperlink r:id="rId19" w:history="1">
        <w:r w:rsidRPr="002F16C4">
          <w:rPr>
            <w:rStyle w:val="Hyperlink"/>
            <w:sz w:val="24"/>
            <w:szCs w:val="24"/>
            <w:shd w:val="clear" w:color="auto" w:fill="FFFFFF"/>
            <w:lang w:val="el-GR"/>
          </w:rPr>
          <w:t>https://doi.org/10.1186/2190-4715-24-24</w:t>
        </w:r>
      </w:hyperlink>
      <w:r w:rsidRPr="002F16C4">
        <w:rPr>
          <w:rStyle w:val="Hyperlink"/>
          <w:sz w:val="24"/>
          <w:szCs w:val="24"/>
          <w:shd w:val="clear" w:color="auto" w:fill="FFFFFF"/>
          <w:lang w:val="el-GR"/>
        </w:rPr>
        <w:t>.</w:t>
      </w:r>
      <w:r w:rsidRPr="002F16C4">
        <w:rPr>
          <w:sz w:val="24"/>
          <w:szCs w:val="24"/>
          <w:shd w:val="clear" w:color="auto" w:fill="FFFFFF"/>
          <w:lang w:val="el-GR"/>
        </w:rPr>
        <w:t xml:space="preserve"> </w:t>
      </w:r>
    </w:p>
  </w:footnote>
  <w:footnote w:id="10">
    <w:p w14:paraId="62874626" w14:textId="1C38F739"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 xml:space="preserve">Βλ., για παράδειγμα: </w:t>
      </w:r>
      <w:hyperlink r:id="rId20" w:history="1">
        <w:r w:rsidRPr="002F16C4">
          <w:rPr>
            <w:rStyle w:val="Hyperlink"/>
            <w:sz w:val="24"/>
            <w:szCs w:val="24"/>
            <w:lang w:val="el-GR"/>
          </w:rPr>
          <w:t>https://doi.org/10.1002/ps.8105</w:t>
        </w:r>
      </w:hyperlink>
      <w:r w:rsidRPr="002F16C4">
        <w:rPr>
          <w:sz w:val="24"/>
          <w:szCs w:val="24"/>
          <w:lang w:val="el-GR"/>
        </w:rPr>
        <w:t>, και</w:t>
      </w:r>
      <w:r w:rsidR="002F16C4" w:rsidRPr="002F16C4">
        <w:rPr>
          <w:sz w:val="24"/>
          <w:szCs w:val="24"/>
          <w:lang w:val="el-GR"/>
        </w:rPr>
        <w:t xml:space="preserve"> </w:t>
      </w:r>
      <w:r w:rsidR="00907F59" w:rsidRPr="002F16C4">
        <w:rPr>
          <w:sz w:val="24"/>
          <w:szCs w:val="24"/>
          <w:lang w:val="el-GR"/>
        </w:rPr>
        <w:t xml:space="preserve"> </w:t>
      </w:r>
      <w:r w:rsidR="00907F59" w:rsidRPr="002F16C4">
        <w:rPr>
          <w:sz w:val="24"/>
          <w:szCs w:val="24"/>
          <w:lang w:val="el-GR"/>
        </w:rPr>
        <w:tab/>
      </w:r>
      <w:hyperlink r:id="rId21" w:history="1">
        <w:r w:rsidRPr="002F16C4">
          <w:rPr>
            <w:rStyle w:val="Hyperlink"/>
            <w:sz w:val="24"/>
            <w:szCs w:val="24"/>
            <w:lang w:val="el-GR"/>
          </w:rPr>
          <w:t>https://doi.org/10.1016/j.geoforum.2009.03.009</w:t>
        </w:r>
      </w:hyperlink>
      <w:r w:rsidRPr="002F16C4">
        <w:rPr>
          <w:rStyle w:val="Hyperlink"/>
          <w:sz w:val="24"/>
          <w:szCs w:val="24"/>
          <w:lang w:val="el-GR"/>
        </w:rPr>
        <w:t>.</w:t>
      </w:r>
    </w:p>
  </w:footnote>
  <w:footnote w:id="11">
    <w:p w14:paraId="7A9B004F" w14:textId="777D782C"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w:t>
      </w:r>
      <w:r w:rsidRPr="002F16C4">
        <w:rPr>
          <w:sz w:val="24"/>
          <w:szCs w:val="24"/>
          <w:lang w:val="el-GR"/>
        </w:rPr>
        <w:t>1, ELI: </w:t>
      </w:r>
      <w:hyperlink r:id="rId22" w:history="1">
        <w:r w:rsidRPr="002F16C4">
          <w:rPr>
            <w:rStyle w:val="Hyperlink"/>
            <w:sz w:val="24"/>
            <w:szCs w:val="24"/>
            <w:lang w:val="el-GR"/>
          </w:rPr>
          <w:t>http://data.europa.eu/eli/reg/2009/1107/oj</w:t>
        </w:r>
      </w:hyperlink>
      <w:r w:rsidRPr="002F16C4">
        <w:rPr>
          <w:sz w:val="24"/>
          <w:szCs w:val="24"/>
          <w:lang w:val="el-GR"/>
        </w:rPr>
        <w:t>).</w:t>
      </w:r>
    </w:p>
  </w:footnote>
  <w:footnote w:id="12">
    <w:p w14:paraId="2767D51B" w14:textId="645B6B03"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Τον Δεκέμβριο του 2022 συμφωνήθηκε ένα παγκόσμιο πλαίσιο για τη βιοποικιλότητα στην COP15 της Σύμβασης των Ηνωμένων Εθνών για τη βιολογική ποικιλότητα, το οποίο περιλαμβάνει έναν παγκόσμιο στόχο για τη μείωση του κινδύνου από τα φυτοφάρμακα κατά τουλάχιστον 50% έως το 2030 (βλ.:</w:t>
      </w:r>
      <w:r w:rsidRPr="002F16C4">
        <w:rPr>
          <w:color w:val="000000" w:themeColor="text1"/>
          <w:sz w:val="24"/>
          <w:szCs w:val="24"/>
          <w:lang w:val="el-GR"/>
        </w:rPr>
        <w:t xml:space="preserve"> </w:t>
      </w:r>
      <w:hyperlink r:id="rId23" w:history="1">
        <w:r w:rsidRPr="002F16C4">
          <w:rPr>
            <w:rStyle w:val="Hyperlink"/>
            <w:sz w:val="24"/>
            <w:szCs w:val="24"/>
            <w:lang w:val="el-GR"/>
          </w:rPr>
          <w:t>https://ec.europa.eu/commission/presscorner/detail/el/ip_22_7834</w:t>
        </w:r>
      </w:hyperlink>
      <w:r w:rsidRPr="002F16C4">
        <w:rPr>
          <w:sz w:val="24"/>
          <w:szCs w:val="24"/>
          <w:lang w:val="el-GR"/>
        </w:rPr>
        <w:t xml:space="preserve">). </w:t>
      </w:r>
    </w:p>
  </w:footnote>
  <w:footnote w:id="13">
    <w:p w14:paraId="556730C4" w14:textId="381265F7"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hyperlink r:id="rId24" w:history="1">
        <w:r w:rsidRPr="002F16C4">
          <w:rPr>
            <w:rStyle w:val="Hyperlink"/>
            <w:sz w:val="24"/>
            <w:szCs w:val="24"/>
            <w:lang w:val="el-GR"/>
          </w:rPr>
          <w:t>https://commission.europa.eu/strategy-and-policy/priorities-2019-2024/european-green-deal/agriculture-and-green-deal/strategic-dialogue-future-eu-agriculture_el</w:t>
        </w:r>
      </w:hyperlink>
      <w:r w:rsidRPr="002F16C4">
        <w:rPr>
          <w:rStyle w:val="Hyperlink"/>
          <w:sz w:val="24"/>
          <w:szCs w:val="24"/>
          <w:lang w:val="el-GR"/>
        </w:rPr>
        <w:t>.</w:t>
      </w:r>
      <w:r w:rsidRPr="002F16C4">
        <w:rPr>
          <w:sz w:val="24"/>
          <w:szCs w:val="24"/>
          <w:lang w:val="el-GR"/>
        </w:rPr>
        <w:t xml:space="preserve"> </w:t>
      </w:r>
    </w:p>
  </w:footnote>
  <w:footnote w:id="14">
    <w:p w14:paraId="72C6C5BD" w14:textId="18909C8B" w:rsidR="007E6B88" w:rsidRPr="002F16C4" w:rsidRDefault="007E6B88" w:rsidP="000C0807">
      <w:pPr>
        <w:pStyle w:val="FootnoteText"/>
        <w:spacing w:line="240" w:lineRule="auto"/>
        <w:ind w:left="567" w:hanging="567"/>
        <w:rPr>
          <w:sz w:val="24"/>
          <w:szCs w:val="24"/>
          <w:lang w:val="el-GR"/>
        </w:rPr>
      </w:pPr>
      <w:r w:rsidRPr="002F16C4">
        <w:rPr>
          <w:rStyle w:val="FootnoteReference"/>
          <w:sz w:val="24"/>
          <w:szCs w:val="24"/>
          <w:lang w:val="el-GR"/>
        </w:rPr>
        <w:footnoteRef/>
      </w:r>
      <w:r w:rsidR="00907F59" w:rsidRPr="002F16C4">
        <w:rPr>
          <w:sz w:val="24"/>
          <w:szCs w:val="24"/>
          <w:lang w:val="el-GR"/>
        </w:rPr>
        <w:t xml:space="preserve"> </w:t>
      </w:r>
      <w:r w:rsidR="00907F59" w:rsidRPr="002F16C4">
        <w:rPr>
          <w:sz w:val="24"/>
          <w:szCs w:val="24"/>
          <w:lang w:val="el-GR"/>
        </w:rPr>
        <w:tab/>
      </w:r>
      <w:r w:rsidRPr="002F16C4">
        <w:rPr>
          <w:sz w:val="24"/>
          <w:szCs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2F16C4">
        <w:rPr>
          <w:sz w:val="24"/>
          <w:szCs w:val="24"/>
          <w:lang w:val="el-GR"/>
        </w:rPr>
        <w:t>1, ELI:</w:t>
      </w:r>
      <w:r w:rsidRPr="002F16C4">
        <w:rPr>
          <w:color w:val="000000" w:themeColor="text1"/>
          <w:sz w:val="24"/>
          <w:szCs w:val="24"/>
          <w:lang w:val="el-GR"/>
        </w:rPr>
        <w:t> </w:t>
      </w:r>
      <w:hyperlink r:id="rId25" w:tgtFrame="Gives access to this document through its ELI URI." w:history="1">
        <w:r w:rsidRPr="002F16C4">
          <w:rPr>
            <w:rStyle w:val="Hyperlink"/>
            <w:color w:val="0070C0"/>
            <w:sz w:val="24"/>
            <w:szCs w:val="24"/>
            <w:lang w:val="el-GR"/>
          </w:rPr>
          <w:t>http://data.europa.eu/eli/reg/2002/178/oj</w:t>
        </w:r>
      </w:hyperlink>
      <w:r w:rsidRPr="002F16C4">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DF98" w14:textId="77777777" w:rsidR="00064002" w:rsidRPr="00907F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4EB97" w14:textId="77777777" w:rsidR="00064002" w:rsidRPr="00907F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07D8F" w14:textId="77777777" w:rsidR="00064002" w:rsidRPr="00907F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280699"/>
    <w:multiLevelType w:val="hybridMultilevel"/>
    <w:tmpl w:val="AAD2E46E"/>
    <w:lvl w:ilvl="0" w:tplc="7650467E">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2" w15:restartNumberingAfterBreak="0">
    <w:nsid w:val="203D00C8"/>
    <w:multiLevelType w:val="hybridMultilevel"/>
    <w:tmpl w:val="18CA4056"/>
    <w:lvl w:ilvl="0" w:tplc="CB04DA7A">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2310A"/>
    <w:multiLevelType w:val="hybridMultilevel"/>
    <w:tmpl w:val="2A94C0D8"/>
    <w:lvl w:ilvl="0" w:tplc="98F2FB38">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5" w15:restartNumberingAfterBreak="0">
    <w:nsid w:val="47AB2F70"/>
    <w:multiLevelType w:val="hybridMultilevel"/>
    <w:tmpl w:val="F8EE7E7A"/>
    <w:lvl w:ilvl="0" w:tplc="CCBA7098">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6" w15:restartNumberingAfterBreak="0">
    <w:nsid w:val="77F41CAA"/>
    <w:multiLevelType w:val="hybridMultilevel"/>
    <w:tmpl w:val="991C4C5C"/>
    <w:lvl w:ilvl="0" w:tplc="43907F92">
      <w:start w:val="2"/>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num w:numId="1" w16cid:durableId="379289160">
    <w:abstractNumId w:val="9"/>
  </w:num>
  <w:num w:numId="2" w16cid:durableId="74012243">
    <w:abstractNumId w:val="9"/>
  </w:num>
  <w:num w:numId="3" w16cid:durableId="10769614">
    <w:abstractNumId w:val="7"/>
  </w:num>
  <w:num w:numId="4" w16cid:durableId="686181194">
    <w:abstractNumId w:val="7"/>
  </w:num>
  <w:num w:numId="5" w16cid:durableId="1338734176">
    <w:abstractNumId w:val="6"/>
  </w:num>
  <w:num w:numId="6" w16cid:durableId="360597606">
    <w:abstractNumId w:val="6"/>
  </w:num>
  <w:num w:numId="7" w16cid:durableId="1515614147">
    <w:abstractNumId w:val="5"/>
  </w:num>
  <w:num w:numId="8" w16cid:durableId="745304260">
    <w:abstractNumId w:val="5"/>
  </w:num>
  <w:num w:numId="9" w16cid:durableId="1591549645">
    <w:abstractNumId w:val="4"/>
  </w:num>
  <w:num w:numId="10" w16cid:durableId="444038567">
    <w:abstractNumId w:val="4"/>
  </w:num>
  <w:num w:numId="11" w16cid:durableId="1547332936">
    <w:abstractNumId w:val="8"/>
  </w:num>
  <w:num w:numId="12" w16cid:durableId="1011758164">
    <w:abstractNumId w:val="8"/>
  </w:num>
  <w:num w:numId="13" w16cid:durableId="1775326063">
    <w:abstractNumId w:val="3"/>
  </w:num>
  <w:num w:numId="14" w16cid:durableId="724983837">
    <w:abstractNumId w:val="3"/>
  </w:num>
  <w:num w:numId="15" w16cid:durableId="224680141">
    <w:abstractNumId w:val="2"/>
  </w:num>
  <w:num w:numId="16" w16cid:durableId="1238050507">
    <w:abstractNumId w:val="2"/>
  </w:num>
  <w:num w:numId="17" w16cid:durableId="1099528269">
    <w:abstractNumId w:val="1"/>
  </w:num>
  <w:num w:numId="18" w16cid:durableId="821043997">
    <w:abstractNumId w:val="1"/>
  </w:num>
  <w:num w:numId="19" w16cid:durableId="827094550">
    <w:abstractNumId w:val="0"/>
  </w:num>
  <w:num w:numId="20" w16cid:durableId="250049636">
    <w:abstractNumId w:val="0"/>
  </w:num>
  <w:num w:numId="21" w16cid:durableId="960114723">
    <w:abstractNumId w:val="9"/>
  </w:num>
  <w:num w:numId="22" w16cid:durableId="86536854">
    <w:abstractNumId w:val="7"/>
  </w:num>
  <w:num w:numId="23" w16cid:durableId="826164971">
    <w:abstractNumId w:val="6"/>
  </w:num>
  <w:num w:numId="24" w16cid:durableId="261844908">
    <w:abstractNumId w:val="5"/>
  </w:num>
  <w:num w:numId="25" w16cid:durableId="1508517883">
    <w:abstractNumId w:val="4"/>
  </w:num>
  <w:num w:numId="26" w16cid:durableId="674042447">
    <w:abstractNumId w:val="8"/>
  </w:num>
  <w:num w:numId="27" w16cid:durableId="402142160">
    <w:abstractNumId w:val="3"/>
  </w:num>
  <w:num w:numId="28" w16cid:durableId="610819568">
    <w:abstractNumId w:val="2"/>
  </w:num>
  <w:num w:numId="29" w16cid:durableId="676152742">
    <w:abstractNumId w:val="1"/>
  </w:num>
  <w:num w:numId="30" w16cid:durableId="262765725">
    <w:abstractNumId w:val="0"/>
  </w:num>
  <w:num w:numId="31" w16cid:durableId="1551381606">
    <w:abstractNumId w:val="9"/>
  </w:num>
  <w:num w:numId="32" w16cid:durableId="586305313">
    <w:abstractNumId w:val="7"/>
  </w:num>
  <w:num w:numId="33" w16cid:durableId="1835489899">
    <w:abstractNumId w:val="6"/>
  </w:num>
  <w:num w:numId="34" w16cid:durableId="634216867">
    <w:abstractNumId w:val="5"/>
  </w:num>
  <w:num w:numId="35" w16cid:durableId="1248229936">
    <w:abstractNumId w:val="4"/>
  </w:num>
  <w:num w:numId="36" w16cid:durableId="151870154">
    <w:abstractNumId w:val="8"/>
  </w:num>
  <w:num w:numId="37" w16cid:durableId="1713653700">
    <w:abstractNumId w:val="3"/>
  </w:num>
  <w:num w:numId="38" w16cid:durableId="701245215">
    <w:abstractNumId w:val="2"/>
  </w:num>
  <w:num w:numId="39" w16cid:durableId="864514017">
    <w:abstractNumId w:val="1"/>
  </w:num>
  <w:num w:numId="40" w16cid:durableId="121701832">
    <w:abstractNumId w:val="0"/>
  </w:num>
  <w:num w:numId="41" w16cid:durableId="516382206">
    <w:abstractNumId w:val="10"/>
  </w:num>
  <w:num w:numId="42" w16cid:durableId="1454978046">
    <w:abstractNumId w:val="10"/>
  </w:num>
  <w:num w:numId="43" w16cid:durableId="1078677576">
    <w:abstractNumId w:val="10"/>
  </w:num>
  <w:num w:numId="44" w16cid:durableId="1269852222">
    <w:abstractNumId w:val="13"/>
  </w:num>
  <w:num w:numId="45" w16cid:durableId="941568485">
    <w:abstractNumId w:val="14"/>
  </w:num>
  <w:num w:numId="46" w16cid:durableId="805468490">
    <w:abstractNumId w:val="15"/>
  </w:num>
  <w:num w:numId="47" w16cid:durableId="955058860">
    <w:abstractNumId w:val="16"/>
  </w:num>
  <w:num w:numId="48" w16cid:durableId="1605454080">
    <w:abstractNumId w:val="11"/>
  </w:num>
  <w:num w:numId="49" w16cid:durableId="19866591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EL"/>
    <w:docVar w:name="dvnumam" w:val="0"/>
    <w:docVar w:name="dvpe" w:val="782.164"/>
    <w:docVar w:name="dvtitre" w:val="Ψήφισμα του Ευρωπαϊκού Κοινοβουλίου της ... 2026 σχετικά με το σχέδιο εκτελεστικής απόφασης της Επιτροπής που ανανεώνει την έγκριση της διάθεσης στην αγορά προϊόντων που περιέχουν, αποτελούνται ή παράγονται από γενετικώς τροποποιημένο βαμβάκι T304-40, σύμφωνα με τον κανονισμό (ΕΚ) αριθ. 1829/2003 του Ευρωπαϊκού Κοινοβουλίου και του Συμβουλίου(D111477/02 – 2026/2518(RSP))"/>
  </w:docVars>
  <w:rsids>
    <w:rsidRoot w:val="00F34A9D"/>
    <w:rsid w:val="00002272"/>
    <w:rsid w:val="00032C26"/>
    <w:rsid w:val="00064002"/>
    <w:rsid w:val="000677B9"/>
    <w:rsid w:val="000831BA"/>
    <w:rsid w:val="000A42CC"/>
    <w:rsid w:val="000C0807"/>
    <w:rsid w:val="000C1DDE"/>
    <w:rsid w:val="000D47CA"/>
    <w:rsid w:val="000E7DD9"/>
    <w:rsid w:val="0010095E"/>
    <w:rsid w:val="00125B37"/>
    <w:rsid w:val="00187494"/>
    <w:rsid w:val="001F32AE"/>
    <w:rsid w:val="002767FF"/>
    <w:rsid w:val="002B18FE"/>
    <w:rsid w:val="002B5493"/>
    <w:rsid w:val="002F16C4"/>
    <w:rsid w:val="00343214"/>
    <w:rsid w:val="00361C00"/>
    <w:rsid w:val="00395FA1"/>
    <w:rsid w:val="003E15D4"/>
    <w:rsid w:val="00411CCE"/>
    <w:rsid w:val="0041666E"/>
    <w:rsid w:val="00421060"/>
    <w:rsid w:val="00471C19"/>
    <w:rsid w:val="004867E3"/>
    <w:rsid w:val="00494A28"/>
    <w:rsid w:val="004C0004"/>
    <w:rsid w:val="004C5D52"/>
    <w:rsid w:val="004F4E8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B88"/>
    <w:rsid w:val="00817416"/>
    <w:rsid w:val="00842779"/>
    <w:rsid w:val="00865F67"/>
    <w:rsid w:val="00881A7B"/>
    <w:rsid w:val="008840E5"/>
    <w:rsid w:val="00887B3E"/>
    <w:rsid w:val="008C2AC6"/>
    <w:rsid w:val="00907F59"/>
    <w:rsid w:val="00930C23"/>
    <w:rsid w:val="0093193B"/>
    <w:rsid w:val="009509D8"/>
    <w:rsid w:val="00950B64"/>
    <w:rsid w:val="00981893"/>
    <w:rsid w:val="00A1687D"/>
    <w:rsid w:val="00A2351E"/>
    <w:rsid w:val="00A43E52"/>
    <w:rsid w:val="00A4678D"/>
    <w:rsid w:val="00A778C7"/>
    <w:rsid w:val="00AB441E"/>
    <w:rsid w:val="00AB6293"/>
    <w:rsid w:val="00AE0928"/>
    <w:rsid w:val="00AF3B82"/>
    <w:rsid w:val="00B12E95"/>
    <w:rsid w:val="00B22876"/>
    <w:rsid w:val="00B558F0"/>
    <w:rsid w:val="00B9275A"/>
    <w:rsid w:val="00BD48FE"/>
    <w:rsid w:val="00BD7BD8"/>
    <w:rsid w:val="00BE6ADC"/>
    <w:rsid w:val="00C03C5E"/>
    <w:rsid w:val="00C05BFE"/>
    <w:rsid w:val="00C23CD4"/>
    <w:rsid w:val="00C61C0C"/>
    <w:rsid w:val="00C941CB"/>
    <w:rsid w:val="00CC2357"/>
    <w:rsid w:val="00CF071A"/>
    <w:rsid w:val="00D058B8"/>
    <w:rsid w:val="00D56C11"/>
    <w:rsid w:val="00D834A0"/>
    <w:rsid w:val="00D872DF"/>
    <w:rsid w:val="00D91E21"/>
    <w:rsid w:val="00DA7FCD"/>
    <w:rsid w:val="00E365E1"/>
    <w:rsid w:val="00E800F7"/>
    <w:rsid w:val="00E820A4"/>
    <w:rsid w:val="00EB006A"/>
    <w:rsid w:val="00EB4772"/>
    <w:rsid w:val="00ED169E"/>
    <w:rsid w:val="00ED4235"/>
    <w:rsid w:val="00ED6D63"/>
    <w:rsid w:val="00F04346"/>
    <w:rsid w:val="00F075DC"/>
    <w:rsid w:val="00F149E9"/>
    <w:rsid w:val="00F34A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1788A"/>
  <w15:chartTrackingRefBased/>
  <w15:docId w15:val="{2AFB192D-17AB-4CC5-949F-730E7CCD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6B88"/>
    <w:pPr>
      <w:spacing w:before="480" w:after="240"/>
    </w:pPr>
  </w:style>
  <w:style w:type="paragraph" w:customStyle="1" w:styleId="NormalHanging12a">
    <w:name w:val="NormalHanging12a"/>
    <w:basedOn w:val="Normal"/>
    <w:rsid w:val="007E6B88"/>
    <w:pPr>
      <w:spacing w:after="240"/>
      <w:ind w:left="567" w:hanging="567"/>
    </w:pPr>
  </w:style>
  <w:style w:type="paragraph" w:customStyle="1" w:styleId="NormalBold">
    <w:name w:val="NormalBold"/>
    <w:basedOn w:val="Normal"/>
    <w:rsid w:val="007E6B88"/>
    <w:rPr>
      <w:b/>
    </w:rPr>
  </w:style>
  <w:style w:type="character" w:styleId="Hyperlink">
    <w:name w:val="Hyperlink"/>
    <w:basedOn w:val="DefaultParagraphFont"/>
    <w:uiPriority w:val="99"/>
    <w:rsid w:val="007E6B88"/>
    <w:rPr>
      <w:color w:val="0563C1" w:themeColor="hyperlink"/>
      <w:u w:val="single"/>
    </w:rPr>
  </w:style>
  <w:style w:type="paragraph" w:styleId="Revision">
    <w:name w:val="Revision"/>
    <w:hidden/>
    <w:uiPriority w:val="99"/>
    <w:semiHidden/>
    <w:rsid w:val="000C0807"/>
    <w:rPr>
      <w:sz w:val="24"/>
      <w:lang w:val="el-GR"/>
    </w:rPr>
  </w:style>
  <w:style w:type="character" w:styleId="UnresolvedMention">
    <w:name w:val="Unresolved Mention"/>
    <w:basedOn w:val="DefaultParagraphFont"/>
    <w:uiPriority w:val="99"/>
    <w:semiHidden/>
    <w:unhideWhenUsed/>
    <w:rsid w:val="002F1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el"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el/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1629</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RELEC Amalia</cp:lastModifiedBy>
  <cp:revision>2</cp:revision>
  <cp:lastPrinted>2004-11-19T15:42:00Z</cp:lastPrinted>
  <dcterms:created xsi:type="dcterms:W3CDTF">2026-02-11T11:47:00Z</dcterms:created>
  <dcterms:modified xsi:type="dcterms:W3CDTF">2026-02-11T11:47:00Z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B10-0108/2026</vt:lpwstr>
  </property>
  <property fmtid="{D5CDD505-2E9C-101B-9397-08002B2CF9AE}" pid="4" name="&lt;Type&gt;">
    <vt:lpwstr>RR</vt:lpwstr>
  </property>
</Properties>
</file>