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6F64" w14:paraId="7D911180" w14:textId="77777777" w:rsidTr="0010095E">
        <w:trPr>
          <w:trHeight w:hRule="exact" w:val="1418"/>
        </w:trPr>
        <w:tc>
          <w:tcPr>
            <w:tcW w:w="6804" w:type="dxa"/>
            <w:shd w:val="clear" w:color="auto" w:fill="auto"/>
            <w:vAlign w:val="center"/>
          </w:tcPr>
          <w:p w14:paraId="10B3B1C9" w14:textId="1B3C5EEB" w:rsidR="00751A4A" w:rsidRPr="00B66F64" w:rsidRDefault="00347B1C" w:rsidP="0010095E">
            <w:pPr>
              <w:pStyle w:val="EPName"/>
            </w:pPr>
            <w:r w:rsidRPr="00B66F64">
              <w:t>Parlamento Europeo</w:t>
            </w:r>
          </w:p>
          <w:p w14:paraId="58B8336D" w14:textId="77777777" w:rsidR="00751A4A" w:rsidRPr="00B66F64" w:rsidRDefault="005F1B17" w:rsidP="005F1B17">
            <w:pPr>
              <w:pStyle w:val="EPTerm"/>
              <w:rPr>
                <w:rStyle w:val="HideTWBExt"/>
                <w:noProof w:val="0"/>
                <w:vanish w:val="0"/>
                <w:color w:val="auto"/>
              </w:rPr>
            </w:pPr>
            <w:r w:rsidRPr="00B66F64">
              <w:t>2024</w:t>
            </w:r>
            <w:r w:rsidR="00817416" w:rsidRPr="00B66F64">
              <w:t>-202</w:t>
            </w:r>
            <w:r w:rsidRPr="00B66F64">
              <w:t>9</w:t>
            </w:r>
          </w:p>
        </w:tc>
        <w:tc>
          <w:tcPr>
            <w:tcW w:w="2268" w:type="dxa"/>
            <w:shd w:val="clear" w:color="auto" w:fill="auto"/>
          </w:tcPr>
          <w:p w14:paraId="2D99BA69" w14:textId="77777777" w:rsidR="00751A4A" w:rsidRPr="00B66F64" w:rsidRDefault="00187494" w:rsidP="0010095E">
            <w:pPr>
              <w:pStyle w:val="EPLogo"/>
            </w:pPr>
            <w:r w:rsidRPr="00B66F64">
              <w:rPr>
                <w:noProof/>
                <w:lang w:eastAsia="ja-JP"/>
              </w:rPr>
              <w:drawing>
                <wp:inline distT="0" distB="0" distL="0" distR="0" wp14:anchorId="4D2464CE" wp14:editId="083C08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596704" w14:textId="77777777" w:rsidR="00D058B8" w:rsidRPr="00B66F64" w:rsidRDefault="00D058B8" w:rsidP="004C5D52">
      <w:pPr>
        <w:pStyle w:val="LineTop"/>
      </w:pPr>
    </w:p>
    <w:p w14:paraId="1DD1E6B0" w14:textId="32531602" w:rsidR="00680577" w:rsidRPr="00B66F64" w:rsidRDefault="00347B1C" w:rsidP="00680577">
      <w:pPr>
        <w:pStyle w:val="EPBodyTA1"/>
      </w:pPr>
      <w:r w:rsidRPr="00B66F64">
        <w:t>TEXTOS APROBADOS</w:t>
      </w:r>
    </w:p>
    <w:p w14:paraId="188BA670" w14:textId="77777777" w:rsidR="00D058B8" w:rsidRPr="00B66F64" w:rsidRDefault="00D058B8" w:rsidP="00D058B8">
      <w:pPr>
        <w:pStyle w:val="LineBottom"/>
      </w:pPr>
    </w:p>
    <w:p w14:paraId="3E618DB9" w14:textId="1F301ACA" w:rsidR="00347B1C" w:rsidRPr="00B66F64" w:rsidRDefault="00347B1C" w:rsidP="00347B1C">
      <w:pPr>
        <w:pStyle w:val="ATHeading1"/>
      </w:pPr>
      <w:bookmarkStart w:id="0" w:name="TANumber"/>
      <w:r w:rsidRPr="00B66F64">
        <w:t>P10_TA(2026)</w:t>
      </w:r>
      <w:bookmarkEnd w:id="0"/>
      <w:r w:rsidR="00B66F64">
        <w:t>0044</w:t>
      </w:r>
    </w:p>
    <w:p w14:paraId="3E12560B" w14:textId="104D1056" w:rsidR="00347B1C" w:rsidRPr="00B66F64" w:rsidRDefault="00347B1C" w:rsidP="00FC03DD">
      <w:pPr>
        <w:pStyle w:val="ATHeading2"/>
      </w:pPr>
      <w:bookmarkStart w:id="1" w:name="title"/>
      <w:r w:rsidRPr="00B66F64">
        <w:t>Oposición con arreglo al artículo 115, apartados 2 y 3, del Reglamento interno: algodón modificado</w:t>
      </w:r>
      <w:r w:rsidR="00FC03DD" w:rsidRPr="00B66F64">
        <w:t xml:space="preserve"> </w:t>
      </w:r>
      <w:r w:rsidRPr="00B66F64">
        <w:t>genéticamente T304-40</w:t>
      </w:r>
      <w:bookmarkEnd w:id="1"/>
    </w:p>
    <w:p w14:paraId="4F32F961" w14:textId="77777777" w:rsidR="00347B1C" w:rsidRPr="00B66F64" w:rsidRDefault="00347B1C" w:rsidP="00347B1C">
      <w:pPr>
        <w:rPr>
          <w:i/>
          <w:vanish/>
        </w:rPr>
      </w:pPr>
      <w:r w:rsidRPr="00B66F64">
        <w:rPr>
          <w:i/>
        </w:rPr>
        <w:fldChar w:fldCharType="begin"/>
      </w:r>
      <w:r w:rsidRPr="00B66F64">
        <w:rPr>
          <w:i/>
        </w:rPr>
        <w:instrText xml:space="preserve"> TC"(</w:instrText>
      </w:r>
      <w:bookmarkStart w:id="2" w:name="DocNumber"/>
      <w:r w:rsidRPr="00B66F64">
        <w:rPr>
          <w:i/>
        </w:rPr>
        <w:instrText>B10-0108/2026</w:instrText>
      </w:r>
      <w:bookmarkEnd w:id="2"/>
      <w:r w:rsidRPr="00B66F64">
        <w:rPr>
          <w:i/>
        </w:rPr>
        <w:instrText xml:space="preserve">)"\l3 \n&gt; \* MERGEFORMAT </w:instrText>
      </w:r>
      <w:r w:rsidRPr="00B66F64">
        <w:rPr>
          <w:i/>
        </w:rPr>
        <w:fldChar w:fldCharType="end"/>
      </w:r>
    </w:p>
    <w:p w14:paraId="37D7FB89" w14:textId="77777777" w:rsidR="00347B1C" w:rsidRPr="00B66F64" w:rsidRDefault="00347B1C" w:rsidP="00347B1C">
      <w:pPr>
        <w:rPr>
          <w:vanish/>
        </w:rPr>
      </w:pPr>
      <w:bookmarkStart w:id="3" w:name="PE"/>
      <w:r w:rsidRPr="00B66F64">
        <w:rPr>
          <w:vanish/>
        </w:rPr>
        <w:t>PE782.164</w:t>
      </w:r>
      <w:bookmarkEnd w:id="3"/>
    </w:p>
    <w:p w14:paraId="282462CF" w14:textId="2ED90DCB" w:rsidR="00347B1C" w:rsidRPr="00B66F64" w:rsidRDefault="00347B1C" w:rsidP="00B66F64">
      <w:pPr>
        <w:pStyle w:val="ATHeading3"/>
      </w:pPr>
      <w:bookmarkStart w:id="4" w:name="Sujet"/>
      <w:r w:rsidRPr="00B66F64">
        <w:t>Resolución del Parlamento Europeo, de 11 de febrero de 2026, sobre el proyecto de Decisión de Ejecución de la Comisión por la que se renueva la autorización de comercialización de productos que contengan algodón modificado genéticamente T304-40, estén compuestos por dicho algodón o se hayan producido a partir de él, con arreglo al Reglamento (CE) n.º 1829/2003 del Parlamento Europeo y del Consejo</w:t>
      </w:r>
      <w:bookmarkEnd w:id="4"/>
      <w:r w:rsidRPr="00B66F64">
        <w:t xml:space="preserve"> </w:t>
      </w:r>
      <w:bookmarkStart w:id="5" w:name="References"/>
      <w:r w:rsidRPr="00B66F64">
        <w:t>(D111477/02 – 2026/2518(RSP))</w:t>
      </w:r>
      <w:bookmarkEnd w:id="5"/>
    </w:p>
    <w:p w14:paraId="113347F7" w14:textId="77777777" w:rsidR="00DE4D45" w:rsidRPr="00B66F64" w:rsidRDefault="00DE4D45" w:rsidP="00DE4D45">
      <w:pPr>
        <w:pStyle w:val="EPComma"/>
        <w:widowControl/>
      </w:pPr>
      <w:bookmarkStart w:id="6" w:name="TextBodyBegin"/>
      <w:bookmarkEnd w:id="6"/>
      <w:r w:rsidRPr="00B66F64">
        <w:rPr>
          <w:i/>
        </w:rPr>
        <w:t>El Parlamento Europeo</w:t>
      </w:r>
      <w:r w:rsidRPr="00B66F64">
        <w:t>,</w:t>
      </w:r>
    </w:p>
    <w:p w14:paraId="775C7790" w14:textId="77777777" w:rsidR="00DE4D45" w:rsidRPr="00B66F64" w:rsidRDefault="00DE4D45" w:rsidP="00DE4D45">
      <w:pPr>
        <w:pStyle w:val="NormalHanging12a"/>
        <w:widowControl/>
      </w:pPr>
      <w:r w:rsidRPr="00B66F64">
        <w:t>–</w:t>
      </w:r>
      <w:r w:rsidRPr="00B66F64">
        <w:tab/>
        <w:t>Visto el proyecto de Decisión de Ejecución de la Comisión por la que se renueva la autorización de comercialización de productos que contengan algodón modificado genéticamente T304-40, estén compuestos por dicho algodón o se hayan producido a partir de él, con arreglo al Reglamento (CE) n.º 1829/2003 del Parlamento Europeo y del Consejo (D111477/02),</w:t>
      </w:r>
    </w:p>
    <w:p w14:paraId="3163CF4B" w14:textId="77777777" w:rsidR="00DE4D45" w:rsidRPr="00B66F64" w:rsidRDefault="00DE4D45" w:rsidP="00DE4D45">
      <w:pPr>
        <w:pStyle w:val="NormalHanging12a"/>
        <w:widowControl/>
      </w:pPr>
      <w:r w:rsidRPr="00B66F64">
        <w:t>–</w:t>
      </w:r>
      <w:r w:rsidRPr="00B66F64">
        <w:tab/>
        <w:t>Visto el Reglamento (CE) n.º 1829/2003 del Parlamento Europeo y del Consejo, de 22 de septiembre de 2003, sobre alimentos y piensos modificados genéticamente</w:t>
      </w:r>
      <w:r w:rsidRPr="00B66F64">
        <w:rPr>
          <w:vertAlign w:val="superscript"/>
        </w:rPr>
        <w:footnoteReference w:id="1"/>
      </w:r>
      <w:r w:rsidRPr="00B66F64">
        <w:t>, y en particular su artículo 11, apartado 3, y su artículo 23, apartado 3,</w:t>
      </w:r>
    </w:p>
    <w:p w14:paraId="5D142D03" w14:textId="57F2EB2D" w:rsidR="00DE4D45" w:rsidRPr="00B66F64" w:rsidRDefault="00DE4D45" w:rsidP="00DE4D45">
      <w:pPr>
        <w:pStyle w:val="NormalHanging12a"/>
        <w:widowControl/>
      </w:pPr>
      <w:bookmarkStart w:id="7" w:name="_Hlk210666078"/>
      <w:r w:rsidRPr="00B66F64">
        <w:t>–</w:t>
      </w:r>
      <w:r w:rsidRPr="00B66F64">
        <w:tab/>
        <w:t xml:space="preserve">Vista la votación en el </w:t>
      </w:r>
      <w:bookmarkStart w:id="8" w:name="_Hlk210664905"/>
      <w:r w:rsidRPr="00B66F64">
        <w:t>Comité Permanente de Vegetales, Animales, Alimentos y Piensos</w:t>
      </w:r>
      <w:bookmarkEnd w:id="8"/>
      <w:r w:rsidRPr="00B66F64">
        <w:t xml:space="preserve"> al que se refiere el artículo 35 del Reglamento (CE) n.º 1829/2003, celebrada el 12 de diciembre de 2025</w:t>
      </w:r>
      <w:bookmarkEnd w:id="7"/>
      <w:r w:rsidRPr="00B66F64">
        <w:t>, en la que no se emitió ningún dictamen,</w:t>
      </w:r>
      <w:r w:rsidR="00FC03DD" w:rsidRPr="00B66F64">
        <w:t xml:space="preserve"> y la votación del 27 de enero de 2026 en el Comité de Apelación, en la que tampoco se emitió dictamen alguno,</w:t>
      </w:r>
    </w:p>
    <w:p w14:paraId="6A0FB1D7" w14:textId="77777777" w:rsidR="00DE4D45" w:rsidRPr="00B66F64" w:rsidRDefault="00DE4D45" w:rsidP="00DE4D45">
      <w:pPr>
        <w:pStyle w:val="NormalHanging12a"/>
        <w:widowControl/>
      </w:pPr>
      <w:r w:rsidRPr="00B66F64">
        <w:t>–</w:t>
      </w:r>
      <w:r w:rsidRPr="00B66F64">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B66F64">
        <w:rPr>
          <w:vertAlign w:val="superscript"/>
        </w:rPr>
        <w:footnoteReference w:id="2"/>
      </w:r>
      <w:r w:rsidRPr="00B66F64">
        <w:t>,</w:t>
      </w:r>
    </w:p>
    <w:p w14:paraId="77267891" w14:textId="77777777" w:rsidR="00DE4D45" w:rsidRPr="00B66F64" w:rsidRDefault="00DE4D45" w:rsidP="00DE4D45">
      <w:pPr>
        <w:pStyle w:val="NormalHanging12a"/>
        <w:widowControl/>
      </w:pPr>
      <w:r w:rsidRPr="00B66F64">
        <w:lastRenderedPageBreak/>
        <w:t>–</w:t>
      </w:r>
      <w:r w:rsidRPr="00B66F64">
        <w:tab/>
        <w:t>Visto el dictamen adoptado por la Autoridad Europea de Seguridad Alimentaria (en lo sucesivo, «EFSA») el 30 de junio de 2025 y publicado el 22 de julio de 2025</w:t>
      </w:r>
      <w:r w:rsidRPr="00B66F64">
        <w:rPr>
          <w:vertAlign w:val="superscript"/>
        </w:rPr>
        <w:footnoteReference w:id="3"/>
      </w:r>
      <w:r w:rsidRPr="00B66F64">
        <w:t>,</w:t>
      </w:r>
    </w:p>
    <w:p w14:paraId="19EC4F5C" w14:textId="77777777" w:rsidR="00DE4D45" w:rsidRPr="00B66F64" w:rsidRDefault="00DE4D45" w:rsidP="00DE4D45">
      <w:pPr>
        <w:pStyle w:val="NormalHanging12a"/>
        <w:widowControl/>
      </w:pPr>
      <w:r w:rsidRPr="00B66F64">
        <w:t>–</w:t>
      </w:r>
      <w:r w:rsidRPr="00B66F64">
        <w:tab/>
        <w:t>Vistas sus anteriores Resoluciones de oposición a la autorización de organismos modificados genéticamente</w:t>
      </w:r>
      <w:bookmarkStart w:id="9" w:name="_Hlk210666451"/>
      <w:r w:rsidRPr="00B66F64">
        <w:rPr>
          <w:vertAlign w:val="superscript"/>
        </w:rPr>
        <w:footnoteReference w:id="4"/>
      </w:r>
      <w:bookmarkEnd w:id="9"/>
      <w:r w:rsidRPr="00B66F64">
        <w:t>,</w:t>
      </w:r>
    </w:p>
    <w:p w14:paraId="19AD397E" w14:textId="77777777" w:rsidR="00DE4D45" w:rsidRPr="00B66F64" w:rsidRDefault="00DE4D45" w:rsidP="00DE4D45">
      <w:pPr>
        <w:pStyle w:val="NormalHanging12a"/>
        <w:widowControl/>
      </w:pPr>
      <w:r w:rsidRPr="00B66F64">
        <w:lastRenderedPageBreak/>
        <w:t>–</w:t>
      </w:r>
      <w:r w:rsidRPr="00B66F64">
        <w:tab/>
        <w:t>Visto el artículo 115, apartados 2 y 3, de su Reglamento interno,</w:t>
      </w:r>
    </w:p>
    <w:p w14:paraId="25834BAD" w14:textId="77777777" w:rsidR="00DE4D45" w:rsidRPr="00B66F64" w:rsidRDefault="00DE4D45" w:rsidP="00DE4D45">
      <w:pPr>
        <w:pStyle w:val="NormalHanging12a"/>
        <w:widowControl/>
      </w:pPr>
      <w:r w:rsidRPr="00B66F64">
        <w:t>–</w:t>
      </w:r>
      <w:r w:rsidRPr="00B66F64">
        <w:tab/>
        <w:t>Vista la propuesta de Resolución de la Comisión de Medio Ambiente, Clima y Seguridad Alimentaria,</w:t>
      </w:r>
    </w:p>
    <w:p w14:paraId="38FAE877" w14:textId="77777777" w:rsidR="00DE4D45" w:rsidRPr="00B66F64" w:rsidRDefault="00DE4D45" w:rsidP="00DE4D45">
      <w:pPr>
        <w:pStyle w:val="NormalHanging12a"/>
        <w:widowControl/>
      </w:pPr>
      <w:r w:rsidRPr="00B66F64">
        <w:t>A.</w:t>
      </w:r>
      <w:r w:rsidRPr="00B66F64">
        <w:tab/>
        <w:t>Considerando que la Decisión de Ejecución (UE) 2015/699 de la Comisión</w:t>
      </w:r>
      <w:r w:rsidRPr="00B66F64">
        <w:rPr>
          <w:vertAlign w:val="superscript"/>
        </w:rPr>
        <w:footnoteReference w:id="5"/>
      </w:r>
      <w:r w:rsidRPr="00B66F64">
        <w:t>, modificada por la Decisión de Ejecución (UE) 2019/1195 de la Comisión</w:t>
      </w:r>
      <w:r w:rsidRPr="00B66F64">
        <w:rPr>
          <w:vertAlign w:val="superscript"/>
        </w:rPr>
        <w:footnoteReference w:id="6"/>
      </w:r>
      <w:r w:rsidRPr="00B66F64">
        <w:t>, autorizó la comercialización de alimentos y piensos que contengan, se compongan o se hayan producido a partir de algodón modificado genéticamente T304-40 (en lo sucesivo, «algodón modificado genéticamente»); que el ámbito de esta autorización incluye también la comercialización de productos, distintos de alimentos y piensos, que contengan o estén compuestos de algodón modificado genéticamente, para los mismos usos que cualquier otro algodón, a excepción del cultivo;</w:t>
      </w:r>
    </w:p>
    <w:p w14:paraId="0CB4F50D" w14:textId="77777777" w:rsidR="00DE4D45" w:rsidRPr="00B66F64" w:rsidRDefault="00DE4D45" w:rsidP="00DE4D45">
      <w:pPr>
        <w:pStyle w:val="NormalHanging12a"/>
        <w:widowControl/>
      </w:pPr>
      <w:r w:rsidRPr="00B66F64">
        <w:t>B.</w:t>
      </w:r>
      <w:r w:rsidRPr="00B66F64">
        <w:tab/>
        <w:t xml:space="preserve">Considerando que, el 22 de marzo de 2024, BASF SE, con sede en Alemania, en nombre de BASF </w:t>
      </w:r>
      <w:proofErr w:type="spellStart"/>
      <w:r w:rsidRPr="00B66F64">
        <w:t>Agricultural</w:t>
      </w:r>
      <w:proofErr w:type="spellEnd"/>
      <w:r w:rsidRPr="00B66F64">
        <w:t xml:space="preserve"> </w:t>
      </w:r>
      <w:proofErr w:type="spellStart"/>
      <w:r w:rsidRPr="00B66F64">
        <w:t>Solutions</w:t>
      </w:r>
      <w:proofErr w:type="spellEnd"/>
      <w:r w:rsidRPr="00B66F64">
        <w:t xml:space="preserve"> US LLC, con sede en los Estados Unidos, presentó a la Comisión una solicitud, de conformidad con los artículos 11 y 23 del Reglamento (CE) n.º 1829/2003, para renovar dicha autorización; </w:t>
      </w:r>
    </w:p>
    <w:p w14:paraId="1529A2B5" w14:textId="57F44258" w:rsidR="00DE4D45" w:rsidRPr="00B66F64" w:rsidRDefault="00DE4D45" w:rsidP="00DE4D45">
      <w:pPr>
        <w:pStyle w:val="NormalHanging12a"/>
        <w:widowControl/>
      </w:pPr>
      <w:r w:rsidRPr="00B66F64">
        <w:t>C.</w:t>
      </w:r>
      <w:r w:rsidRPr="00B66F64">
        <w:tab/>
        <w:t>Considerando que, el 22 de julio de 2025, la EFSA emitió un dictamen científico favorable sobre el algodón modificado genéticamente</w:t>
      </w:r>
      <w:r w:rsidRPr="00B66F64">
        <w:rPr>
          <w:vertAlign w:val="superscript"/>
        </w:rPr>
        <w:footnoteReference w:id="7"/>
      </w:r>
      <w:bookmarkStart w:id="10" w:name="_Hlk219204313"/>
      <w:r w:rsidRPr="00B66F64">
        <w:t xml:space="preserve">, de conformidad con los artículos 11 y 23 </w:t>
      </w:r>
      <w:bookmarkStart w:id="11" w:name="_Hlk219204327"/>
      <w:bookmarkEnd w:id="10"/>
      <w:r w:rsidRPr="00B66F64">
        <w:t>del Reglamento (CE) n.º 1829/2003</w:t>
      </w:r>
      <w:bookmarkEnd w:id="11"/>
      <w:r w:rsidRPr="00B66F64">
        <w:t>, en el que llegaba a la conclusión de que en la solicitud de renovación no había indicaciones de la existencia de nuevos peligros, exposiciones modificadas ni incertidumbres científicas que cambiasen las conclusiones de la evaluación original del riesgo del algodón modificado genéticamente aprobada por la EFSA en 2013</w:t>
      </w:r>
      <w:r w:rsidRPr="00B66F64">
        <w:rPr>
          <w:vertAlign w:val="superscript"/>
        </w:rPr>
        <w:footnoteReference w:id="8"/>
      </w:r>
      <w:r w:rsidRPr="00B66F64">
        <w:t>; que dicho dictamen no abordó toda una serie de efectos medioambientales, socioeconómicos y acumulativos más amplios que la EFSA considera que quedan fuera de su ámbito de competencias;</w:t>
      </w:r>
    </w:p>
    <w:p w14:paraId="7953A8F5" w14:textId="77777777" w:rsidR="00DE4D45" w:rsidRPr="00B66F64" w:rsidRDefault="00DE4D45" w:rsidP="00DE4D45">
      <w:pPr>
        <w:pStyle w:val="NormalHanging12a"/>
        <w:widowControl/>
      </w:pPr>
      <w:r w:rsidRPr="00B66F64">
        <w:t>D.</w:t>
      </w:r>
      <w:r w:rsidRPr="00B66F64">
        <w:tab/>
        <w:t xml:space="preserve">Considerando que el algodón modificado genéticamente ha sido desarrollado para ser resistente a determinadas plagas de lepidópteros gracias a la producción de una toxina insecticida, así como para conferir tolerancia al </w:t>
      </w:r>
      <w:proofErr w:type="spellStart"/>
      <w:r w:rsidRPr="00B66F64">
        <w:t>glufosinato</w:t>
      </w:r>
      <w:proofErr w:type="spellEnd"/>
      <w:r w:rsidRPr="00B66F64">
        <w:t xml:space="preserve">; </w:t>
      </w:r>
    </w:p>
    <w:p w14:paraId="1985A97B" w14:textId="77777777" w:rsidR="00DE4D45" w:rsidRPr="00B66F64" w:rsidRDefault="00DE4D45" w:rsidP="00DE4D45">
      <w:pPr>
        <w:pStyle w:val="NormalHanging12a"/>
        <w:widowControl/>
      </w:pPr>
      <w:r w:rsidRPr="00B66F64">
        <w:t>E.</w:t>
      </w:r>
      <w:r w:rsidRPr="00B66F64">
        <w:tab/>
        <w:t>Considerando que la evaluación de riesgos llevada a cabo por la EFSA no incluyó estudios toxicológicos a largo plazo ni un análisis detallado de los efectos acumulativos y combinatorios, en particular las posibles interacciones con residuos de plaguicidas utilizados habitualmente en el cultivo del algodón;</w:t>
      </w:r>
    </w:p>
    <w:p w14:paraId="37C38B82" w14:textId="77777777" w:rsidR="00DE4D45" w:rsidRPr="00B66F64" w:rsidRDefault="00DE4D45" w:rsidP="00DE4D45">
      <w:pPr>
        <w:pStyle w:val="NormalHanging12a"/>
        <w:widowControl/>
      </w:pPr>
      <w:r w:rsidRPr="00B66F64">
        <w:t>F.</w:t>
      </w:r>
      <w:r w:rsidRPr="00B66F64">
        <w:tab/>
        <w:t>Considerando que la gran mayoría de los cultivos modificados genéticamente, incluido el algodón modificado genéticamente, se han modificado para que sean tolerantes a uno o varios herbicidas «complementarios» de modo que estos puedan utilizarse durante todo el cultivo de la planta modificada genéticamente sin que esta muera, como sucedería con una planta no tolerante a los herbicidas; que diversos estudios demuestran que, en los cultivos modificados genéticamente con tolerancia a herbicidas, se hace un mayor uso de los herbicidas complementarios, debido en gran parte a la aparición de malas hierbas tolerantes a los herbicidas</w:t>
      </w:r>
      <w:r w:rsidRPr="00B66F64">
        <w:rPr>
          <w:vertAlign w:val="superscript"/>
        </w:rPr>
        <w:footnoteReference w:id="9"/>
      </w:r>
      <w:r w:rsidRPr="00B66F64">
        <w:t>;</w:t>
      </w:r>
    </w:p>
    <w:p w14:paraId="63CBBA10" w14:textId="77777777" w:rsidR="00DE4D45" w:rsidRPr="00B66F64" w:rsidRDefault="00DE4D45" w:rsidP="00DE4D45">
      <w:pPr>
        <w:pStyle w:val="NormalHanging12a"/>
        <w:widowControl/>
      </w:pPr>
      <w:r w:rsidRPr="00B66F64">
        <w:t>G.</w:t>
      </w:r>
      <w:r w:rsidRPr="00B66F64">
        <w:tab/>
        <w:t>Considerando que los cultivos modificados genéticamente tolerantes a los herbicidas atrapan a los agricultores en un sistema de gestión de las malas hierbas que depende en gran medida o en su totalidad de los herbicidas, al cobrarse un suplemento por las semillas modificadas genéticamente que solo puede justificarse si los agricultores que las adquieren también fumigan con los herbicidas complementarios; que la mayor dependencia de los herbicidas complementarios en las explotaciones de algodón modificado genéticamente acelerará la aparición y propagación de malas hierbas resistentes a esos herbicidas, lo que a su vez generará la necesidad de un uso aún mayor de herbicidas, en lo que se conoce como «círculo vicioso de los herbicidas»; que, como consecuencia, los efectos adversos derivados de una dependencia excesiva de los herbicidas empeorarán la salud del suelo, la calidad del agua y la biodiversidad superficial y subterránea y darán lugar a una mayor exposición humana y animal, posiblemente también a través del aumento de los residuos de herbicidas en los alimentos y los piensos</w:t>
      </w:r>
      <w:r w:rsidRPr="00B66F64">
        <w:rPr>
          <w:vertAlign w:val="superscript"/>
        </w:rPr>
        <w:footnoteReference w:id="10"/>
      </w:r>
      <w:r w:rsidRPr="00B66F64">
        <w:t>;</w:t>
      </w:r>
    </w:p>
    <w:p w14:paraId="19ADEEBA" w14:textId="77777777" w:rsidR="00DE4D45" w:rsidRPr="00B66F64" w:rsidRDefault="00DE4D45" w:rsidP="00DE4D45">
      <w:pPr>
        <w:pStyle w:val="NormalHanging12a"/>
        <w:widowControl/>
      </w:pPr>
      <w:r w:rsidRPr="00B66F64">
        <w:t>H.</w:t>
      </w:r>
      <w:r w:rsidRPr="00B66F64">
        <w:tab/>
        <w:t xml:space="preserve">Considerando que el </w:t>
      </w:r>
      <w:proofErr w:type="spellStart"/>
      <w:r w:rsidRPr="00B66F64">
        <w:t>glufosinato</w:t>
      </w:r>
      <w:proofErr w:type="spellEnd"/>
      <w:r w:rsidRPr="00B66F64">
        <w:t xml:space="preserve"> está clasificado como sustancia tóxica para la reproducción de categoría 1B y, por lo tanto, cumple los «criterios de exclusión» establecidos en el Reglamento (CE) n.º 1107/2009 del Parlamento Europeo y del Consejo</w:t>
      </w:r>
      <w:r w:rsidRPr="00B66F64">
        <w:rPr>
          <w:vertAlign w:val="superscript"/>
        </w:rPr>
        <w:footnoteReference w:id="11"/>
      </w:r>
      <w:r w:rsidRPr="00B66F64">
        <w:t xml:space="preserve">; que la aprobación del </w:t>
      </w:r>
      <w:proofErr w:type="spellStart"/>
      <w:r w:rsidRPr="00B66F64">
        <w:t>glufosinato</w:t>
      </w:r>
      <w:proofErr w:type="spellEnd"/>
      <w:r w:rsidRPr="00B66F64">
        <w:t xml:space="preserve"> para su uso en la Unión venció el 31 de julio de 2018;</w:t>
      </w:r>
    </w:p>
    <w:p w14:paraId="40AC1329" w14:textId="77777777" w:rsidR="00DE4D45" w:rsidRPr="00B66F64" w:rsidRDefault="00DE4D45" w:rsidP="00DE4D45">
      <w:pPr>
        <w:pStyle w:val="NormalHanging12a"/>
        <w:widowControl/>
      </w:pPr>
      <w:r w:rsidRPr="00B66F64">
        <w:t xml:space="preserve">I. </w:t>
      </w:r>
      <w:r w:rsidRPr="00B66F64">
        <w:tab/>
        <w:t>Considerando que el seguimiento y la supervisión independientes de los posibles efectos adversos sobre la biodiversidad, la salud del suelo, los polinizadores y los organismos no objetivo siguen sin estar suficientemente garantizados;</w:t>
      </w:r>
    </w:p>
    <w:p w14:paraId="2467F193" w14:textId="77777777" w:rsidR="00DE4D45" w:rsidRPr="00B66F64" w:rsidRDefault="00DE4D45" w:rsidP="00DE4D45">
      <w:pPr>
        <w:pStyle w:val="NormalHanging12a"/>
        <w:widowControl/>
      </w:pPr>
      <w:r w:rsidRPr="00B66F64">
        <w:t>J.</w:t>
      </w:r>
      <w:r w:rsidRPr="00B66F64">
        <w:tab/>
        <w:t>Considerando que el principio de precaución, consagrado en el artículo 191 del Tratado de Funcionamiento de la Unión Europea, debe aplicarse en los casos en los que se carezca de certeza científica;</w:t>
      </w:r>
    </w:p>
    <w:p w14:paraId="42AB5A89" w14:textId="77777777" w:rsidR="00DE4D45" w:rsidRPr="00B66F64" w:rsidRDefault="00DE4D45" w:rsidP="00DE4D45">
      <w:pPr>
        <w:pStyle w:val="NormalHanging12a"/>
        <w:widowControl/>
      </w:pPr>
      <w:r w:rsidRPr="00B66F64">
        <w:t>K.</w:t>
      </w:r>
      <w:r w:rsidRPr="00B66F64">
        <w:tab/>
        <w:t>Considerando que el Reglamento (CE) n.º 1829/2003 exige que los alimentos y piensos modificados genéticamente no tengan efectos negativos sobre la salud humana, la salud animal o el medio ambiente;</w:t>
      </w:r>
    </w:p>
    <w:p w14:paraId="42BD1435" w14:textId="77777777" w:rsidR="00DE4D45" w:rsidRPr="00B66F64" w:rsidRDefault="00DE4D45" w:rsidP="00DE4D45">
      <w:pPr>
        <w:pStyle w:val="NormalHanging12a"/>
        <w:widowControl/>
      </w:pPr>
      <w:r w:rsidRPr="00B66F64">
        <w:t>L.</w:t>
      </w:r>
      <w:r w:rsidRPr="00B66F64">
        <w:tab/>
        <w:t>Considerando que la renovación de la autorización de la Unión del algodón modificado genéticamente no sería coherente con los compromisos internacionales en materia de reducción de plaguicidas</w:t>
      </w:r>
      <w:r w:rsidRPr="00B66F64">
        <w:rPr>
          <w:vertAlign w:val="superscript"/>
        </w:rPr>
        <w:footnoteReference w:id="12"/>
      </w:r>
      <w:r w:rsidRPr="00B66F64">
        <w:t xml:space="preserve">, habida cuenta del aumento de la exposición humana, animal y medioambiental al glifosato y el </w:t>
      </w:r>
      <w:proofErr w:type="spellStart"/>
      <w:r w:rsidRPr="00B66F64">
        <w:t>glufosinato</w:t>
      </w:r>
      <w:proofErr w:type="spellEnd"/>
      <w:r w:rsidRPr="00B66F64">
        <w:t xml:space="preserve"> en los países que cultivan este cultivo modificado genéticamente con tolerancia a herbicidas, junto con los resultados sanitarios potencialmente graves asociados;</w:t>
      </w:r>
    </w:p>
    <w:p w14:paraId="6ABD184F" w14:textId="77777777" w:rsidR="00DE4D45" w:rsidRPr="00B66F64" w:rsidRDefault="00DE4D45" w:rsidP="00DE4D45">
      <w:pPr>
        <w:pStyle w:val="NormalHanging12a"/>
        <w:widowControl/>
      </w:pPr>
      <w:r w:rsidRPr="00B66F64">
        <w:t>M.</w:t>
      </w:r>
      <w:r w:rsidRPr="00B66F64">
        <w:tab/>
        <w:t>Considerando que la Decisión de Ejecución de la Comisión seguiría permitiendo importaciones a la Unión que no cumplen las normas observadas por los agricultores de la Unión, con la consiguiente desventaja competitiva para estos;</w:t>
      </w:r>
    </w:p>
    <w:p w14:paraId="735A6D7B" w14:textId="77777777" w:rsidR="00DE4D45" w:rsidRPr="00B66F64" w:rsidRDefault="00DE4D45" w:rsidP="00DE4D45">
      <w:pPr>
        <w:pStyle w:val="NormalHanging12a"/>
        <w:widowControl/>
      </w:pPr>
      <w:r w:rsidRPr="00B66F64">
        <w:t>N.</w:t>
      </w:r>
      <w:r w:rsidRPr="00B66F64">
        <w:tab/>
        <w:t>Considerando que en las conclusiones del diálogo estratégico sobre el futuro de la agricultura en la UE</w:t>
      </w:r>
      <w:r w:rsidRPr="00B66F64">
        <w:rPr>
          <w:vertAlign w:val="superscript"/>
        </w:rPr>
        <w:footnoteReference w:id="13"/>
      </w:r>
      <w:r w:rsidRPr="00B66F64">
        <w:t xml:space="preserve"> se pide a la Comisión que reevalúe su enfoque sobre el acceso al mercado para las importaciones y exportaciones agroalimentarias, habida cuenta de la problemática que plantea la divergencia entre las normas de la Unión y las de sus socios comerciales; que unas relaciones comerciales más justas a escala mundial, en consonancia con los objetivos relativos a un medio ambiente saludable, fueron una de las exigencias principales de los agricultores durante las manifestaciones de 2023, 2024 y 2025;</w:t>
      </w:r>
    </w:p>
    <w:p w14:paraId="6F26FF44" w14:textId="77777777" w:rsidR="00DE4D45" w:rsidRPr="00B66F64" w:rsidRDefault="00DE4D45" w:rsidP="00DE4D45">
      <w:pPr>
        <w:pStyle w:val="NormalHanging12a"/>
        <w:widowControl/>
      </w:pPr>
      <w:r w:rsidRPr="00B66F64">
        <w:t>O.</w:t>
      </w:r>
      <w:r w:rsidRPr="00B66F64">
        <w:tab/>
        <w:t>Considerando que el Parlamento ha subrayado en repetidas ocasiones que, para afrontar el persistente déficit democrático, la Comisión no debe autorizar organismos modificados genéticamente en los casos en los que no se alcance una mayoría cualificada entre los Estados miembros en el Comité Permanente de Vegetales, Animales, Alimentos y Piensos o en el comité de apelación;</w:t>
      </w:r>
    </w:p>
    <w:p w14:paraId="461BD002" w14:textId="77777777" w:rsidR="00DE4D45" w:rsidRPr="00B66F64" w:rsidRDefault="00DE4D45" w:rsidP="00DE4D45">
      <w:pPr>
        <w:pStyle w:val="NormalHanging12a"/>
        <w:widowControl/>
      </w:pPr>
      <w:r w:rsidRPr="00B66F64">
        <w:t>P.</w:t>
      </w:r>
      <w:r w:rsidRPr="00B66F64">
        <w:tab/>
        <w:t>Considerando que, a pesar de reconocer las deficiencias democráticas, la falta de apoyo de los Estados miembros y la oposición del Parlamento, la Comisión sigue autorizando organismos modificados genéticamente;</w:t>
      </w:r>
    </w:p>
    <w:p w14:paraId="3407C3C1" w14:textId="77777777" w:rsidR="00DE4D45" w:rsidRPr="00B66F64" w:rsidRDefault="00DE4D45" w:rsidP="00DE4D45">
      <w:pPr>
        <w:pStyle w:val="NormalHanging12a"/>
        <w:widowControl/>
      </w:pPr>
      <w:r w:rsidRPr="00B66F64">
        <w:t>Q.</w:t>
      </w:r>
      <w:r w:rsidRPr="00B66F64">
        <w:tab/>
        <w:t>Considerando que el enfoque de «Una sola salud» exige tener en cuenta la interdependencia entre la salud humana, animal, vegetal y medioambiental a la hora de evaluar la sostenibilidad y la seguridad a largo plazo de los organismos modificados genéticamente;</w:t>
      </w:r>
    </w:p>
    <w:p w14:paraId="28ED9397" w14:textId="77777777" w:rsidR="00DE4D45" w:rsidRPr="00B66F64" w:rsidRDefault="00DE4D45" w:rsidP="00DE4D45">
      <w:pPr>
        <w:pStyle w:val="NormalHanging12a"/>
        <w:widowControl/>
      </w:pPr>
      <w:r w:rsidRPr="00B66F64">
        <w:t>1.</w:t>
      </w:r>
      <w:r w:rsidRPr="00B66F64">
        <w:tab/>
        <w:t>Considera que el proyecto de Decisión de Ejecución de la Comisión excede de las competencias de ejecución establecidas en el Reglamento (CE) n.º 1829/2003;</w:t>
      </w:r>
    </w:p>
    <w:p w14:paraId="3D43BE7B" w14:textId="77777777" w:rsidR="00DE4D45" w:rsidRPr="00B66F64" w:rsidRDefault="00DE4D45" w:rsidP="00DE4D45">
      <w:pPr>
        <w:pStyle w:val="NormalHanging12a"/>
        <w:widowControl/>
      </w:pPr>
      <w:r w:rsidRPr="00B66F64">
        <w:t>2.</w:t>
      </w:r>
      <w:r w:rsidRPr="00B66F64">
        <w:tab/>
        <w:t>Considera que el proyecto de Decisión de Ejecución de la Comisión no es conforme con el Derecho de la Unión al ser incompatible con el objetivo del Reglamento (CE) n.º 1829/2003, que es, con arreglo a los principios generales establecidos en el Reglamento (CE) n.º 178/2002 del Parlamento Europeo y del Consejo</w:t>
      </w:r>
      <w:r w:rsidRPr="00B66F64">
        <w:rPr>
          <w:vertAlign w:val="superscript"/>
        </w:rPr>
        <w:footnoteReference w:id="14"/>
      </w:r>
      <w:r w:rsidRPr="00B66F64">
        <w:t xml:space="preserve">, sentar las bases para asegurar un nivel elevado de protección de la vida y la salud de las personas, de la sanidad y el bienestar de los animales, del medio ambiente y de los intereses de los consumidores en relación con los alimentos y piensos modificados genéticamente, al tiempo que se asegura el funcionamiento eficaz del mercado interior; </w:t>
      </w:r>
    </w:p>
    <w:p w14:paraId="6AEF381E" w14:textId="77777777" w:rsidR="00DE4D45" w:rsidRPr="00B66F64" w:rsidRDefault="00DE4D45" w:rsidP="00DE4D45">
      <w:pPr>
        <w:pStyle w:val="NormalHanging12a"/>
        <w:widowControl/>
      </w:pPr>
      <w:r w:rsidRPr="00B66F64">
        <w:t>3.</w:t>
      </w:r>
      <w:r w:rsidRPr="00B66F64">
        <w:tab/>
        <w:t>Pide a la Comisión que retire su proyecto de Decisión de Ejecución;</w:t>
      </w:r>
    </w:p>
    <w:p w14:paraId="7648C304" w14:textId="77777777" w:rsidR="00DE4D45" w:rsidRPr="00B66F64" w:rsidRDefault="00DE4D45" w:rsidP="00DE4D45">
      <w:pPr>
        <w:pStyle w:val="NormalHanging12a"/>
        <w:widowControl/>
      </w:pPr>
      <w:bookmarkStart w:id="12" w:name="_Hlk218675841"/>
      <w:r w:rsidRPr="00B66F64">
        <w:t>4.</w:t>
      </w:r>
      <w:r w:rsidRPr="00B66F64">
        <w:tab/>
        <w:t>Pide a la Comisión que no renueve la autorización del algodón modificado genéticamente debido a la falta de pruebas suficientes sobre sus efectos a largo plazo en la biodiversidad, la seguridad alimentaria, los medios de subsistencia de los agricultores y la salud animal, en consonancia con el enfoque de «Una sola salud»;</w:t>
      </w:r>
    </w:p>
    <w:p w14:paraId="606E74DA" w14:textId="77777777" w:rsidR="00DE4D45" w:rsidRPr="00B66F64" w:rsidRDefault="00DE4D45" w:rsidP="00DE4D45">
      <w:pPr>
        <w:pStyle w:val="NormalHanging12a"/>
        <w:widowControl/>
      </w:pPr>
      <w:bookmarkStart w:id="13" w:name="_Hlk210900300"/>
      <w:r w:rsidRPr="00B66F64">
        <w:t>5.</w:t>
      </w:r>
      <w:r w:rsidRPr="00B66F64">
        <w:tab/>
        <w:t>Pide a la Comisión que presente, sin demora, una propuesta legislativa para reformar el procedimiento de toma de decisiones sobre los organismos modificados genéticamente con el fin de responder a las oposiciones recurrentes del Parlamento y a la falta de apoyo por mayoría cualificada entre los Estados miembros</w:t>
      </w:r>
      <w:bookmarkEnd w:id="13"/>
      <w:r w:rsidRPr="00B66F64">
        <w:t>;</w:t>
      </w:r>
    </w:p>
    <w:p w14:paraId="0885A78A" w14:textId="77777777" w:rsidR="00DE4D45" w:rsidRPr="00B66F64" w:rsidRDefault="00DE4D45" w:rsidP="00DE4D45">
      <w:pPr>
        <w:pStyle w:val="NormalHanging12a"/>
        <w:widowControl/>
      </w:pPr>
      <w:bookmarkStart w:id="14" w:name="_Hlk210900241"/>
      <w:r w:rsidRPr="00B66F64">
        <w:t>6.</w:t>
      </w:r>
      <w:r w:rsidRPr="00B66F64">
        <w:tab/>
        <w:t xml:space="preserve">Destaca, a este respecto, que autorizar la importación para su uso en alimentos, piensos o productos de cualquier planta modificada genéticamente para ser tolerante a herbicidas prohibidos en la Unión, como el </w:t>
      </w:r>
      <w:proofErr w:type="spellStart"/>
      <w:r w:rsidRPr="00B66F64">
        <w:t>glufosinato</w:t>
      </w:r>
      <w:proofErr w:type="spellEnd"/>
      <w:r w:rsidRPr="00B66F64">
        <w:t>, resulta incompatible con los compromisos internacionales asumidos por la Unión en virtud, entre otros, del Convenio de las Naciones Unidas sobre la Diversidad Biológica y los Objetivos de Desarrollo Sostenible de las Naciones Unidas —incluido el Marco Mundial de Biodiversidad de Kunming-Montreal—, y genera además condiciones de competencia desleales para los agricultores de la Unión;</w:t>
      </w:r>
    </w:p>
    <w:bookmarkEnd w:id="14"/>
    <w:p w14:paraId="0A791288" w14:textId="1BE2FEC3" w:rsidR="00DF1101" w:rsidRPr="00B66F64" w:rsidRDefault="00DE4D45" w:rsidP="00DF1101">
      <w:pPr>
        <w:pStyle w:val="NormalHanging12a"/>
        <w:widowControl/>
      </w:pPr>
      <w:r w:rsidRPr="00B66F64">
        <w:t>7.</w:t>
      </w:r>
      <w:r w:rsidRPr="00B66F64">
        <w:tab/>
      </w:r>
      <w:bookmarkEnd w:id="12"/>
      <w:r w:rsidRPr="00B66F64">
        <w:t>Encarga a su presidenta que transmita la presente Resolución al Consejo y a la Comisión, así como a los Gobiernos y Parlamentos de los Estados miembros.</w:t>
      </w:r>
    </w:p>
    <w:p w14:paraId="76C7C291" w14:textId="160AA95A" w:rsidR="00E365E1" w:rsidRPr="00B66F64" w:rsidRDefault="00E365E1" w:rsidP="00DE4D45"/>
    <w:sectPr w:rsidR="00E365E1" w:rsidRPr="00B66F64" w:rsidSect="00DF11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E493B" w14:textId="77777777" w:rsidR="00347B1C" w:rsidRPr="00DF1101" w:rsidRDefault="00347B1C">
      <w:r w:rsidRPr="00DF1101">
        <w:separator/>
      </w:r>
    </w:p>
  </w:endnote>
  <w:endnote w:type="continuationSeparator" w:id="0">
    <w:p w14:paraId="70EF827F" w14:textId="77777777" w:rsidR="00347B1C" w:rsidRPr="00DF1101" w:rsidRDefault="00347B1C">
      <w:r w:rsidRPr="00DF11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E3EC" w14:textId="77777777" w:rsidR="00064002" w:rsidRPr="00DF11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2DFB0" w14:textId="77777777" w:rsidR="00064002" w:rsidRPr="00DF11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FAB64" w14:textId="77777777" w:rsidR="00064002" w:rsidRPr="00DF11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EE39C" w14:textId="77777777" w:rsidR="00347B1C" w:rsidRPr="00DF1101" w:rsidRDefault="00347B1C">
      <w:r w:rsidRPr="00DF1101">
        <w:separator/>
      </w:r>
    </w:p>
  </w:footnote>
  <w:footnote w:type="continuationSeparator" w:id="0">
    <w:p w14:paraId="40A6EC03" w14:textId="77777777" w:rsidR="00347B1C" w:rsidRPr="00DF1101" w:rsidRDefault="00347B1C">
      <w:r w:rsidRPr="00DF1101">
        <w:continuationSeparator/>
      </w:r>
    </w:p>
  </w:footnote>
  <w:footnote w:id="1">
    <w:p w14:paraId="6E5CD435" w14:textId="54F8452F" w:rsidR="00DE4D45" w:rsidRPr="00B66F64" w:rsidRDefault="00DE4D45" w:rsidP="00DF1101">
      <w:pPr>
        <w:pStyle w:val="FootnoteText"/>
        <w:ind w:left="567" w:hanging="567"/>
        <w:rPr>
          <w:sz w:val="24"/>
          <w:lang w:val="pt-PT"/>
        </w:rPr>
      </w:pPr>
      <w:r w:rsidRPr="00DF1101">
        <w:rPr>
          <w:rStyle w:val="FootnoteReference"/>
          <w:sz w:val="24"/>
          <w:lang w:val="es-ES_tradnl"/>
        </w:rPr>
        <w:footnoteRef/>
      </w:r>
      <w:r w:rsidR="00DF1101" w:rsidRPr="00B66F64">
        <w:rPr>
          <w:sz w:val="24"/>
          <w:lang w:val="pt-PT"/>
        </w:rPr>
        <w:t xml:space="preserve"> </w:t>
      </w:r>
      <w:r w:rsidR="00DF1101" w:rsidRPr="00B66F64">
        <w:rPr>
          <w:sz w:val="24"/>
          <w:lang w:val="pt-PT"/>
        </w:rPr>
        <w:tab/>
      </w:r>
      <w:r w:rsidRPr="00B66F64">
        <w:rPr>
          <w:sz w:val="24"/>
          <w:lang w:val="pt-PT"/>
        </w:rPr>
        <w:t>DO L 268 de 18.10.2003, p. 1, ELI: </w:t>
      </w:r>
      <w:r w:rsidR="00C304D6">
        <w:fldChar w:fldCharType="begin"/>
      </w:r>
      <w:r w:rsidR="00C304D6" w:rsidRPr="00C304D6">
        <w:rPr>
          <w:lang w:val="pt-PT"/>
        </w:rPr>
        <w:instrText>HYPERLINK "https://eur-lex.europa.eu/eli/reg/2003/1829/oj"</w:instrText>
      </w:r>
      <w:r w:rsidR="00C304D6">
        <w:fldChar w:fldCharType="separate"/>
      </w:r>
      <w:r w:rsidRPr="00B66F64">
        <w:rPr>
          <w:rStyle w:val="Hyperlink"/>
          <w:sz w:val="24"/>
          <w:lang w:val="pt-PT"/>
        </w:rPr>
        <w:t>https://eur-lex.europa.eu/eli/reg/2003/1829/oj</w:t>
      </w:r>
      <w:r w:rsidR="00C304D6">
        <w:rPr>
          <w:rStyle w:val="Hyperlink"/>
          <w:sz w:val="24"/>
          <w:lang w:val="pt-PT"/>
        </w:rPr>
        <w:fldChar w:fldCharType="end"/>
      </w:r>
      <w:r w:rsidRPr="00B66F64">
        <w:rPr>
          <w:sz w:val="24"/>
          <w:lang w:val="pt-PT"/>
        </w:rPr>
        <w:t>.</w:t>
      </w:r>
    </w:p>
  </w:footnote>
  <w:footnote w:id="2">
    <w:p w14:paraId="7A45D708" w14:textId="65E3F3E8" w:rsidR="00DE4D45" w:rsidRPr="00B66F64" w:rsidRDefault="00DE4D45" w:rsidP="00DF1101">
      <w:pPr>
        <w:pStyle w:val="FootnoteText"/>
        <w:ind w:left="567" w:hanging="567"/>
        <w:rPr>
          <w:sz w:val="24"/>
          <w:lang w:val="pt-PT"/>
        </w:rPr>
      </w:pPr>
      <w:r w:rsidRPr="00DF1101">
        <w:rPr>
          <w:rStyle w:val="FootnoteReference"/>
          <w:sz w:val="24"/>
          <w:lang w:val="es-ES_tradnl"/>
        </w:rPr>
        <w:footnoteRef/>
      </w:r>
      <w:r w:rsidR="00DF1101" w:rsidRPr="00B66F64">
        <w:rPr>
          <w:sz w:val="24"/>
          <w:lang w:val="pt-PT"/>
        </w:rPr>
        <w:t xml:space="preserve"> </w:t>
      </w:r>
      <w:r w:rsidR="00DF1101" w:rsidRPr="00B66F64">
        <w:rPr>
          <w:sz w:val="24"/>
          <w:lang w:val="pt-PT"/>
        </w:rPr>
        <w:tab/>
      </w:r>
      <w:r w:rsidRPr="00B66F64">
        <w:rPr>
          <w:sz w:val="24"/>
          <w:lang w:val="pt-PT"/>
        </w:rPr>
        <w:t>DO L 55 de 28.2.2011, p. 13, ELI: </w:t>
      </w:r>
      <w:r w:rsidR="00C304D6">
        <w:fldChar w:fldCharType="begin"/>
      </w:r>
      <w:r w:rsidR="00C304D6" w:rsidRPr="00C304D6">
        <w:rPr>
          <w:lang w:val="pt-PT"/>
        </w:rPr>
        <w:instrText>HYPERLINK "http://data.europa.eu/eli/reg/2011/182/oj"</w:instrText>
      </w:r>
      <w:r w:rsidR="00C304D6">
        <w:fldChar w:fldCharType="separate"/>
      </w:r>
      <w:r w:rsidRPr="00B66F64">
        <w:rPr>
          <w:rStyle w:val="Hyperlink"/>
          <w:sz w:val="24"/>
          <w:lang w:val="pt-PT"/>
        </w:rPr>
        <w:t>http://data.europa.eu/eli/reg/2011/182/oj</w:t>
      </w:r>
      <w:r w:rsidR="00C304D6">
        <w:rPr>
          <w:rStyle w:val="Hyperlink"/>
          <w:sz w:val="24"/>
          <w:lang w:val="pt-PT"/>
        </w:rPr>
        <w:fldChar w:fldCharType="end"/>
      </w:r>
      <w:r w:rsidRPr="00B66F64">
        <w:rPr>
          <w:sz w:val="24"/>
          <w:lang w:val="pt-PT"/>
        </w:rPr>
        <w:t>.</w:t>
      </w:r>
    </w:p>
  </w:footnote>
  <w:footnote w:id="3">
    <w:p w14:paraId="64574FC1" w14:textId="6AE199D2" w:rsidR="00DE4D45" w:rsidRPr="00DF1101" w:rsidRDefault="00DE4D45" w:rsidP="00DF1101">
      <w:pPr>
        <w:pStyle w:val="FootnoteText"/>
        <w:ind w:left="567" w:hanging="567"/>
        <w:rPr>
          <w:sz w:val="24"/>
          <w:lang w:val="es-ES_tradnl"/>
        </w:rPr>
      </w:pPr>
      <w:r w:rsidRPr="00DF1101">
        <w:rPr>
          <w:sz w:val="24"/>
          <w:vertAlign w:val="superscript"/>
          <w:lang w:val="es-ES_tradnl"/>
        </w:rPr>
        <w:footnoteRef/>
      </w:r>
      <w:r w:rsidR="00DF1101" w:rsidRPr="00DF1101">
        <w:rPr>
          <w:sz w:val="24"/>
          <w:lang w:val="es-ES_tradnl"/>
        </w:rPr>
        <w:t xml:space="preserve"> </w:t>
      </w:r>
      <w:r w:rsidR="00DF1101" w:rsidRPr="00DF1101">
        <w:rPr>
          <w:sz w:val="24"/>
          <w:lang w:val="es-ES_tradnl"/>
        </w:rPr>
        <w:tab/>
      </w:r>
      <w:r w:rsidRPr="00DF1101">
        <w:rPr>
          <w:sz w:val="24"/>
          <w:lang w:val="es-ES_tradnl"/>
        </w:rPr>
        <w:t>Dictamen científico de la Comisión Técnica de Organismos Modificados Genéticamente de la EFSA titulado «</w:t>
      </w:r>
      <w:proofErr w:type="spellStart"/>
      <w:r w:rsidRPr="00DF1101">
        <w:rPr>
          <w:sz w:val="24"/>
          <w:lang w:val="es-ES_tradnl"/>
        </w:rPr>
        <w:t>Assessment</w:t>
      </w:r>
      <w:proofErr w:type="spellEnd"/>
      <w:r w:rsidRPr="00DF1101">
        <w:rPr>
          <w:sz w:val="24"/>
          <w:lang w:val="es-ES_tradnl"/>
        </w:rPr>
        <w:t xml:space="preserve"> </w:t>
      </w:r>
      <w:proofErr w:type="spellStart"/>
      <w:r w:rsidRPr="00DF1101">
        <w:rPr>
          <w:sz w:val="24"/>
          <w:lang w:val="es-ES_tradnl"/>
        </w:rPr>
        <w:t>of</w:t>
      </w:r>
      <w:proofErr w:type="spellEnd"/>
      <w:r w:rsidRPr="00DF1101">
        <w:rPr>
          <w:sz w:val="24"/>
          <w:lang w:val="es-ES_tradnl"/>
        </w:rPr>
        <w:t xml:space="preserve"> </w:t>
      </w:r>
      <w:proofErr w:type="spellStart"/>
      <w:r w:rsidRPr="00DF1101">
        <w:rPr>
          <w:sz w:val="24"/>
          <w:lang w:val="es-ES_tradnl"/>
        </w:rPr>
        <w:t>genetically</w:t>
      </w:r>
      <w:proofErr w:type="spellEnd"/>
      <w:r w:rsidRPr="00DF1101">
        <w:rPr>
          <w:sz w:val="24"/>
          <w:lang w:val="es-ES_tradnl"/>
        </w:rPr>
        <w:t xml:space="preserve"> </w:t>
      </w:r>
      <w:proofErr w:type="spellStart"/>
      <w:r w:rsidRPr="00DF1101">
        <w:rPr>
          <w:sz w:val="24"/>
          <w:lang w:val="es-ES_tradnl"/>
        </w:rPr>
        <w:t>modified</w:t>
      </w:r>
      <w:proofErr w:type="spellEnd"/>
      <w:r w:rsidRPr="00DF1101">
        <w:rPr>
          <w:sz w:val="24"/>
          <w:lang w:val="es-ES_tradnl"/>
        </w:rPr>
        <w:t xml:space="preserve"> </w:t>
      </w:r>
      <w:proofErr w:type="spellStart"/>
      <w:r w:rsidRPr="00DF1101">
        <w:rPr>
          <w:sz w:val="24"/>
          <w:lang w:val="es-ES_tradnl"/>
        </w:rPr>
        <w:t>cotton</w:t>
      </w:r>
      <w:proofErr w:type="spellEnd"/>
      <w:r w:rsidRPr="00DF1101">
        <w:rPr>
          <w:sz w:val="24"/>
          <w:lang w:val="es-ES_tradnl"/>
        </w:rPr>
        <w:t xml:space="preserve"> T304-40 </w:t>
      </w:r>
      <w:proofErr w:type="spellStart"/>
      <w:r w:rsidRPr="00DF1101">
        <w:rPr>
          <w:sz w:val="24"/>
          <w:lang w:val="es-ES_tradnl"/>
        </w:rPr>
        <w:t>for</w:t>
      </w:r>
      <w:proofErr w:type="spellEnd"/>
      <w:r w:rsidRPr="00DF1101">
        <w:rPr>
          <w:sz w:val="24"/>
          <w:lang w:val="es-ES_tradnl"/>
        </w:rPr>
        <w:t xml:space="preserve"> </w:t>
      </w:r>
      <w:proofErr w:type="spellStart"/>
      <w:r w:rsidRPr="00DF1101">
        <w:rPr>
          <w:sz w:val="24"/>
          <w:lang w:val="es-ES_tradnl"/>
        </w:rPr>
        <w:t>renewal</w:t>
      </w:r>
      <w:proofErr w:type="spellEnd"/>
      <w:r w:rsidRPr="00DF1101">
        <w:rPr>
          <w:sz w:val="24"/>
          <w:lang w:val="es-ES_tradnl"/>
        </w:rPr>
        <w:t xml:space="preserve"> </w:t>
      </w:r>
      <w:proofErr w:type="spellStart"/>
      <w:r w:rsidRPr="00DF1101">
        <w:rPr>
          <w:sz w:val="24"/>
          <w:lang w:val="es-ES_tradnl"/>
        </w:rPr>
        <w:t>authorisation</w:t>
      </w:r>
      <w:proofErr w:type="spellEnd"/>
      <w:r w:rsidRPr="00DF1101">
        <w:rPr>
          <w:sz w:val="24"/>
          <w:lang w:val="es-ES_tradnl"/>
        </w:rPr>
        <w:t xml:space="preserve"> </w:t>
      </w:r>
      <w:proofErr w:type="spellStart"/>
      <w:r w:rsidRPr="00DF1101">
        <w:rPr>
          <w:sz w:val="24"/>
          <w:lang w:val="es-ES_tradnl"/>
        </w:rPr>
        <w:t>under</w:t>
      </w:r>
      <w:proofErr w:type="spellEnd"/>
      <w:r w:rsidRPr="00DF1101">
        <w:rPr>
          <w:sz w:val="24"/>
          <w:lang w:val="es-ES_tradnl"/>
        </w:rPr>
        <w:t xml:space="preserve"> </w:t>
      </w:r>
      <w:proofErr w:type="spellStart"/>
      <w:r w:rsidRPr="00DF1101">
        <w:rPr>
          <w:sz w:val="24"/>
          <w:lang w:val="es-ES_tradnl"/>
        </w:rPr>
        <w:t>Regulation</w:t>
      </w:r>
      <w:proofErr w:type="spellEnd"/>
      <w:r w:rsidRPr="00DF1101">
        <w:rPr>
          <w:sz w:val="24"/>
          <w:lang w:val="es-ES_tradnl"/>
        </w:rPr>
        <w:t xml:space="preserve"> (EC) No 1829/2003 (dossier GMFF-2024-23010)» (Evaluación del algodón modificado genéticamente T304-40 para la renovación de la autorización en virtud del Reglamento (CE) n.º 1829/2003 [solicitud GMFF-2024-23010]), </w:t>
      </w:r>
      <w:r w:rsidRPr="00DF1101">
        <w:rPr>
          <w:i/>
          <w:sz w:val="24"/>
          <w:lang w:val="es-ES_tradnl"/>
        </w:rPr>
        <w:t xml:space="preserve">EFSA </w:t>
      </w:r>
      <w:proofErr w:type="spellStart"/>
      <w:r w:rsidRPr="00DF1101">
        <w:rPr>
          <w:i/>
          <w:sz w:val="24"/>
          <w:lang w:val="es-ES_tradnl"/>
        </w:rPr>
        <w:t>Journal</w:t>
      </w:r>
      <w:proofErr w:type="spellEnd"/>
      <w:r w:rsidRPr="00DF1101">
        <w:rPr>
          <w:sz w:val="24"/>
          <w:lang w:val="es-ES_tradnl"/>
        </w:rPr>
        <w:t xml:space="preserve"> 2025, 23(7):e9580, </w:t>
      </w:r>
      <w:r w:rsidR="00C304D6">
        <w:fldChar w:fldCharType="begin"/>
      </w:r>
      <w:r w:rsidR="00C304D6" w:rsidRPr="00C304D6">
        <w:rPr>
          <w:lang w:val="es-ES_tradnl"/>
        </w:rPr>
        <w:instrText>HYPERLINK "https://doi.org/10.2903/j.efsa.2025.9580"</w:instrText>
      </w:r>
      <w:r w:rsidR="00C304D6">
        <w:fldChar w:fldCharType="separate"/>
      </w:r>
      <w:r w:rsidRPr="00DF1101">
        <w:rPr>
          <w:rStyle w:val="Hyperlink"/>
          <w:sz w:val="24"/>
          <w:lang w:val="es-ES_tradnl"/>
        </w:rPr>
        <w:t>https://doi.org/10.2903/j.efsa.2025.9580</w:t>
      </w:r>
      <w:r w:rsidR="00C304D6">
        <w:rPr>
          <w:rStyle w:val="Hyperlink"/>
          <w:sz w:val="24"/>
          <w:lang w:val="es-ES_tradnl"/>
        </w:rPr>
        <w:fldChar w:fldCharType="end"/>
      </w:r>
      <w:r w:rsidRPr="00DF1101">
        <w:rPr>
          <w:sz w:val="24"/>
          <w:lang w:val="es-ES_tradnl"/>
        </w:rPr>
        <w:t xml:space="preserve">. </w:t>
      </w:r>
    </w:p>
  </w:footnote>
  <w:footnote w:id="4">
    <w:p w14:paraId="049B9714" w14:textId="0EFCB3FA" w:rsidR="00DE4D45" w:rsidRPr="00DF1101" w:rsidRDefault="00DE4D45" w:rsidP="00DF1101">
      <w:pPr>
        <w:pStyle w:val="FootnoteText"/>
        <w:ind w:left="567" w:hanging="567"/>
        <w:rPr>
          <w:color w:val="000000" w:themeColor="text1"/>
          <w:sz w:val="24"/>
          <w:vertAlign w:val="superscript"/>
          <w:lang w:val="es-ES_tradnl"/>
        </w:rPr>
      </w:pPr>
      <w:r w:rsidRPr="00DF1101">
        <w:rPr>
          <w:rStyle w:val="FootnoteReference"/>
          <w:sz w:val="24"/>
          <w:lang w:val="es-ES_tradnl"/>
        </w:rPr>
        <w:footnoteRef/>
      </w:r>
      <w:r w:rsidR="00DF1101" w:rsidRPr="00DF1101">
        <w:rPr>
          <w:color w:val="000000" w:themeColor="text1"/>
          <w:sz w:val="24"/>
          <w:lang w:val="es-ES_tradnl"/>
        </w:rPr>
        <w:t xml:space="preserve"> </w:t>
      </w:r>
      <w:r w:rsidR="00DF1101" w:rsidRPr="00DF1101">
        <w:rPr>
          <w:color w:val="000000" w:themeColor="text1"/>
          <w:sz w:val="24"/>
          <w:lang w:val="es-ES_tradnl"/>
        </w:rPr>
        <w:tab/>
      </w:r>
      <w:r w:rsidRPr="00DF1101">
        <w:rPr>
          <w:color w:val="000000" w:themeColor="text1"/>
          <w:sz w:val="24"/>
          <w:lang w:val="es-ES_tradnl"/>
        </w:rPr>
        <w:t>En sus legislaturas octava y novena, el Parlamento aprobó respectivamente 36 y 38 Resoluciones de oposición a la autorización de organismos modificados genéticamente. Además, en su décima legislatura, el Parlamento ha aprobado las siguientes Resoluciones:</w:t>
      </w:r>
    </w:p>
    <w:p w14:paraId="5FFF8652" w14:textId="0F912ED4" w:rsidR="00DE4D45" w:rsidRPr="00DF1101" w:rsidRDefault="00DF1101" w:rsidP="00DF1101">
      <w:pPr>
        <w:pStyle w:val="FootnoteText"/>
        <w:ind w:left="567" w:hanging="567"/>
        <w:rPr>
          <w:color w:val="000000" w:themeColor="text1"/>
          <w:sz w:val="24"/>
          <w:vertAlign w:val="superscript"/>
          <w:lang w:val="es-ES_tradnl"/>
        </w:rPr>
      </w:pPr>
      <w:r w:rsidRPr="00DF1101">
        <w:rPr>
          <w:color w:val="000000" w:themeColor="text1"/>
          <w:sz w:val="24"/>
          <w:lang w:val="es-ES_tradnl"/>
        </w:rPr>
        <w:t xml:space="preserve"> </w:t>
      </w:r>
      <w:r w:rsidRPr="00DF1101">
        <w:rPr>
          <w:color w:val="000000" w:themeColor="text1"/>
          <w:sz w:val="24"/>
          <w:lang w:val="es-ES_tradnl"/>
        </w:rPr>
        <w:tab/>
      </w:r>
      <w:r w:rsidR="00DE4D45" w:rsidRPr="00DF1101">
        <w:rPr>
          <w:color w:val="000000" w:themeColor="text1"/>
          <w:sz w:val="24"/>
          <w:lang w:val="es-ES_tradnl"/>
        </w:rPr>
        <w:t>–</w:t>
      </w:r>
      <w:r w:rsidR="00DE4D45" w:rsidRPr="00DF1101">
        <w:rPr>
          <w:color w:val="000000" w:themeColor="text1"/>
          <w:sz w:val="24"/>
          <w:lang w:val="es-ES_tradnl"/>
        </w:rPr>
        <w:tab/>
        <w:t>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r w:rsidR="00C304D6">
        <w:fldChar w:fldCharType="begin"/>
      </w:r>
      <w:r w:rsidR="00C304D6" w:rsidRPr="00C304D6">
        <w:rPr>
          <w:lang w:val="es-ES_tradnl"/>
        </w:rPr>
        <w:instrText>HYPERLINK "http://data.europa.eu/eli/C/2025/1797/oj"</w:instrText>
      </w:r>
      <w:r w:rsidR="00C304D6">
        <w:fldChar w:fldCharType="separate"/>
      </w:r>
      <w:r w:rsidR="00DE4D45" w:rsidRPr="00DF1101">
        <w:rPr>
          <w:rStyle w:val="Hyperlink"/>
          <w:sz w:val="24"/>
          <w:lang w:val="es-ES_tradnl"/>
        </w:rPr>
        <w:t>http://data.europa.eu/eli/C/2025/1797/oj</w:t>
      </w:r>
      <w:r w:rsidR="00C304D6">
        <w:rPr>
          <w:rStyle w:val="Hyperlink"/>
          <w:sz w:val="24"/>
          <w:lang w:val="es-ES_tradnl"/>
        </w:rPr>
        <w:fldChar w:fldCharType="end"/>
      </w:r>
      <w:r w:rsidR="00DE4D45" w:rsidRPr="00DF1101">
        <w:rPr>
          <w:color w:val="000000" w:themeColor="text1"/>
          <w:sz w:val="24"/>
          <w:lang w:val="es-ES_tradnl"/>
        </w:rPr>
        <w:t>);</w:t>
      </w:r>
    </w:p>
    <w:p w14:paraId="68D0F07F" w14:textId="4FBE268C" w:rsidR="00DE4D45" w:rsidRPr="00DF1101" w:rsidRDefault="00DF1101" w:rsidP="00DF1101">
      <w:pPr>
        <w:pStyle w:val="FootnoteText"/>
        <w:ind w:left="567" w:hanging="567"/>
        <w:rPr>
          <w:color w:val="000000" w:themeColor="text1"/>
          <w:sz w:val="24"/>
          <w:vertAlign w:val="superscript"/>
          <w:lang w:val="es-ES_tradnl"/>
        </w:rPr>
      </w:pPr>
      <w:r w:rsidRPr="00DF1101">
        <w:rPr>
          <w:color w:val="000000" w:themeColor="text1"/>
          <w:sz w:val="24"/>
          <w:lang w:val="es-ES_tradnl"/>
        </w:rPr>
        <w:t xml:space="preserve"> </w:t>
      </w:r>
      <w:r w:rsidRPr="00DF1101">
        <w:rPr>
          <w:color w:val="000000" w:themeColor="text1"/>
          <w:sz w:val="24"/>
          <w:lang w:val="es-ES_tradnl"/>
        </w:rPr>
        <w:tab/>
      </w:r>
      <w:r w:rsidR="00DE4D45" w:rsidRPr="00DF1101">
        <w:rPr>
          <w:color w:val="000000" w:themeColor="text1"/>
          <w:sz w:val="24"/>
          <w:lang w:val="es-ES_tradnl"/>
        </w:rPr>
        <w:t>–</w:t>
      </w:r>
      <w:r w:rsidR="00DE4D45" w:rsidRPr="00DF1101">
        <w:rPr>
          <w:color w:val="000000" w:themeColor="text1"/>
          <w:sz w:val="24"/>
          <w:lang w:val="es-ES_tradnl"/>
        </w:rPr>
        <w:tab/>
        <w:t>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r w:rsidR="00C304D6">
        <w:fldChar w:fldCharType="begin"/>
      </w:r>
      <w:r w:rsidR="00C304D6" w:rsidRPr="00C304D6">
        <w:rPr>
          <w:lang w:val="es-ES_tradnl"/>
        </w:rPr>
        <w:instrText>HYPERLINK "http://data.europa.eu/eli/C/2025/1798/oj"</w:instrText>
      </w:r>
      <w:r w:rsidR="00C304D6">
        <w:fldChar w:fldCharType="separate"/>
      </w:r>
      <w:r w:rsidR="00DE4D45" w:rsidRPr="00DF1101">
        <w:rPr>
          <w:rStyle w:val="Hyperlink"/>
          <w:sz w:val="24"/>
          <w:lang w:val="es-ES_tradnl"/>
        </w:rPr>
        <w:t>http://data.europa.eu/eli/C/2025/1798/oj</w:t>
      </w:r>
      <w:r w:rsidR="00C304D6">
        <w:rPr>
          <w:rStyle w:val="Hyperlink"/>
          <w:sz w:val="24"/>
          <w:lang w:val="es-ES_tradnl"/>
        </w:rPr>
        <w:fldChar w:fldCharType="end"/>
      </w:r>
      <w:r w:rsidR="00DE4D45" w:rsidRPr="00DF1101">
        <w:rPr>
          <w:color w:val="000000" w:themeColor="text1"/>
          <w:sz w:val="24"/>
          <w:lang w:val="es-ES_tradnl"/>
        </w:rPr>
        <w:t>);</w:t>
      </w:r>
    </w:p>
    <w:p w14:paraId="32A729E1" w14:textId="4CD9B727" w:rsidR="00DE4D45" w:rsidRPr="00DF1101" w:rsidRDefault="00DF1101" w:rsidP="00DF1101">
      <w:pPr>
        <w:pStyle w:val="FootnoteText"/>
        <w:ind w:left="567" w:hanging="567"/>
        <w:rPr>
          <w:color w:val="000000" w:themeColor="text1"/>
          <w:sz w:val="24"/>
          <w:vertAlign w:val="superscript"/>
          <w:lang w:val="es-ES_tradnl"/>
        </w:rPr>
      </w:pPr>
      <w:r w:rsidRPr="00DF1101">
        <w:rPr>
          <w:color w:val="000000" w:themeColor="text1"/>
          <w:sz w:val="24"/>
          <w:lang w:val="es-ES_tradnl"/>
        </w:rPr>
        <w:t xml:space="preserve"> </w:t>
      </w:r>
      <w:r w:rsidRPr="00DF1101">
        <w:rPr>
          <w:color w:val="000000" w:themeColor="text1"/>
          <w:sz w:val="24"/>
          <w:lang w:val="es-ES_tradnl"/>
        </w:rPr>
        <w:tab/>
      </w:r>
      <w:r w:rsidR="00DE4D45" w:rsidRPr="00DF1101">
        <w:rPr>
          <w:color w:val="000000" w:themeColor="text1"/>
          <w:sz w:val="24"/>
          <w:lang w:val="es-ES_tradnl"/>
        </w:rPr>
        <w:t>–</w:t>
      </w:r>
      <w:r w:rsidR="00DE4D45" w:rsidRPr="00DF1101">
        <w:rPr>
          <w:color w:val="000000" w:themeColor="text1"/>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w:t>
      </w:r>
      <w:proofErr w:type="spellStart"/>
      <w:r w:rsidR="00DE4D45" w:rsidRPr="00DF1101">
        <w:rPr>
          <w:color w:val="000000" w:themeColor="text1"/>
          <w:sz w:val="24"/>
          <w:lang w:val="es-ES_tradnl"/>
        </w:rPr>
        <w:t>subcombinaciones</w:t>
      </w:r>
      <w:proofErr w:type="spellEnd"/>
      <w:r w:rsidR="00DE4D45" w:rsidRPr="00DF1101">
        <w:rPr>
          <w:color w:val="000000" w:themeColor="text1"/>
          <w:sz w:val="24"/>
          <w:lang w:val="es-ES_tradnl"/>
        </w:rPr>
        <w:t>, con arreglo al Reglamento (CE) n.º 1829/2003 del Parlamento Europeo y del Consejo (DO C, C/2025/1799, 4.4.2025, ELI: </w:t>
      </w:r>
      <w:r w:rsidR="00C304D6">
        <w:fldChar w:fldCharType="begin"/>
      </w:r>
      <w:r w:rsidR="00C304D6" w:rsidRPr="00C304D6">
        <w:rPr>
          <w:lang w:val="es-ES_tradnl"/>
        </w:rPr>
        <w:instrText>HYPERLINK "http://data.europa.eu/eli/C/2025/1799/oj"</w:instrText>
      </w:r>
      <w:r w:rsidR="00C304D6">
        <w:fldChar w:fldCharType="separate"/>
      </w:r>
      <w:r w:rsidR="00DE4D45" w:rsidRPr="00DF1101">
        <w:rPr>
          <w:rStyle w:val="Hyperlink"/>
          <w:sz w:val="24"/>
          <w:lang w:val="es-ES_tradnl"/>
        </w:rPr>
        <w:t>http://data.europa.eu/eli/C/2025/1799/oj</w:t>
      </w:r>
      <w:r w:rsidR="00C304D6">
        <w:rPr>
          <w:rStyle w:val="Hyperlink"/>
          <w:sz w:val="24"/>
          <w:lang w:val="es-ES_tradnl"/>
        </w:rPr>
        <w:fldChar w:fldCharType="end"/>
      </w:r>
      <w:r w:rsidR="00DE4D45" w:rsidRPr="00DF1101">
        <w:rPr>
          <w:color w:val="000000" w:themeColor="text1"/>
          <w:sz w:val="24"/>
          <w:lang w:val="es-ES_tradnl"/>
        </w:rPr>
        <w:t>);</w:t>
      </w:r>
    </w:p>
    <w:p w14:paraId="51FE6C3D" w14:textId="57543B64" w:rsidR="00DE4D45" w:rsidRPr="00DF1101" w:rsidRDefault="00DF1101" w:rsidP="00DF1101">
      <w:pPr>
        <w:pStyle w:val="FootnoteText"/>
        <w:ind w:left="567" w:hanging="567"/>
        <w:rPr>
          <w:color w:val="000000" w:themeColor="text1"/>
          <w:sz w:val="24"/>
          <w:vertAlign w:val="superscript"/>
          <w:lang w:val="es-ES_tradnl"/>
        </w:rPr>
      </w:pPr>
      <w:r w:rsidRPr="00DF1101">
        <w:rPr>
          <w:color w:val="000000" w:themeColor="text1"/>
          <w:sz w:val="24"/>
          <w:lang w:val="es-ES_tradnl"/>
        </w:rPr>
        <w:t xml:space="preserve"> </w:t>
      </w:r>
      <w:r w:rsidRPr="00DF1101">
        <w:rPr>
          <w:color w:val="000000" w:themeColor="text1"/>
          <w:sz w:val="24"/>
          <w:lang w:val="es-ES_tradnl"/>
        </w:rPr>
        <w:tab/>
      </w:r>
      <w:r w:rsidR="00DE4D45" w:rsidRPr="00DF1101">
        <w:rPr>
          <w:color w:val="000000" w:themeColor="text1"/>
          <w:sz w:val="24"/>
          <w:lang w:val="es-ES_tradnl"/>
        </w:rPr>
        <w:t>–</w:t>
      </w:r>
      <w:r w:rsidR="00DE4D45" w:rsidRPr="00DF1101">
        <w:rPr>
          <w:color w:val="000000" w:themeColor="text1"/>
          <w:sz w:val="24"/>
          <w:lang w:val="es-ES_tradnl"/>
        </w:rPr>
        <w:tab/>
        <w:t>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r w:rsidR="00C304D6">
        <w:fldChar w:fldCharType="begin"/>
      </w:r>
      <w:r w:rsidR="00C304D6" w:rsidRPr="00C304D6">
        <w:rPr>
          <w:lang w:val="es-ES_tradnl"/>
        </w:rPr>
        <w:instrText>HYPERLINK "http://data.europa.eu/eli/C/2025/1800/oj"</w:instrText>
      </w:r>
      <w:r w:rsidR="00C304D6">
        <w:fldChar w:fldCharType="separate"/>
      </w:r>
      <w:r w:rsidR="00DE4D45" w:rsidRPr="00DF1101">
        <w:rPr>
          <w:rStyle w:val="Hyperlink"/>
          <w:sz w:val="24"/>
          <w:lang w:val="es-ES_tradnl"/>
        </w:rPr>
        <w:t>http://data.europa.eu/eli/C/2025/1800/oj</w:t>
      </w:r>
      <w:r w:rsidR="00C304D6">
        <w:rPr>
          <w:rStyle w:val="Hyperlink"/>
          <w:sz w:val="24"/>
          <w:lang w:val="es-ES_tradnl"/>
        </w:rPr>
        <w:fldChar w:fldCharType="end"/>
      </w:r>
      <w:r w:rsidR="00DE4D45" w:rsidRPr="00DF1101">
        <w:rPr>
          <w:color w:val="000000" w:themeColor="text1"/>
          <w:sz w:val="24"/>
          <w:lang w:val="es-ES_tradnl"/>
        </w:rPr>
        <w:t>);</w:t>
      </w:r>
    </w:p>
    <w:p w14:paraId="288B2F49" w14:textId="55775E91" w:rsidR="00DE4D45" w:rsidRPr="00DF1101" w:rsidRDefault="00DF1101" w:rsidP="00DF1101">
      <w:pPr>
        <w:pStyle w:val="FootnoteText"/>
        <w:ind w:left="567" w:hanging="567"/>
        <w:rPr>
          <w:color w:val="000000" w:themeColor="text1"/>
          <w:sz w:val="24"/>
          <w:vertAlign w:val="superscript"/>
          <w:lang w:val="es-ES_tradnl"/>
        </w:rPr>
      </w:pPr>
      <w:r w:rsidRPr="00DF1101">
        <w:rPr>
          <w:color w:val="000000" w:themeColor="text1"/>
          <w:sz w:val="24"/>
          <w:lang w:val="es-ES_tradnl"/>
        </w:rPr>
        <w:t xml:space="preserve"> </w:t>
      </w:r>
      <w:r w:rsidRPr="00DF1101">
        <w:rPr>
          <w:color w:val="000000" w:themeColor="text1"/>
          <w:sz w:val="24"/>
          <w:lang w:val="es-ES_tradnl"/>
        </w:rPr>
        <w:tab/>
      </w:r>
      <w:r w:rsidR="00DE4D45" w:rsidRPr="00DF1101">
        <w:rPr>
          <w:color w:val="000000" w:themeColor="text1"/>
          <w:sz w:val="24"/>
          <w:lang w:val="es-ES_tradnl"/>
        </w:rPr>
        <w:t>–</w:t>
      </w:r>
      <w:r w:rsidR="00DE4D45" w:rsidRPr="00DF1101">
        <w:rPr>
          <w:color w:val="000000" w:themeColor="text1"/>
          <w:sz w:val="24"/>
          <w:lang w:val="es-ES_tradnl"/>
        </w:rPr>
        <w:tab/>
        <w:t>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r w:rsidR="00C304D6">
        <w:fldChar w:fldCharType="begin"/>
      </w:r>
      <w:r w:rsidR="00C304D6" w:rsidRPr="00C304D6">
        <w:rPr>
          <w:lang w:val="es-ES_tradnl"/>
        </w:rPr>
        <w:instrText>HYPERLINK "http://data.europa.eu/eli/C/2025/1801/oj"</w:instrText>
      </w:r>
      <w:r w:rsidR="00C304D6">
        <w:fldChar w:fldCharType="separate"/>
      </w:r>
      <w:r w:rsidR="00DE4D45" w:rsidRPr="00DF1101">
        <w:rPr>
          <w:rStyle w:val="Hyperlink"/>
          <w:sz w:val="24"/>
          <w:lang w:val="es-ES_tradnl"/>
        </w:rPr>
        <w:t>http://data.europa.eu/eli/C/2025/1801/oj</w:t>
      </w:r>
      <w:r w:rsidR="00C304D6">
        <w:rPr>
          <w:rStyle w:val="Hyperlink"/>
          <w:sz w:val="24"/>
          <w:lang w:val="es-ES_tradnl"/>
        </w:rPr>
        <w:fldChar w:fldCharType="end"/>
      </w:r>
      <w:r w:rsidR="00DE4D45" w:rsidRPr="00DF1101">
        <w:rPr>
          <w:color w:val="000000" w:themeColor="text1"/>
          <w:sz w:val="24"/>
          <w:lang w:val="es-ES_tradnl"/>
        </w:rPr>
        <w:t>);</w:t>
      </w:r>
    </w:p>
    <w:p w14:paraId="7EA1D629" w14:textId="5F73C873" w:rsidR="00DE4D45" w:rsidRPr="00DF1101" w:rsidRDefault="00DF1101" w:rsidP="00DF1101">
      <w:pPr>
        <w:pStyle w:val="FootnoteText"/>
        <w:ind w:left="567" w:hanging="567"/>
        <w:rPr>
          <w:color w:val="000000" w:themeColor="text1"/>
          <w:sz w:val="24"/>
          <w:vertAlign w:val="superscript"/>
          <w:lang w:val="es-ES_tradnl"/>
        </w:rPr>
      </w:pPr>
      <w:r w:rsidRPr="00DF1101">
        <w:rPr>
          <w:color w:val="000000" w:themeColor="text1"/>
          <w:sz w:val="24"/>
          <w:lang w:val="es-ES_tradnl"/>
        </w:rPr>
        <w:t xml:space="preserve"> </w:t>
      </w:r>
      <w:r w:rsidRPr="00DF1101">
        <w:rPr>
          <w:color w:val="000000" w:themeColor="text1"/>
          <w:sz w:val="24"/>
          <w:lang w:val="es-ES_tradnl"/>
        </w:rPr>
        <w:tab/>
      </w:r>
      <w:r w:rsidR="00DE4D45" w:rsidRPr="00DF1101">
        <w:rPr>
          <w:color w:val="000000" w:themeColor="text1"/>
          <w:sz w:val="24"/>
          <w:lang w:val="es-ES_tradnl"/>
        </w:rPr>
        <w:t>–</w:t>
      </w:r>
      <w:r w:rsidR="00DE4D45" w:rsidRPr="00DF1101">
        <w:rPr>
          <w:color w:val="000000" w:themeColor="text1"/>
          <w:sz w:val="24"/>
          <w:lang w:val="es-ES_tradnl"/>
        </w:rPr>
        <w:tab/>
        <w:t>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r w:rsidR="00C304D6">
        <w:fldChar w:fldCharType="begin"/>
      </w:r>
      <w:r w:rsidR="00C304D6" w:rsidRPr="00C304D6">
        <w:rPr>
          <w:lang w:val="es-ES_tradnl"/>
        </w:rPr>
        <w:instrText>HYPERLINK "http://data.europa.eu/eli/C/2025/1802/oj"</w:instrText>
      </w:r>
      <w:r w:rsidR="00C304D6">
        <w:fldChar w:fldCharType="separate"/>
      </w:r>
      <w:r w:rsidR="00DE4D45" w:rsidRPr="00DF1101">
        <w:rPr>
          <w:rStyle w:val="Hyperlink"/>
          <w:sz w:val="24"/>
          <w:lang w:val="es-ES_tradnl"/>
        </w:rPr>
        <w:t>http://data.europa.eu/eli/C/2025/1802/oj</w:t>
      </w:r>
      <w:r w:rsidR="00C304D6">
        <w:rPr>
          <w:rStyle w:val="Hyperlink"/>
          <w:sz w:val="24"/>
          <w:lang w:val="es-ES_tradnl"/>
        </w:rPr>
        <w:fldChar w:fldCharType="end"/>
      </w:r>
      <w:r w:rsidR="00DE4D45" w:rsidRPr="00DF1101">
        <w:rPr>
          <w:color w:val="000000" w:themeColor="text1"/>
          <w:sz w:val="24"/>
          <w:lang w:val="es-ES_tradnl"/>
        </w:rPr>
        <w:t>);</w:t>
      </w:r>
    </w:p>
    <w:p w14:paraId="21A1F083" w14:textId="77DDD391" w:rsidR="00DE4D45" w:rsidRPr="00DF1101" w:rsidRDefault="00DF1101" w:rsidP="00DF1101">
      <w:pPr>
        <w:pStyle w:val="FootnoteText"/>
        <w:ind w:left="567" w:hanging="567"/>
        <w:rPr>
          <w:color w:val="000000" w:themeColor="text1"/>
          <w:sz w:val="24"/>
          <w:vertAlign w:val="superscript"/>
          <w:lang w:val="es-ES_tradnl"/>
        </w:rPr>
      </w:pPr>
      <w:r w:rsidRPr="00DF1101">
        <w:rPr>
          <w:color w:val="000000" w:themeColor="text1"/>
          <w:sz w:val="24"/>
          <w:lang w:val="es-ES_tradnl"/>
        </w:rPr>
        <w:t xml:space="preserve"> </w:t>
      </w:r>
      <w:r w:rsidRPr="00DF1101">
        <w:rPr>
          <w:color w:val="000000" w:themeColor="text1"/>
          <w:sz w:val="24"/>
          <w:lang w:val="es-ES_tradnl"/>
        </w:rPr>
        <w:tab/>
      </w:r>
      <w:r w:rsidR="00DE4D45" w:rsidRPr="00DF1101">
        <w:rPr>
          <w:color w:val="000000" w:themeColor="text1"/>
          <w:sz w:val="24"/>
          <w:lang w:val="es-ES_tradnl"/>
        </w:rPr>
        <w:t>–</w:t>
      </w:r>
      <w:r w:rsidR="00DE4D45" w:rsidRPr="00DF1101">
        <w:rPr>
          <w:color w:val="000000" w:themeColor="text1"/>
          <w:sz w:val="24"/>
          <w:lang w:val="es-ES_tradnl"/>
        </w:rPr>
        <w:tab/>
        <w:t>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r w:rsidR="00C304D6">
        <w:fldChar w:fldCharType="begin"/>
      </w:r>
      <w:r w:rsidR="00C304D6" w:rsidRPr="00C304D6">
        <w:rPr>
          <w:lang w:val="es-ES_tradnl"/>
        </w:rPr>
        <w:instrText>HYPERLINK "http://data.europa.eu/eli/C/2025/1803/oj"</w:instrText>
      </w:r>
      <w:r w:rsidR="00C304D6">
        <w:fldChar w:fldCharType="separate"/>
      </w:r>
      <w:r w:rsidR="00DE4D45" w:rsidRPr="00DF1101">
        <w:rPr>
          <w:rStyle w:val="Hyperlink"/>
          <w:sz w:val="24"/>
          <w:lang w:val="es-ES_tradnl"/>
        </w:rPr>
        <w:t>http://data.europa.eu/eli/C/2025/1803/oj</w:t>
      </w:r>
      <w:r w:rsidR="00C304D6">
        <w:rPr>
          <w:rStyle w:val="Hyperlink"/>
          <w:sz w:val="24"/>
          <w:lang w:val="es-ES_tradnl"/>
        </w:rPr>
        <w:fldChar w:fldCharType="end"/>
      </w:r>
      <w:r w:rsidR="00DE4D45" w:rsidRPr="00DF1101">
        <w:rPr>
          <w:color w:val="000000" w:themeColor="text1"/>
          <w:sz w:val="24"/>
          <w:lang w:val="es-ES_tradnl"/>
        </w:rPr>
        <w:t>);</w:t>
      </w:r>
    </w:p>
    <w:p w14:paraId="5C9490C1" w14:textId="140A622E" w:rsidR="00DE4D45" w:rsidRPr="00DF1101" w:rsidRDefault="00DF1101" w:rsidP="00DF1101">
      <w:pPr>
        <w:pStyle w:val="FootnoteText"/>
        <w:ind w:left="567" w:hanging="567"/>
        <w:rPr>
          <w:color w:val="000000" w:themeColor="text1"/>
          <w:sz w:val="24"/>
          <w:vertAlign w:val="superscript"/>
          <w:lang w:val="es-ES_tradnl"/>
        </w:rPr>
      </w:pPr>
      <w:r w:rsidRPr="00DF1101">
        <w:rPr>
          <w:color w:val="000000" w:themeColor="text1"/>
          <w:sz w:val="24"/>
          <w:lang w:val="es-ES_tradnl"/>
        </w:rPr>
        <w:t xml:space="preserve"> </w:t>
      </w:r>
      <w:r w:rsidRPr="00DF1101">
        <w:rPr>
          <w:color w:val="000000" w:themeColor="text1"/>
          <w:sz w:val="24"/>
          <w:lang w:val="es-ES_tradnl"/>
        </w:rPr>
        <w:tab/>
      </w:r>
      <w:r w:rsidR="00DE4D45" w:rsidRPr="00DF1101">
        <w:rPr>
          <w:color w:val="000000" w:themeColor="text1"/>
          <w:sz w:val="24"/>
          <w:lang w:val="es-ES_tradnl"/>
        </w:rPr>
        <w:t>–</w:t>
      </w:r>
      <w:r w:rsidR="00DE4D45" w:rsidRPr="00DF1101">
        <w:rPr>
          <w:color w:val="000000" w:themeColor="text1"/>
          <w:sz w:val="24"/>
          <w:lang w:val="es-ES_tradnl"/>
        </w:rPr>
        <w:tab/>
        <w:t>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r w:rsidR="00C304D6">
        <w:fldChar w:fldCharType="begin"/>
      </w:r>
      <w:r w:rsidR="00C304D6" w:rsidRPr="00C304D6">
        <w:rPr>
          <w:lang w:val="es-ES_tradnl"/>
        </w:rPr>
        <w:instrText>HYPERLINK "http://data.europa.eu/eli/C/2025/1804/oj"</w:instrText>
      </w:r>
      <w:r w:rsidR="00C304D6">
        <w:fldChar w:fldCharType="separate"/>
      </w:r>
      <w:r w:rsidR="00DE4D45" w:rsidRPr="00DF1101">
        <w:rPr>
          <w:rStyle w:val="Hyperlink"/>
          <w:sz w:val="24"/>
          <w:lang w:val="es-ES_tradnl"/>
        </w:rPr>
        <w:t>http://data.europa.eu/eli/C/2025/1804/oj</w:t>
      </w:r>
      <w:r w:rsidR="00C304D6">
        <w:rPr>
          <w:rStyle w:val="Hyperlink"/>
          <w:sz w:val="24"/>
          <w:lang w:val="es-ES_tradnl"/>
        </w:rPr>
        <w:fldChar w:fldCharType="end"/>
      </w:r>
      <w:r w:rsidR="00DE4D45" w:rsidRPr="00DF1101">
        <w:rPr>
          <w:color w:val="000000" w:themeColor="text1"/>
          <w:sz w:val="24"/>
          <w:lang w:val="es-ES_tradnl"/>
        </w:rPr>
        <w:t>);</w:t>
      </w:r>
    </w:p>
    <w:p w14:paraId="4A821AAC" w14:textId="6D6545F7" w:rsidR="00DE4D45" w:rsidRPr="00DF1101" w:rsidRDefault="00DF1101" w:rsidP="00DF1101">
      <w:pPr>
        <w:pStyle w:val="FootnoteText"/>
        <w:ind w:left="567" w:hanging="567"/>
        <w:rPr>
          <w:sz w:val="24"/>
          <w:vertAlign w:val="superscript"/>
          <w:lang w:val="es-ES_tradnl"/>
        </w:rPr>
      </w:pPr>
      <w:r w:rsidRPr="00DF1101">
        <w:rPr>
          <w:color w:val="000000" w:themeColor="text1"/>
          <w:sz w:val="24"/>
          <w:lang w:val="es-ES_tradnl"/>
        </w:rPr>
        <w:t xml:space="preserve"> </w:t>
      </w:r>
      <w:r w:rsidRPr="00DF1101">
        <w:rPr>
          <w:color w:val="000000" w:themeColor="text1"/>
          <w:sz w:val="24"/>
          <w:lang w:val="es-ES_tradnl"/>
        </w:rPr>
        <w:tab/>
      </w:r>
      <w:r w:rsidR="00DE4D45" w:rsidRPr="00DF1101">
        <w:rPr>
          <w:color w:val="000000" w:themeColor="text1"/>
          <w:sz w:val="24"/>
          <w:lang w:val="es-ES_tradnl"/>
        </w:rPr>
        <w:t>–</w:t>
      </w:r>
      <w:r w:rsidR="00DE4D45" w:rsidRPr="00DF1101">
        <w:rPr>
          <w:color w:val="000000" w:themeColor="text1"/>
          <w:sz w:val="24"/>
          <w:lang w:val="es-ES_tradnl"/>
        </w:rPr>
        <w:tab/>
      </w:r>
      <w:r w:rsidR="00DE4D45" w:rsidRPr="00DF1101">
        <w:rPr>
          <w:sz w:val="24"/>
          <w:lang w:val="es-ES_tradnl"/>
        </w:rPr>
        <w:t>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(DO C, C/2025/2246, 29.4.2025, ELI: </w:t>
      </w:r>
      <w:r w:rsidR="00C304D6">
        <w:fldChar w:fldCharType="begin"/>
      </w:r>
      <w:r w:rsidR="00C304D6" w:rsidRPr="00C304D6">
        <w:rPr>
          <w:lang w:val="es-ES_tradnl"/>
        </w:rPr>
        <w:instrText>HYPERLINK "http://data.europa.eu/eli/C/2025/2246/oj"</w:instrText>
      </w:r>
      <w:r w:rsidR="00C304D6">
        <w:fldChar w:fldCharType="separate"/>
      </w:r>
      <w:r w:rsidR="00DE4D45" w:rsidRPr="00DF1101">
        <w:rPr>
          <w:rStyle w:val="Hyperlink"/>
          <w:sz w:val="24"/>
          <w:lang w:val="es-ES_tradnl"/>
        </w:rPr>
        <w:t>http://data.europa.eu/eli/C/2025/2246/oj</w:t>
      </w:r>
      <w:r w:rsidR="00C304D6">
        <w:rPr>
          <w:rStyle w:val="Hyperlink"/>
          <w:sz w:val="24"/>
          <w:lang w:val="es-ES_tradnl"/>
        </w:rPr>
        <w:fldChar w:fldCharType="end"/>
      </w:r>
      <w:r w:rsidR="00DE4D45" w:rsidRPr="00DF1101">
        <w:rPr>
          <w:sz w:val="24"/>
          <w:lang w:val="es-ES_tradnl"/>
        </w:rPr>
        <w:t>);</w:t>
      </w:r>
    </w:p>
    <w:p w14:paraId="7C461B29" w14:textId="613A0AF7" w:rsidR="00DE4D45" w:rsidRPr="00DF1101" w:rsidRDefault="00DF1101" w:rsidP="00DF1101">
      <w:pPr>
        <w:pStyle w:val="FootnoteText"/>
        <w:ind w:left="567" w:hanging="567"/>
        <w:rPr>
          <w:sz w:val="24"/>
          <w:vertAlign w:val="superscript"/>
          <w:lang w:val="es-ES_tradnl"/>
        </w:rPr>
      </w:pPr>
      <w:r w:rsidRPr="00DF1101">
        <w:rPr>
          <w:sz w:val="24"/>
          <w:lang w:val="es-ES_tradnl"/>
        </w:rPr>
        <w:t xml:space="preserve"> </w:t>
      </w:r>
      <w:r w:rsidRPr="00DF1101">
        <w:rPr>
          <w:sz w:val="24"/>
          <w:lang w:val="es-ES_tradnl"/>
        </w:rPr>
        <w:tab/>
      </w:r>
      <w:r w:rsidR="00DE4D45" w:rsidRPr="00DF1101">
        <w:rPr>
          <w:sz w:val="24"/>
          <w:lang w:val="es-ES_tradnl"/>
        </w:rPr>
        <w:t>–</w:t>
      </w:r>
      <w:r w:rsidR="00DE4D45" w:rsidRPr="00DF1101">
        <w:rPr>
          <w:sz w:val="24"/>
          <w:lang w:val="es-ES_tradnl"/>
        </w:rPr>
        <w:tab/>
        <w:t>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(DO C, C/2025/2247, 29.4.2025, ELI: </w:t>
      </w:r>
      <w:r w:rsidR="00C304D6">
        <w:fldChar w:fldCharType="begin"/>
      </w:r>
      <w:r w:rsidR="00C304D6" w:rsidRPr="00C304D6">
        <w:rPr>
          <w:lang w:val="es-ES_tradnl"/>
        </w:rPr>
        <w:instrText>HYPERLINK "http://data.europa.eu/eli/C/2025/2247/oj"</w:instrText>
      </w:r>
      <w:r w:rsidR="00C304D6">
        <w:fldChar w:fldCharType="separate"/>
      </w:r>
      <w:r w:rsidR="00DE4D45" w:rsidRPr="00DF1101">
        <w:rPr>
          <w:rStyle w:val="Hyperlink"/>
          <w:sz w:val="24"/>
          <w:lang w:val="es-ES_tradnl"/>
        </w:rPr>
        <w:t>http://data.europa.eu/eli/C/2025/2247/oj</w:t>
      </w:r>
      <w:r w:rsidR="00C304D6">
        <w:rPr>
          <w:rStyle w:val="Hyperlink"/>
          <w:sz w:val="24"/>
          <w:lang w:val="es-ES_tradnl"/>
        </w:rPr>
        <w:fldChar w:fldCharType="end"/>
      </w:r>
      <w:r w:rsidR="00DE4D45" w:rsidRPr="00DF1101">
        <w:rPr>
          <w:sz w:val="24"/>
          <w:lang w:val="es-ES_tradnl"/>
        </w:rPr>
        <w:t>);</w:t>
      </w:r>
    </w:p>
    <w:p w14:paraId="288CFC91" w14:textId="23B4AF32" w:rsidR="00DE4D45" w:rsidRPr="00DF1101" w:rsidRDefault="00DF1101" w:rsidP="007E08EF">
      <w:pPr>
        <w:pStyle w:val="FootnoteText"/>
        <w:ind w:left="567" w:hanging="567"/>
        <w:rPr>
          <w:sz w:val="24"/>
          <w:vertAlign w:val="superscript"/>
          <w:lang w:val="es-ES_tradnl"/>
        </w:rPr>
      </w:pPr>
      <w:r w:rsidRPr="00DF1101">
        <w:rPr>
          <w:sz w:val="24"/>
          <w:lang w:val="es-ES_tradnl"/>
        </w:rPr>
        <w:t xml:space="preserve"> </w:t>
      </w:r>
      <w:r w:rsidRPr="00DF1101">
        <w:rPr>
          <w:sz w:val="24"/>
          <w:lang w:val="es-ES_tradnl"/>
        </w:rPr>
        <w:tab/>
      </w:r>
      <w:r w:rsidR="00DE4D45" w:rsidRPr="00DF1101">
        <w:rPr>
          <w:sz w:val="24"/>
          <w:lang w:val="es-ES_tradnl"/>
        </w:rPr>
        <w:t>–</w:t>
      </w:r>
      <w:r w:rsidR="00DE4D45" w:rsidRPr="00DF1101">
        <w:rPr>
          <w:sz w:val="24"/>
          <w:lang w:val="es-ES_tradnl"/>
        </w:rPr>
        <w:tab/>
        <w:t>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w:t>
      </w:r>
      <w:r w:rsidR="007E08EF" w:rsidRPr="007E08EF">
        <w:rPr>
          <w:sz w:val="24"/>
          <w:lang w:val="es-ES"/>
        </w:rPr>
        <w:t>Textos aprobados,</w:t>
      </w:r>
      <w:r w:rsidR="007E08EF">
        <w:rPr>
          <w:sz w:val="24"/>
          <w:lang w:val="es-ES"/>
        </w:rPr>
        <w:t xml:space="preserve"> </w:t>
      </w:r>
      <w:r w:rsidR="00DE4D45" w:rsidRPr="00DF1101">
        <w:rPr>
          <w:sz w:val="24"/>
          <w:lang w:val="es-ES_tradnl"/>
        </w:rPr>
        <w:t>P10_TA(2025)0106);</w:t>
      </w:r>
    </w:p>
    <w:p w14:paraId="43C20624" w14:textId="41B22EAB" w:rsidR="00DE4D45" w:rsidRPr="00DF1101" w:rsidRDefault="00DF1101" w:rsidP="007E08EF">
      <w:pPr>
        <w:pStyle w:val="FootnoteText"/>
        <w:ind w:left="567" w:hanging="567"/>
        <w:rPr>
          <w:sz w:val="24"/>
          <w:vertAlign w:val="superscript"/>
          <w:lang w:val="es-ES_tradnl"/>
        </w:rPr>
      </w:pPr>
      <w:r w:rsidRPr="00DF1101">
        <w:rPr>
          <w:sz w:val="24"/>
          <w:lang w:val="es-ES_tradnl"/>
        </w:rPr>
        <w:t xml:space="preserve"> </w:t>
      </w:r>
      <w:r w:rsidRPr="00DF1101">
        <w:rPr>
          <w:sz w:val="24"/>
          <w:lang w:val="es-ES_tradnl"/>
        </w:rPr>
        <w:tab/>
      </w:r>
      <w:r w:rsidR="00DE4D45" w:rsidRPr="00DF1101">
        <w:rPr>
          <w:sz w:val="24"/>
          <w:lang w:val="es-ES_tradnl"/>
        </w:rPr>
        <w:t>–</w:t>
      </w:r>
      <w:r w:rsidR="00DE4D45" w:rsidRPr="00DF1101">
        <w:rPr>
          <w:sz w:val="24"/>
          <w:lang w:val="es-ES_tradnl"/>
        </w:rPr>
        <w:tab/>
        <w:t>Resolución del Parlamento Europeo, de 8 de octubre de 2025, sobre la Decisión de Ejecución (UE) 2025/1898 de la Comisión, de 22 de septiembre de 2025, por la que se autoriza la comercialización de productos que contengan o estén compuestos por el maíz modificado genéticamente DP51291 o se hayan producido a partir de él, con arreglo al Reglamento (CE) n.º 1829/2003 del Parlamento Europeo y del Consejo (</w:t>
      </w:r>
      <w:r w:rsidR="007E08EF" w:rsidRPr="007E08EF">
        <w:rPr>
          <w:sz w:val="24"/>
          <w:lang w:val="es-ES"/>
        </w:rPr>
        <w:t>Textos aprobados,</w:t>
      </w:r>
      <w:r w:rsidR="007E08EF">
        <w:rPr>
          <w:sz w:val="24"/>
          <w:lang w:val="es-ES"/>
        </w:rPr>
        <w:t xml:space="preserve"> </w:t>
      </w:r>
      <w:r w:rsidR="00DE4D45" w:rsidRPr="00DF1101">
        <w:rPr>
          <w:sz w:val="24"/>
          <w:lang w:val="es-ES_tradnl"/>
        </w:rPr>
        <w:t>P10_TA(2025)0222);</w:t>
      </w:r>
    </w:p>
    <w:p w14:paraId="05726727" w14:textId="5DFE3545" w:rsidR="00DE4D45" w:rsidRPr="00DF1101" w:rsidRDefault="00DF1101" w:rsidP="007E08EF">
      <w:pPr>
        <w:pStyle w:val="FootnoteText"/>
        <w:ind w:left="567" w:hanging="567"/>
        <w:rPr>
          <w:sz w:val="24"/>
          <w:vertAlign w:val="superscript"/>
          <w:lang w:val="es-ES_tradnl"/>
        </w:rPr>
      </w:pPr>
      <w:r w:rsidRPr="00DF1101">
        <w:rPr>
          <w:sz w:val="24"/>
          <w:lang w:val="es-ES_tradnl"/>
        </w:rPr>
        <w:t xml:space="preserve"> </w:t>
      </w:r>
      <w:r w:rsidRPr="00DF1101">
        <w:rPr>
          <w:sz w:val="24"/>
          <w:lang w:val="es-ES_tradnl"/>
        </w:rPr>
        <w:tab/>
      </w:r>
      <w:r w:rsidR="00DE4D45" w:rsidRPr="00DF1101">
        <w:rPr>
          <w:sz w:val="24"/>
          <w:lang w:val="es-ES_tradnl"/>
        </w:rPr>
        <w:t>–</w:t>
      </w:r>
      <w:r w:rsidR="00DE4D45" w:rsidRPr="00DF1101">
        <w:rPr>
          <w:sz w:val="24"/>
          <w:lang w:val="es-ES_tradnl"/>
        </w:rPr>
        <w:tab/>
        <w:t>Resolución del Parlamento Europeo, de 25 de noviembre de 2025, sobre el proyecto de Decisión de Ejecución de la Comisión por la que se autoriza la comercialización de productos que contengan o estén compuestos por maíz modificado genéticamente DAS1131 o hayan sido producidos a partir de él, con arreglo al Reglamento (CE) n.º 1829/2003 del Parlamento Europeo y del Consejo (</w:t>
      </w:r>
      <w:r w:rsidR="007E08EF" w:rsidRPr="007E08EF">
        <w:rPr>
          <w:sz w:val="24"/>
          <w:lang w:val="es-ES"/>
        </w:rPr>
        <w:t>Textos aprobados,</w:t>
      </w:r>
      <w:r w:rsidR="007E08EF">
        <w:rPr>
          <w:sz w:val="24"/>
          <w:lang w:val="es-ES_tradnl"/>
        </w:rPr>
        <w:t xml:space="preserve"> </w:t>
      </w:r>
      <w:r w:rsidR="00DE4D45" w:rsidRPr="00DF1101">
        <w:rPr>
          <w:sz w:val="24"/>
          <w:lang w:val="es-ES_tradnl"/>
        </w:rPr>
        <w:t>P10_TA(2025)0288);</w:t>
      </w:r>
    </w:p>
    <w:p w14:paraId="10EBEF01" w14:textId="3DE20573" w:rsidR="00DE4D45" w:rsidRPr="00DF1101" w:rsidRDefault="00DF1101" w:rsidP="007E08EF">
      <w:pPr>
        <w:pStyle w:val="FootnoteText"/>
        <w:ind w:left="567" w:hanging="567"/>
        <w:rPr>
          <w:sz w:val="24"/>
          <w:vertAlign w:val="superscript"/>
          <w:lang w:val="es-ES_tradnl"/>
        </w:rPr>
      </w:pPr>
      <w:r w:rsidRPr="00DF1101">
        <w:rPr>
          <w:sz w:val="24"/>
          <w:lang w:val="es-ES_tradnl"/>
        </w:rPr>
        <w:t xml:space="preserve"> </w:t>
      </w:r>
      <w:r w:rsidRPr="00DF1101">
        <w:rPr>
          <w:sz w:val="24"/>
          <w:lang w:val="es-ES_tradnl"/>
        </w:rPr>
        <w:tab/>
      </w:r>
      <w:r w:rsidR="00DE4D45" w:rsidRPr="00DF1101">
        <w:rPr>
          <w:sz w:val="24"/>
          <w:lang w:val="es-ES_tradnl"/>
        </w:rPr>
        <w:t>–</w:t>
      </w:r>
      <w:r w:rsidR="00DE4D45" w:rsidRPr="00DF1101">
        <w:rPr>
          <w:sz w:val="24"/>
          <w:lang w:val="es-ES_tradnl"/>
        </w:rPr>
        <w:tab/>
        <w:t>Resolución del Parlamento Europeo, de 25 de noviembre de 2025, sobre el proyecto de Decisión de Ejecución de la Comisión por la que se renueva la autorización de comercialización de los productos que contengan algodón modificado genéticamente MON 88913 (MON-88913-8), se compongan de dicho algodón o se hayan producido a partir de él, con arreglo al Reglamento (CE) n.º 1829/2003 del Parlamento Europeo y del Consejo (</w:t>
      </w:r>
      <w:r w:rsidR="007E08EF" w:rsidRPr="007E08EF">
        <w:rPr>
          <w:sz w:val="24"/>
          <w:lang w:val="es-ES"/>
        </w:rPr>
        <w:t>Textos aprobados,</w:t>
      </w:r>
      <w:r w:rsidR="007E08EF">
        <w:rPr>
          <w:sz w:val="24"/>
          <w:lang w:val="es-ES"/>
        </w:rPr>
        <w:t xml:space="preserve"> </w:t>
      </w:r>
      <w:r w:rsidR="00DE4D45" w:rsidRPr="00DF1101">
        <w:rPr>
          <w:sz w:val="24"/>
          <w:lang w:val="es-ES_tradnl"/>
        </w:rPr>
        <w:t>P10_TA(2025)0289);</w:t>
      </w:r>
    </w:p>
    <w:p w14:paraId="463CB6CE" w14:textId="1FE9A43B" w:rsidR="00DE4D45" w:rsidRPr="00DF1101" w:rsidRDefault="00DF1101" w:rsidP="007E08EF">
      <w:pPr>
        <w:pStyle w:val="FootnoteText"/>
        <w:ind w:left="567" w:hanging="567"/>
        <w:rPr>
          <w:sz w:val="24"/>
          <w:vertAlign w:val="superscript"/>
          <w:lang w:val="es-ES_tradnl"/>
        </w:rPr>
      </w:pPr>
      <w:r w:rsidRPr="00DF1101">
        <w:rPr>
          <w:sz w:val="24"/>
          <w:lang w:val="es-ES_tradnl"/>
        </w:rPr>
        <w:t xml:space="preserve"> </w:t>
      </w:r>
      <w:r w:rsidRPr="00DF1101">
        <w:rPr>
          <w:sz w:val="24"/>
          <w:lang w:val="es-ES_tradnl"/>
        </w:rPr>
        <w:tab/>
      </w:r>
      <w:r w:rsidR="00DE4D45" w:rsidRPr="00DF1101">
        <w:rPr>
          <w:sz w:val="24"/>
          <w:lang w:val="es-ES_tradnl"/>
        </w:rPr>
        <w:t>–</w:t>
      </w:r>
      <w:r w:rsidR="00DE4D45" w:rsidRPr="00DF1101">
        <w:rPr>
          <w:sz w:val="24"/>
          <w:lang w:val="es-ES_tradnl"/>
        </w:rPr>
        <w:tab/>
        <w:t>Resolución del Parlamento Europeo, de 25 de noviembre de 2025, sobre el proyecto de Decisión de Ejecución de la Comisión por la que se renueva la autorización de comercialización de productos que contengan colza modificada genéticamente MON 88302, que se compongan de dicha colza o hayan sido producidos a partir de ella, con arreglo al Reglamento (CE) n.º 1829/2003 del Parlamento Europeo y del Consejo (</w:t>
      </w:r>
      <w:r w:rsidR="007E08EF" w:rsidRPr="007E08EF">
        <w:rPr>
          <w:sz w:val="24"/>
          <w:lang w:val="es-ES"/>
        </w:rPr>
        <w:t>Textos aprobados,</w:t>
      </w:r>
      <w:r w:rsidR="007E08EF">
        <w:rPr>
          <w:sz w:val="24"/>
          <w:lang w:val="es-ES"/>
        </w:rPr>
        <w:t xml:space="preserve"> </w:t>
      </w:r>
      <w:r w:rsidR="00DE4D45" w:rsidRPr="00DF1101">
        <w:rPr>
          <w:sz w:val="24"/>
          <w:lang w:val="es-ES_tradnl"/>
        </w:rPr>
        <w:t>P10_TA(2025)0290);</w:t>
      </w:r>
    </w:p>
    <w:p w14:paraId="223DD494" w14:textId="723C3470" w:rsidR="00DE4D45" w:rsidRPr="00DF1101" w:rsidRDefault="00DF1101" w:rsidP="007E08EF">
      <w:pPr>
        <w:pStyle w:val="FootnoteText"/>
        <w:ind w:left="567" w:hanging="567"/>
        <w:rPr>
          <w:sz w:val="24"/>
          <w:vertAlign w:val="superscript"/>
          <w:lang w:val="es-ES_tradnl"/>
        </w:rPr>
      </w:pPr>
      <w:r w:rsidRPr="00DF1101">
        <w:rPr>
          <w:sz w:val="24"/>
          <w:lang w:val="es-ES_tradnl"/>
        </w:rPr>
        <w:t xml:space="preserve"> </w:t>
      </w:r>
      <w:r w:rsidRPr="00DF1101">
        <w:rPr>
          <w:sz w:val="24"/>
          <w:lang w:val="es-ES_tradnl"/>
        </w:rPr>
        <w:tab/>
      </w:r>
      <w:r w:rsidR="00DE4D45" w:rsidRPr="00DF1101">
        <w:rPr>
          <w:sz w:val="24"/>
          <w:lang w:val="es-ES_tradnl"/>
        </w:rPr>
        <w:t>–</w:t>
      </w:r>
      <w:r w:rsidR="00DE4D45" w:rsidRPr="00DF1101">
        <w:rPr>
          <w:sz w:val="24"/>
          <w:lang w:val="es-ES_tradnl"/>
        </w:rPr>
        <w:tab/>
        <w:t>Resolución del Parlamento Europeo, de 25 de noviembre de 2025, sobre el proyecto de Decisión de Ejecución de la Comisión por la que se renueva la autorización de comercialización de los productos que contengan, se compongan o se hayan producido a partir de soja modificada genéticamente MON 87708, con arreglo al Reglamento (CE) n.º 1829/2003 del Parlamento Europeo y del Consejo (</w:t>
      </w:r>
      <w:r w:rsidR="007E08EF" w:rsidRPr="007E08EF">
        <w:rPr>
          <w:sz w:val="24"/>
          <w:lang w:val="es-ES"/>
        </w:rPr>
        <w:t>Textos aprobados,</w:t>
      </w:r>
      <w:r w:rsidR="007E08EF">
        <w:rPr>
          <w:sz w:val="24"/>
          <w:lang w:val="es-ES"/>
        </w:rPr>
        <w:t xml:space="preserve"> </w:t>
      </w:r>
      <w:r w:rsidR="00DE4D45" w:rsidRPr="00DF1101">
        <w:rPr>
          <w:sz w:val="24"/>
          <w:lang w:val="es-ES_tradnl"/>
        </w:rPr>
        <w:t>P10_TA(2025)0291);</w:t>
      </w:r>
    </w:p>
    <w:p w14:paraId="39110024" w14:textId="2D9C89B5" w:rsidR="00DE4D45" w:rsidRPr="00DF1101" w:rsidRDefault="00DF1101" w:rsidP="007E08EF">
      <w:pPr>
        <w:pStyle w:val="FootnoteText"/>
        <w:ind w:left="567" w:hanging="567"/>
        <w:rPr>
          <w:sz w:val="24"/>
          <w:vertAlign w:val="superscript"/>
          <w:lang w:val="es-ES_tradnl"/>
        </w:rPr>
      </w:pPr>
      <w:r w:rsidRPr="00DF1101">
        <w:rPr>
          <w:sz w:val="24"/>
          <w:lang w:val="es-ES_tradnl"/>
        </w:rPr>
        <w:t xml:space="preserve"> </w:t>
      </w:r>
      <w:r w:rsidRPr="00DF1101">
        <w:rPr>
          <w:sz w:val="24"/>
          <w:lang w:val="es-ES_tradnl"/>
        </w:rPr>
        <w:tab/>
      </w:r>
      <w:r w:rsidR="00DE4D45" w:rsidRPr="00DF1101">
        <w:rPr>
          <w:sz w:val="24"/>
          <w:lang w:val="es-ES_tradnl"/>
        </w:rPr>
        <w:t>–</w:t>
      </w:r>
      <w:r w:rsidR="00DE4D45" w:rsidRPr="00DF1101">
        <w:rPr>
          <w:sz w:val="24"/>
          <w:lang w:val="es-ES_tradnl"/>
        </w:rPr>
        <w:tab/>
        <w:t>Resolución del Parlamento Europeo, de 25 de noviembre de 2025, sobre el proyecto de Decisión de Ejecución de la Comisión por la que se renueva la autorización de comercialización de productos que contengan o estén compuestos por maíz modificado genéticamente MON 87427 o hayan sido producidos a partir de él, con arreglo al Reglamento (CE) n.º 1829/2003 del Parlamento Europeo y del Consejo (</w:t>
      </w:r>
      <w:r w:rsidR="007E08EF" w:rsidRPr="007E08EF">
        <w:rPr>
          <w:sz w:val="24"/>
          <w:lang w:val="es-ES"/>
        </w:rPr>
        <w:t>Textos aprobados,</w:t>
      </w:r>
      <w:r w:rsidR="007E08EF">
        <w:rPr>
          <w:sz w:val="24"/>
          <w:lang w:val="es-ES_tradnl"/>
        </w:rPr>
        <w:t xml:space="preserve"> </w:t>
      </w:r>
      <w:r w:rsidR="00DE4D45" w:rsidRPr="00DF1101">
        <w:rPr>
          <w:sz w:val="24"/>
          <w:lang w:val="es-ES_tradnl"/>
        </w:rPr>
        <w:t>P10_TA(2025)0292);</w:t>
      </w:r>
    </w:p>
    <w:p w14:paraId="5C3F3EC4" w14:textId="3F8BC93D" w:rsidR="00DE4D45" w:rsidRPr="00DF1101" w:rsidRDefault="00DF1101" w:rsidP="007E08EF">
      <w:pPr>
        <w:pStyle w:val="FootnoteText"/>
        <w:ind w:left="567" w:hanging="567"/>
        <w:rPr>
          <w:sz w:val="24"/>
          <w:vertAlign w:val="superscript"/>
          <w:lang w:val="es-ES_tradnl"/>
        </w:rPr>
      </w:pPr>
      <w:r w:rsidRPr="00DF1101">
        <w:rPr>
          <w:sz w:val="24"/>
          <w:lang w:val="es-ES_tradnl"/>
        </w:rPr>
        <w:t xml:space="preserve"> </w:t>
      </w:r>
      <w:r w:rsidRPr="00DF1101">
        <w:rPr>
          <w:sz w:val="24"/>
          <w:lang w:val="es-ES_tradnl"/>
        </w:rPr>
        <w:tab/>
      </w:r>
      <w:r w:rsidR="00DE4D45" w:rsidRPr="00DF1101">
        <w:rPr>
          <w:sz w:val="24"/>
          <w:lang w:val="es-ES_tradnl"/>
        </w:rPr>
        <w:t>–</w:t>
      </w:r>
      <w:r w:rsidR="00DE4D45" w:rsidRPr="00DF1101">
        <w:rPr>
          <w:sz w:val="24"/>
          <w:lang w:val="es-ES_tradnl"/>
        </w:rPr>
        <w:tab/>
        <w:t>Resolución del Parlamento Europeo, de 16 de diciembre de 2025, sobre el proyecto de Decisión de Ejecución de la Comisión por la que se renueva la autorización de comercialización de productos que contengan o estén compuestos por maíz modificado genéticamente NK603 o hayan sido producidos a partir de él, con arreglo al Reglamento (CE) n.º 1829/2003 del Parlamento Europeo y del Consejo (</w:t>
      </w:r>
      <w:r w:rsidR="007E08EF" w:rsidRPr="007E08EF">
        <w:rPr>
          <w:sz w:val="24"/>
          <w:lang w:val="es-ES"/>
        </w:rPr>
        <w:t>Textos aprobados,</w:t>
      </w:r>
      <w:r w:rsidR="007E08EF">
        <w:rPr>
          <w:sz w:val="24"/>
          <w:lang w:val="es-ES"/>
        </w:rPr>
        <w:t xml:space="preserve"> </w:t>
      </w:r>
      <w:r w:rsidR="00DE4D45" w:rsidRPr="00DF1101">
        <w:rPr>
          <w:sz w:val="24"/>
          <w:lang w:val="es-ES_tradnl"/>
        </w:rPr>
        <w:t>P10_TA(2025)0327);</w:t>
      </w:r>
    </w:p>
    <w:p w14:paraId="0157CF4E" w14:textId="4CF8FB2A" w:rsidR="00DE4D45" w:rsidRPr="00DF1101" w:rsidRDefault="00DF1101" w:rsidP="007E08EF">
      <w:pPr>
        <w:pStyle w:val="FootnoteText"/>
        <w:ind w:left="567" w:hanging="567"/>
        <w:rPr>
          <w:sz w:val="24"/>
          <w:lang w:val="es-ES_tradnl"/>
        </w:rPr>
      </w:pPr>
      <w:r w:rsidRPr="00DF1101">
        <w:rPr>
          <w:sz w:val="24"/>
          <w:lang w:val="es-ES_tradnl"/>
        </w:rPr>
        <w:t xml:space="preserve"> </w:t>
      </w:r>
      <w:r w:rsidRPr="00DF1101">
        <w:rPr>
          <w:sz w:val="24"/>
          <w:lang w:val="es-ES_tradnl"/>
        </w:rPr>
        <w:tab/>
      </w:r>
      <w:r w:rsidR="00DE4D45" w:rsidRPr="00DF1101">
        <w:rPr>
          <w:sz w:val="24"/>
          <w:lang w:val="es-ES_tradnl"/>
        </w:rPr>
        <w:t>–</w:t>
      </w:r>
      <w:r w:rsidR="00DE4D45" w:rsidRPr="00DF1101">
        <w:rPr>
          <w:sz w:val="24"/>
          <w:lang w:val="es-ES_tradnl"/>
        </w:rPr>
        <w:tab/>
        <w:t>Resolución del Parlamento Europeo, de 16 de diciembre de 2025, sobre el proyecto de Decisión de Ejecución de la Comisión por la que se autoriza la comercialización de alimentos, ingredientes alimentarios y piensos producidos a partir de la remolacha azucarera modificada genéticamente KWS20-1 con arreglo al Reglamento (CE) n.º 1829/2003 del Parlamento Europeo y del Consejo (</w:t>
      </w:r>
      <w:r w:rsidR="007E08EF" w:rsidRPr="007E08EF">
        <w:rPr>
          <w:sz w:val="24"/>
          <w:lang w:val="es-ES"/>
        </w:rPr>
        <w:t>Textos aprobados,</w:t>
      </w:r>
      <w:r w:rsidR="007E08EF">
        <w:rPr>
          <w:sz w:val="24"/>
          <w:lang w:val="es-ES"/>
        </w:rPr>
        <w:t xml:space="preserve"> </w:t>
      </w:r>
      <w:r w:rsidR="00DE4D45" w:rsidRPr="00DF1101">
        <w:rPr>
          <w:sz w:val="24"/>
          <w:lang w:val="es-ES_tradnl"/>
        </w:rPr>
        <w:t>P10_TA(2025)0328).</w:t>
      </w:r>
    </w:p>
  </w:footnote>
  <w:footnote w:id="5">
    <w:p w14:paraId="20B89E9B" w14:textId="49438682" w:rsidR="00DE4D45" w:rsidRPr="00DF1101" w:rsidRDefault="00DE4D45" w:rsidP="00DF1101">
      <w:pPr>
        <w:pStyle w:val="FootnoteText"/>
        <w:ind w:left="567" w:hanging="567"/>
        <w:rPr>
          <w:sz w:val="24"/>
          <w:lang w:val="es-ES_tradnl"/>
        </w:rPr>
      </w:pPr>
      <w:r w:rsidRPr="00DF1101">
        <w:rPr>
          <w:rStyle w:val="FootnoteReference"/>
          <w:sz w:val="24"/>
          <w:lang w:val="es-ES_tradnl"/>
        </w:rPr>
        <w:footnoteRef/>
      </w:r>
      <w:r w:rsidR="00DF1101" w:rsidRPr="00DF1101">
        <w:rPr>
          <w:sz w:val="24"/>
          <w:lang w:val="es-ES_tradnl"/>
        </w:rPr>
        <w:t xml:space="preserve"> </w:t>
      </w:r>
      <w:r w:rsidR="00DF1101" w:rsidRPr="00DF1101">
        <w:rPr>
          <w:sz w:val="24"/>
          <w:lang w:val="es-ES_tradnl"/>
        </w:rPr>
        <w:tab/>
      </w:r>
      <w:r w:rsidRPr="00DF1101">
        <w:rPr>
          <w:sz w:val="24"/>
          <w:lang w:val="es-ES_tradnl"/>
        </w:rPr>
        <w:t>Decisión de Ejecución (UE) 2015/699 de la Comisión, de 24 de abril de 2015, por la que se autoriza la comercialización de productos que contengan, se compongan o se hayan producido a partir del algodón modificado genéticamente T304-40 (BCS-GHØØ4-7) con arreglo al Reglamento (CE) n.º 1829/2003 del Parlamento Europeo y del Consejo (DO L 112 de 30.4.2015, p. 77, ELI: </w:t>
      </w:r>
      <w:r w:rsidR="00C304D6">
        <w:fldChar w:fldCharType="begin"/>
      </w:r>
      <w:r w:rsidR="00C304D6" w:rsidRPr="00C304D6">
        <w:rPr>
          <w:lang w:val="es-ES_tradnl"/>
        </w:rPr>
        <w:instrText>HYPERLINK "http://data.europa.eu/eli/dec_impl/2015/699/oj"</w:instrText>
      </w:r>
      <w:r w:rsidR="00C304D6">
        <w:fldChar w:fldCharType="separate"/>
      </w:r>
      <w:r w:rsidRPr="00DF1101">
        <w:rPr>
          <w:rStyle w:val="Hyperlink"/>
          <w:sz w:val="24"/>
          <w:lang w:val="es-ES_tradnl"/>
        </w:rPr>
        <w:t>http://data.europa.eu/eli/dec_impl/2015/699/oj</w:t>
      </w:r>
      <w:r w:rsidR="00C304D6">
        <w:rPr>
          <w:rStyle w:val="Hyperlink"/>
          <w:sz w:val="24"/>
          <w:lang w:val="es-ES_tradnl"/>
        </w:rPr>
        <w:fldChar w:fldCharType="end"/>
      </w:r>
      <w:r w:rsidRPr="00DF1101">
        <w:rPr>
          <w:sz w:val="24"/>
          <w:lang w:val="es-ES_tradnl"/>
        </w:rPr>
        <w:t>).</w:t>
      </w:r>
    </w:p>
  </w:footnote>
  <w:footnote w:id="6">
    <w:p w14:paraId="65A96DC9" w14:textId="4B9FAD53" w:rsidR="00DE4D45" w:rsidRPr="00DF1101" w:rsidRDefault="00DE4D45" w:rsidP="00DF1101">
      <w:pPr>
        <w:pStyle w:val="FootnoteText"/>
        <w:ind w:left="567" w:hanging="567"/>
        <w:rPr>
          <w:sz w:val="24"/>
          <w:lang w:val="es-ES_tradnl"/>
        </w:rPr>
      </w:pPr>
      <w:r w:rsidRPr="00DF1101">
        <w:rPr>
          <w:rStyle w:val="FootnoteReference"/>
          <w:sz w:val="24"/>
          <w:lang w:val="es-ES_tradnl"/>
        </w:rPr>
        <w:footnoteRef/>
      </w:r>
      <w:r w:rsidR="00DF1101" w:rsidRPr="00DF1101">
        <w:rPr>
          <w:sz w:val="24"/>
          <w:lang w:val="es-ES_tradnl"/>
        </w:rPr>
        <w:t xml:space="preserve"> </w:t>
      </w:r>
      <w:r w:rsidR="00DF1101" w:rsidRPr="00DF1101">
        <w:rPr>
          <w:sz w:val="24"/>
          <w:lang w:val="es-ES_tradnl"/>
        </w:rPr>
        <w:tab/>
      </w:r>
      <w:r w:rsidRPr="00DF1101">
        <w:rPr>
          <w:sz w:val="24"/>
          <w:lang w:val="es-ES_tradnl"/>
        </w:rPr>
        <w:t>Decisión de Ejecución (UE) 2019/1195 de la Comisión, de 10 de julio de 2019, por la que se modifican las Decisiones 2008/730/CE, 2008/837/CE, 2009/184/CE, 2011/354/UE, las Decisiones de Ejecución 2012/81/UE, 2013/327/UE, (UE) 2015/690, (UE) 2015/697, (UE) 2015/699, (UE) 2016/1215, (UE) 2017/1208 y (UE) 2017/2451 en lo que respecta al titular de la autorización y a su representante para la comercialización de soja, algodón, colza y maíz modificados genéticamente (DO L 187 de 12.7.2019, p. 43, ELI: </w:t>
      </w:r>
      <w:r w:rsidR="00C304D6">
        <w:fldChar w:fldCharType="begin"/>
      </w:r>
      <w:r w:rsidR="00C304D6" w:rsidRPr="00C304D6">
        <w:rPr>
          <w:lang w:val="es-ES_tradnl"/>
        </w:rPr>
        <w:instrText>HYPERLINK "http://data.europa.eu/eli/dec_impl/2019/1195/oj" \o "Permite acceder a este documento mediante su ELI URI."</w:instrText>
      </w:r>
      <w:r w:rsidR="00C304D6">
        <w:fldChar w:fldCharType="separate"/>
      </w:r>
      <w:r w:rsidRPr="00DF1101">
        <w:rPr>
          <w:rStyle w:val="Hyperlink"/>
          <w:sz w:val="24"/>
          <w:lang w:val="es-ES_tradnl"/>
        </w:rPr>
        <w:t>http://data.europa.eu/eli/dec_impl/2019/1195/oj</w:t>
      </w:r>
      <w:r w:rsidR="00C304D6">
        <w:rPr>
          <w:rStyle w:val="Hyperlink"/>
          <w:sz w:val="24"/>
          <w:lang w:val="es-ES_tradnl"/>
        </w:rPr>
        <w:fldChar w:fldCharType="end"/>
      </w:r>
      <w:r w:rsidRPr="00DF1101">
        <w:rPr>
          <w:sz w:val="24"/>
          <w:lang w:val="es-ES_tradnl"/>
        </w:rPr>
        <w:t xml:space="preserve">). </w:t>
      </w:r>
    </w:p>
  </w:footnote>
  <w:footnote w:id="7">
    <w:p w14:paraId="2FE59651" w14:textId="2B2A9C97" w:rsidR="00DE4D45" w:rsidRPr="00DF1101" w:rsidRDefault="00DE4D45" w:rsidP="00DF1101">
      <w:pPr>
        <w:pStyle w:val="FootnoteText"/>
        <w:ind w:left="567" w:hanging="567"/>
        <w:rPr>
          <w:sz w:val="24"/>
          <w:lang w:val="es-ES_tradnl"/>
        </w:rPr>
      </w:pPr>
      <w:r w:rsidRPr="00DF1101">
        <w:rPr>
          <w:rStyle w:val="FootnoteReference"/>
          <w:sz w:val="24"/>
          <w:lang w:val="es-ES_tradnl"/>
        </w:rPr>
        <w:footnoteRef/>
      </w:r>
      <w:r w:rsidR="00DF1101" w:rsidRPr="00DF1101">
        <w:rPr>
          <w:sz w:val="24"/>
          <w:lang w:val="es-ES_tradnl"/>
        </w:rPr>
        <w:t xml:space="preserve"> </w:t>
      </w:r>
      <w:r w:rsidR="00DF1101" w:rsidRPr="00DF1101">
        <w:rPr>
          <w:sz w:val="24"/>
          <w:lang w:val="es-ES_tradnl"/>
        </w:rPr>
        <w:tab/>
      </w:r>
      <w:r w:rsidRPr="00DF1101">
        <w:rPr>
          <w:sz w:val="24"/>
          <w:lang w:val="es-ES_tradnl"/>
        </w:rPr>
        <w:t>Dictamen científico de la Comisión Técnica de Organismos Modificados Genéticamente de la EFSA titulado «</w:t>
      </w:r>
      <w:proofErr w:type="spellStart"/>
      <w:r w:rsidRPr="00DF1101">
        <w:rPr>
          <w:sz w:val="24"/>
          <w:lang w:val="es-ES_tradnl"/>
        </w:rPr>
        <w:t>Assessment</w:t>
      </w:r>
      <w:proofErr w:type="spellEnd"/>
      <w:r w:rsidRPr="00DF1101">
        <w:rPr>
          <w:sz w:val="24"/>
          <w:lang w:val="es-ES_tradnl"/>
        </w:rPr>
        <w:t xml:space="preserve"> </w:t>
      </w:r>
      <w:proofErr w:type="spellStart"/>
      <w:r w:rsidRPr="00DF1101">
        <w:rPr>
          <w:sz w:val="24"/>
          <w:lang w:val="es-ES_tradnl"/>
        </w:rPr>
        <w:t>of</w:t>
      </w:r>
      <w:proofErr w:type="spellEnd"/>
      <w:r w:rsidRPr="00DF1101">
        <w:rPr>
          <w:sz w:val="24"/>
          <w:lang w:val="es-ES_tradnl"/>
        </w:rPr>
        <w:t xml:space="preserve"> </w:t>
      </w:r>
      <w:proofErr w:type="spellStart"/>
      <w:r w:rsidRPr="00DF1101">
        <w:rPr>
          <w:sz w:val="24"/>
          <w:lang w:val="es-ES_tradnl"/>
        </w:rPr>
        <w:t>genetically</w:t>
      </w:r>
      <w:proofErr w:type="spellEnd"/>
      <w:r w:rsidRPr="00DF1101">
        <w:rPr>
          <w:sz w:val="24"/>
          <w:lang w:val="es-ES_tradnl"/>
        </w:rPr>
        <w:t xml:space="preserve"> </w:t>
      </w:r>
      <w:proofErr w:type="spellStart"/>
      <w:r w:rsidRPr="00DF1101">
        <w:rPr>
          <w:sz w:val="24"/>
          <w:lang w:val="es-ES_tradnl"/>
        </w:rPr>
        <w:t>modified</w:t>
      </w:r>
      <w:proofErr w:type="spellEnd"/>
      <w:r w:rsidRPr="00DF1101">
        <w:rPr>
          <w:sz w:val="24"/>
          <w:lang w:val="es-ES_tradnl"/>
        </w:rPr>
        <w:t xml:space="preserve"> </w:t>
      </w:r>
      <w:proofErr w:type="spellStart"/>
      <w:r w:rsidRPr="00DF1101">
        <w:rPr>
          <w:sz w:val="24"/>
          <w:lang w:val="es-ES_tradnl"/>
        </w:rPr>
        <w:t>cotton</w:t>
      </w:r>
      <w:proofErr w:type="spellEnd"/>
      <w:r w:rsidRPr="00DF1101">
        <w:rPr>
          <w:sz w:val="24"/>
          <w:lang w:val="es-ES_tradnl"/>
        </w:rPr>
        <w:t xml:space="preserve"> T304-40 </w:t>
      </w:r>
      <w:proofErr w:type="spellStart"/>
      <w:r w:rsidRPr="00DF1101">
        <w:rPr>
          <w:sz w:val="24"/>
          <w:lang w:val="es-ES_tradnl"/>
        </w:rPr>
        <w:t>for</w:t>
      </w:r>
      <w:proofErr w:type="spellEnd"/>
      <w:r w:rsidRPr="00DF1101">
        <w:rPr>
          <w:sz w:val="24"/>
          <w:lang w:val="es-ES_tradnl"/>
        </w:rPr>
        <w:t xml:space="preserve"> </w:t>
      </w:r>
      <w:proofErr w:type="spellStart"/>
      <w:r w:rsidRPr="00DF1101">
        <w:rPr>
          <w:sz w:val="24"/>
          <w:lang w:val="es-ES_tradnl"/>
        </w:rPr>
        <w:t>renewal</w:t>
      </w:r>
      <w:proofErr w:type="spellEnd"/>
      <w:r w:rsidRPr="00DF1101">
        <w:rPr>
          <w:sz w:val="24"/>
          <w:lang w:val="es-ES_tradnl"/>
        </w:rPr>
        <w:t xml:space="preserve"> </w:t>
      </w:r>
      <w:proofErr w:type="spellStart"/>
      <w:r w:rsidRPr="00DF1101">
        <w:rPr>
          <w:sz w:val="24"/>
          <w:lang w:val="es-ES_tradnl"/>
        </w:rPr>
        <w:t>authorisation</w:t>
      </w:r>
      <w:proofErr w:type="spellEnd"/>
      <w:r w:rsidRPr="00DF1101">
        <w:rPr>
          <w:sz w:val="24"/>
          <w:lang w:val="es-ES_tradnl"/>
        </w:rPr>
        <w:t xml:space="preserve"> </w:t>
      </w:r>
      <w:proofErr w:type="spellStart"/>
      <w:r w:rsidRPr="00DF1101">
        <w:rPr>
          <w:sz w:val="24"/>
          <w:lang w:val="es-ES_tradnl"/>
        </w:rPr>
        <w:t>under</w:t>
      </w:r>
      <w:proofErr w:type="spellEnd"/>
      <w:r w:rsidRPr="00DF1101">
        <w:rPr>
          <w:sz w:val="24"/>
          <w:lang w:val="es-ES_tradnl"/>
        </w:rPr>
        <w:t xml:space="preserve"> </w:t>
      </w:r>
      <w:proofErr w:type="spellStart"/>
      <w:r w:rsidRPr="00DF1101">
        <w:rPr>
          <w:sz w:val="24"/>
          <w:lang w:val="es-ES_tradnl"/>
        </w:rPr>
        <w:t>Regulation</w:t>
      </w:r>
      <w:proofErr w:type="spellEnd"/>
      <w:r w:rsidRPr="00DF1101">
        <w:rPr>
          <w:sz w:val="24"/>
          <w:lang w:val="es-ES_tradnl"/>
        </w:rPr>
        <w:t xml:space="preserve"> (EC) No 1829/2003 (dossier GMFF-2024-23010)» (Evaluación del algodón modificado genéticamente T304-40 para la renovación de la autorización en virtud del Reglamento (CE) n.º 1829/2003 [solicitud GMFF-2024-23010]), </w:t>
      </w:r>
      <w:r w:rsidRPr="00DF1101">
        <w:rPr>
          <w:i/>
          <w:sz w:val="24"/>
          <w:lang w:val="es-ES_tradnl"/>
        </w:rPr>
        <w:t xml:space="preserve">EFSA </w:t>
      </w:r>
      <w:proofErr w:type="spellStart"/>
      <w:r w:rsidRPr="00DF1101">
        <w:rPr>
          <w:i/>
          <w:sz w:val="24"/>
          <w:lang w:val="es-ES_tradnl"/>
        </w:rPr>
        <w:t>Journal</w:t>
      </w:r>
      <w:proofErr w:type="spellEnd"/>
      <w:r w:rsidRPr="00DF1101">
        <w:rPr>
          <w:sz w:val="24"/>
          <w:lang w:val="es-ES_tradnl"/>
        </w:rPr>
        <w:t xml:space="preserve"> 2025, 23(7):e9580, </w:t>
      </w:r>
      <w:r w:rsidR="00C304D6">
        <w:fldChar w:fldCharType="begin"/>
      </w:r>
      <w:r w:rsidR="00C304D6" w:rsidRPr="00C304D6">
        <w:rPr>
          <w:lang w:val="es-ES_tradnl"/>
        </w:rPr>
        <w:instrText>HYPERLINK "https://doi.org/10.2903/j.efsa.2025.9580"</w:instrText>
      </w:r>
      <w:r w:rsidR="00C304D6">
        <w:fldChar w:fldCharType="separate"/>
      </w:r>
      <w:r w:rsidRPr="00DF1101">
        <w:rPr>
          <w:sz w:val="24"/>
          <w:lang w:val="es-ES_tradnl"/>
        </w:rPr>
        <w:t>https://doi.org/10.2903/j.efsa.2025.9580</w:t>
      </w:r>
      <w:r w:rsidR="00C304D6">
        <w:rPr>
          <w:sz w:val="24"/>
          <w:lang w:val="es-ES_tradnl"/>
        </w:rPr>
        <w:fldChar w:fldCharType="end"/>
      </w:r>
      <w:r w:rsidRPr="00DF1101">
        <w:rPr>
          <w:sz w:val="24"/>
          <w:lang w:val="es-ES_tradnl"/>
        </w:rPr>
        <w:t>.</w:t>
      </w:r>
    </w:p>
  </w:footnote>
  <w:footnote w:id="8">
    <w:p w14:paraId="15C47EF0" w14:textId="1CC61D1B" w:rsidR="00DE4D45" w:rsidRPr="00DF1101" w:rsidRDefault="00DE4D45" w:rsidP="00DF1101">
      <w:pPr>
        <w:pStyle w:val="FootnoteText"/>
        <w:ind w:left="567" w:hanging="567"/>
        <w:rPr>
          <w:sz w:val="24"/>
          <w:lang w:val="es-ES_tradnl"/>
        </w:rPr>
      </w:pPr>
      <w:r w:rsidRPr="00DF1101">
        <w:rPr>
          <w:rStyle w:val="FootnoteReference"/>
          <w:sz w:val="24"/>
          <w:lang w:val="es-ES_tradnl"/>
        </w:rPr>
        <w:footnoteRef/>
      </w:r>
      <w:r w:rsidR="00DF1101" w:rsidRPr="00DF1101">
        <w:rPr>
          <w:sz w:val="24"/>
          <w:lang w:val="es-ES_tradnl"/>
        </w:rPr>
        <w:t xml:space="preserve"> </w:t>
      </w:r>
      <w:r w:rsidR="00DF1101" w:rsidRPr="00DF1101">
        <w:rPr>
          <w:sz w:val="24"/>
          <w:lang w:val="es-ES_tradnl"/>
        </w:rPr>
        <w:tab/>
      </w:r>
      <w:r w:rsidRPr="00DF1101">
        <w:rPr>
          <w:sz w:val="24"/>
          <w:lang w:val="es-ES_tradnl"/>
        </w:rPr>
        <w:t>Dictamen científico de la Comisión Técnica de Organismos Modificados Genéticamente de la EFSA titulado «</w:t>
      </w:r>
      <w:proofErr w:type="spellStart"/>
      <w:r w:rsidRPr="00DF1101">
        <w:rPr>
          <w:sz w:val="24"/>
          <w:lang w:val="es-ES_tradnl"/>
        </w:rPr>
        <w:t>Application</w:t>
      </w:r>
      <w:proofErr w:type="spellEnd"/>
      <w:r w:rsidRPr="00DF1101">
        <w:rPr>
          <w:sz w:val="24"/>
          <w:lang w:val="es-ES_tradnl"/>
        </w:rPr>
        <w:t xml:space="preserve"> EFSA-GMO-NL-2011-97 </w:t>
      </w:r>
      <w:proofErr w:type="spellStart"/>
      <w:r w:rsidRPr="00DF1101">
        <w:rPr>
          <w:sz w:val="24"/>
          <w:lang w:val="es-ES_tradnl"/>
        </w:rPr>
        <w:t>for</w:t>
      </w:r>
      <w:proofErr w:type="spellEnd"/>
      <w:r w:rsidRPr="00DF1101">
        <w:rPr>
          <w:sz w:val="24"/>
          <w:lang w:val="es-ES_tradnl"/>
        </w:rPr>
        <w:t xml:space="preserve"> </w:t>
      </w:r>
      <w:proofErr w:type="spellStart"/>
      <w:r w:rsidRPr="00DF1101">
        <w:rPr>
          <w:sz w:val="24"/>
          <w:lang w:val="es-ES_tradnl"/>
        </w:rPr>
        <w:t>the</w:t>
      </w:r>
      <w:proofErr w:type="spellEnd"/>
      <w:r w:rsidRPr="00DF1101">
        <w:rPr>
          <w:sz w:val="24"/>
          <w:lang w:val="es-ES_tradnl"/>
        </w:rPr>
        <w:t xml:space="preserve"> </w:t>
      </w:r>
      <w:proofErr w:type="spellStart"/>
      <w:r w:rsidRPr="00DF1101">
        <w:rPr>
          <w:sz w:val="24"/>
          <w:lang w:val="es-ES_tradnl"/>
        </w:rPr>
        <w:t>placing</w:t>
      </w:r>
      <w:proofErr w:type="spellEnd"/>
      <w:r w:rsidRPr="00DF1101">
        <w:rPr>
          <w:sz w:val="24"/>
          <w:lang w:val="es-ES_tradnl"/>
        </w:rPr>
        <w:t xml:space="preserve"> </w:t>
      </w:r>
      <w:proofErr w:type="spellStart"/>
      <w:r w:rsidRPr="00DF1101">
        <w:rPr>
          <w:sz w:val="24"/>
          <w:lang w:val="es-ES_tradnl"/>
        </w:rPr>
        <w:t>on</w:t>
      </w:r>
      <w:proofErr w:type="spellEnd"/>
      <w:r w:rsidRPr="00DF1101">
        <w:rPr>
          <w:sz w:val="24"/>
          <w:lang w:val="es-ES_tradnl"/>
        </w:rPr>
        <w:t xml:space="preserve"> </w:t>
      </w:r>
      <w:proofErr w:type="spellStart"/>
      <w:r w:rsidRPr="00DF1101">
        <w:rPr>
          <w:sz w:val="24"/>
          <w:lang w:val="es-ES_tradnl"/>
        </w:rPr>
        <w:t>the</w:t>
      </w:r>
      <w:proofErr w:type="spellEnd"/>
      <w:r w:rsidRPr="00DF1101">
        <w:rPr>
          <w:sz w:val="24"/>
          <w:lang w:val="es-ES_tradnl"/>
        </w:rPr>
        <w:t xml:space="preserve"> </w:t>
      </w:r>
      <w:proofErr w:type="spellStart"/>
      <w:r w:rsidRPr="00DF1101">
        <w:rPr>
          <w:sz w:val="24"/>
          <w:lang w:val="es-ES_tradnl"/>
        </w:rPr>
        <w:t>market</w:t>
      </w:r>
      <w:proofErr w:type="spellEnd"/>
      <w:r w:rsidRPr="00DF1101">
        <w:rPr>
          <w:sz w:val="24"/>
          <w:lang w:val="es-ES_tradnl"/>
        </w:rPr>
        <w:t xml:space="preserve"> </w:t>
      </w:r>
      <w:proofErr w:type="spellStart"/>
      <w:r w:rsidRPr="00DF1101">
        <w:rPr>
          <w:sz w:val="24"/>
          <w:lang w:val="es-ES_tradnl"/>
        </w:rPr>
        <w:t>of</w:t>
      </w:r>
      <w:proofErr w:type="spellEnd"/>
      <w:r w:rsidRPr="00DF1101">
        <w:rPr>
          <w:sz w:val="24"/>
          <w:lang w:val="es-ES_tradnl"/>
        </w:rPr>
        <w:t xml:space="preserve"> </w:t>
      </w:r>
      <w:proofErr w:type="spellStart"/>
      <w:r w:rsidRPr="00DF1101">
        <w:rPr>
          <w:sz w:val="24"/>
          <w:lang w:val="es-ES_tradnl"/>
        </w:rPr>
        <w:t>insect-resistant</w:t>
      </w:r>
      <w:proofErr w:type="spellEnd"/>
      <w:r w:rsidRPr="00DF1101">
        <w:rPr>
          <w:sz w:val="24"/>
          <w:lang w:val="es-ES_tradnl"/>
        </w:rPr>
        <w:t xml:space="preserve"> and </w:t>
      </w:r>
      <w:proofErr w:type="spellStart"/>
      <w:r w:rsidRPr="00DF1101">
        <w:rPr>
          <w:sz w:val="24"/>
          <w:lang w:val="es-ES_tradnl"/>
        </w:rPr>
        <w:t>herbicide-tolerant</w:t>
      </w:r>
      <w:proofErr w:type="spellEnd"/>
      <w:r w:rsidRPr="00DF1101">
        <w:rPr>
          <w:sz w:val="24"/>
          <w:lang w:val="es-ES_tradnl"/>
        </w:rPr>
        <w:t xml:space="preserve"> </w:t>
      </w:r>
      <w:proofErr w:type="spellStart"/>
      <w:r w:rsidRPr="00DF1101">
        <w:rPr>
          <w:sz w:val="24"/>
          <w:lang w:val="es-ES_tradnl"/>
        </w:rPr>
        <w:t>genetically</w:t>
      </w:r>
      <w:proofErr w:type="spellEnd"/>
      <w:r w:rsidRPr="00DF1101">
        <w:rPr>
          <w:sz w:val="24"/>
          <w:lang w:val="es-ES_tradnl"/>
        </w:rPr>
        <w:t xml:space="preserve"> </w:t>
      </w:r>
      <w:proofErr w:type="spellStart"/>
      <w:r w:rsidRPr="00DF1101">
        <w:rPr>
          <w:sz w:val="24"/>
          <w:lang w:val="es-ES_tradnl"/>
        </w:rPr>
        <w:t>modified</w:t>
      </w:r>
      <w:proofErr w:type="spellEnd"/>
      <w:r w:rsidRPr="00DF1101">
        <w:rPr>
          <w:sz w:val="24"/>
          <w:lang w:val="es-ES_tradnl"/>
        </w:rPr>
        <w:t xml:space="preserve"> </w:t>
      </w:r>
      <w:proofErr w:type="spellStart"/>
      <w:r w:rsidRPr="00DF1101">
        <w:rPr>
          <w:sz w:val="24"/>
          <w:lang w:val="es-ES_tradnl"/>
        </w:rPr>
        <w:t>cotton</w:t>
      </w:r>
      <w:proofErr w:type="spellEnd"/>
      <w:r w:rsidRPr="00DF1101">
        <w:rPr>
          <w:sz w:val="24"/>
          <w:lang w:val="es-ES_tradnl"/>
        </w:rPr>
        <w:t xml:space="preserve"> T304-40 </w:t>
      </w:r>
      <w:proofErr w:type="spellStart"/>
      <w:r w:rsidRPr="00DF1101">
        <w:rPr>
          <w:sz w:val="24"/>
          <w:lang w:val="es-ES_tradnl"/>
        </w:rPr>
        <w:t>for</w:t>
      </w:r>
      <w:proofErr w:type="spellEnd"/>
      <w:r w:rsidRPr="00DF1101">
        <w:rPr>
          <w:sz w:val="24"/>
          <w:lang w:val="es-ES_tradnl"/>
        </w:rPr>
        <w:t xml:space="preserve"> </w:t>
      </w:r>
      <w:proofErr w:type="spellStart"/>
      <w:r w:rsidRPr="00DF1101">
        <w:rPr>
          <w:sz w:val="24"/>
          <w:lang w:val="es-ES_tradnl"/>
        </w:rPr>
        <w:t>food</w:t>
      </w:r>
      <w:proofErr w:type="spellEnd"/>
      <w:r w:rsidRPr="00DF1101">
        <w:rPr>
          <w:sz w:val="24"/>
          <w:lang w:val="es-ES_tradnl"/>
        </w:rPr>
        <w:t xml:space="preserve"> and </w:t>
      </w:r>
      <w:proofErr w:type="spellStart"/>
      <w:r w:rsidRPr="00DF1101">
        <w:rPr>
          <w:sz w:val="24"/>
          <w:lang w:val="es-ES_tradnl"/>
        </w:rPr>
        <w:t>feed</w:t>
      </w:r>
      <w:proofErr w:type="spellEnd"/>
      <w:r w:rsidRPr="00DF1101">
        <w:rPr>
          <w:sz w:val="24"/>
          <w:lang w:val="es-ES_tradnl"/>
        </w:rPr>
        <w:t xml:space="preserve"> uses, </w:t>
      </w:r>
      <w:proofErr w:type="spellStart"/>
      <w:r w:rsidRPr="00DF1101">
        <w:rPr>
          <w:sz w:val="24"/>
          <w:lang w:val="es-ES_tradnl"/>
        </w:rPr>
        <w:t>import</w:t>
      </w:r>
      <w:proofErr w:type="spellEnd"/>
      <w:r w:rsidRPr="00DF1101">
        <w:rPr>
          <w:sz w:val="24"/>
          <w:lang w:val="es-ES_tradnl"/>
        </w:rPr>
        <w:t xml:space="preserve"> and </w:t>
      </w:r>
      <w:proofErr w:type="spellStart"/>
      <w:r w:rsidRPr="00DF1101">
        <w:rPr>
          <w:sz w:val="24"/>
          <w:lang w:val="es-ES_tradnl"/>
        </w:rPr>
        <w:t>processing</w:t>
      </w:r>
      <w:proofErr w:type="spellEnd"/>
      <w:r w:rsidRPr="00DF1101">
        <w:rPr>
          <w:sz w:val="24"/>
          <w:lang w:val="es-ES_tradnl"/>
        </w:rPr>
        <w:t xml:space="preserve"> </w:t>
      </w:r>
      <w:proofErr w:type="spellStart"/>
      <w:r w:rsidRPr="00DF1101">
        <w:rPr>
          <w:sz w:val="24"/>
          <w:lang w:val="es-ES_tradnl"/>
        </w:rPr>
        <w:t>under</w:t>
      </w:r>
      <w:proofErr w:type="spellEnd"/>
      <w:r w:rsidRPr="00DF1101">
        <w:rPr>
          <w:sz w:val="24"/>
          <w:lang w:val="es-ES_tradnl"/>
        </w:rPr>
        <w:t xml:space="preserve"> </w:t>
      </w:r>
      <w:proofErr w:type="spellStart"/>
      <w:r w:rsidRPr="00DF1101">
        <w:rPr>
          <w:sz w:val="24"/>
          <w:lang w:val="es-ES_tradnl"/>
        </w:rPr>
        <w:t>Regulation</w:t>
      </w:r>
      <w:proofErr w:type="spellEnd"/>
      <w:r w:rsidRPr="00DF1101">
        <w:rPr>
          <w:sz w:val="24"/>
          <w:lang w:val="es-ES_tradnl"/>
        </w:rPr>
        <w:t xml:space="preserve"> (EC) No 1829/2003 </w:t>
      </w:r>
      <w:proofErr w:type="spellStart"/>
      <w:r w:rsidRPr="00DF1101">
        <w:rPr>
          <w:sz w:val="24"/>
          <w:lang w:val="es-ES_tradnl"/>
        </w:rPr>
        <w:t>from</w:t>
      </w:r>
      <w:proofErr w:type="spellEnd"/>
      <w:r w:rsidRPr="00DF1101">
        <w:rPr>
          <w:sz w:val="24"/>
          <w:lang w:val="es-ES_tradnl"/>
        </w:rPr>
        <w:t xml:space="preserve"> Bayer </w:t>
      </w:r>
      <w:proofErr w:type="spellStart"/>
      <w:r w:rsidRPr="00DF1101">
        <w:rPr>
          <w:sz w:val="24"/>
          <w:lang w:val="es-ES_tradnl"/>
        </w:rPr>
        <w:t>CropScience</w:t>
      </w:r>
      <w:proofErr w:type="spellEnd"/>
      <w:r w:rsidRPr="00DF1101">
        <w:rPr>
          <w:sz w:val="24"/>
          <w:lang w:val="es-ES_tradnl"/>
        </w:rPr>
        <w:t xml:space="preserve"> AG» (Solicitud EFSA-GMO-NL-2010-77 de comercialización del algodón modificado genéticamente T304-40 resistente a insectos y tolerante a herbicidas para su uso en alimentos y piensos, importación y transformación con arreglo al Reglamento (CE) n.º 1829/2003, de Bayer </w:t>
      </w:r>
      <w:proofErr w:type="spellStart"/>
      <w:r w:rsidRPr="00DF1101">
        <w:rPr>
          <w:sz w:val="24"/>
          <w:lang w:val="es-ES_tradnl"/>
        </w:rPr>
        <w:t>CropScience</w:t>
      </w:r>
      <w:proofErr w:type="spellEnd"/>
      <w:r w:rsidRPr="00DF1101">
        <w:rPr>
          <w:sz w:val="24"/>
          <w:lang w:val="es-ES_tradnl"/>
        </w:rPr>
        <w:t xml:space="preserve"> AG), </w:t>
      </w:r>
      <w:r w:rsidRPr="00DF1101">
        <w:rPr>
          <w:i/>
          <w:sz w:val="24"/>
          <w:lang w:val="es-ES_tradnl"/>
        </w:rPr>
        <w:t xml:space="preserve">EFSA </w:t>
      </w:r>
      <w:proofErr w:type="spellStart"/>
      <w:r w:rsidRPr="00DF1101">
        <w:rPr>
          <w:i/>
          <w:sz w:val="24"/>
          <w:lang w:val="es-ES_tradnl"/>
        </w:rPr>
        <w:t>Journal</w:t>
      </w:r>
      <w:proofErr w:type="spellEnd"/>
      <w:r w:rsidRPr="00DF1101">
        <w:rPr>
          <w:sz w:val="24"/>
          <w:lang w:val="es-ES_tradnl"/>
        </w:rPr>
        <w:t xml:space="preserve"> 2013; 11(6):3251, </w:t>
      </w:r>
      <w:r w:rsidR="00C304D6">
        <w:fldChar w:fldCharType="begin"/>
      </w:r>
      <w:r w:rsidR="00C304D6" w:rsidRPr="00C304D6">
        <w:rPr>
          <w:lang w:val="es-ES_tradnl"/>
        </w:rPr>
        <w:instrText>HYPERLINK "https://doi.org/10.2903/j.efsa.2013.3251"</w:instrText>
      </w:r>
      <w:r w:rsidR="00C304D6">
        <w:fldChar w:fldCharType="separate"/>
      </w:r>
      <w:r w:rsidR="0031403F" w:rsidRPr="00B66F64">
        <w:rPr>
          <w:sz w:val="24"/>
          <w:lang w:val="es-ES_tradnl"/>
        </w:rPr>
        <w:t>https://doi.org/10.2903/j.efsa.2013.3251</w:t>
      </w:r>
      <w:r w:rsidR="00C304D6">
        <w:rPr>
          <w:sz w:val="24"/>
          <w:lang w:val="es-ES_tradnl"/>
        </w:rPr>
        <w:fldChar w:fldCharType="end"/>
      </w:r>
      <w:r w:rsidRPr="00DF1101">
        <w:rPr>
          <w:sz w:val="24"/>
          <w:lang w:val="es-ES_tradnl"/>
        </w:rPr>
        <w:t>.</w:t>
      </w:r>
    </w:p>
  </w:footnote>
  <w:footnote w:id="9">
    <w:p w14:paraId="2E468B0A" w14:textId="565B959F" w:rsidR="00DE4D45" w:rsidRPr="00DF1101" w:rsidRDefault="00DE4D45" w:rsidP="00DF1101">
      <w:pPr>
        <w:pStyle w:val="FootnoteText"/>
        <w:ind w:left="567" w:hanging="567"/>
        <w:rPr>
          <w:sz w:val="24"/>
          <w:lang w:val="es-ES_tradnl"/>
        </w:rPr>
      </w:pPr>
      <w:r w:rsidRPr="00DF1101">
        <w:rPr>
          <w:rStyle w:val="FootnoteReference"/>
          <w:sz w:val="24"/>
          <w:lang w:val="es-ES_tradnl"/>
        </w:rPr>
        <w:footnoteRef/>
      </w:r>
      <w:r w:rsidR="00DF1101" w:rsidRPr="00DF1101">
        <w:rPr>
          <w:sz w:val="24"/>
          <w:shd w:val="clear" w:color="auto" w:fill="FFFFFF"/>
          <w:lang w:val="es-ES_tradnl"/>
        </w:rPr>
        <w:t xml:space="preserve"> </w:t>
      </w:r>
      <w:r w:rsidR="00DF1101" w:rsidRPr="00DF1101">
        <w:rPr>
          <w:sz w:val="24"/>
          <w:shd w:val="clear" w:color="auto" w:fill="FFFFFF"/>
          <w:lang w:val="es-ES_tradnl"/>
        </w:rPr>
        <w:tab/>
      </w:r>
      <w:r w:rsidRPr="00DF1101">
        <w:rPr>
          <w:sz w:val="24"/>
          <w:shd w:val="clear" w:color="auto" w:fill="FFFFFF"/>
          <w:lang w:val="es-ES_tradnl"/>
        </w:rPr>
        <w:t xml:space="preserve">Véanse, por ejemplo, </w:t>
      </w:r>
      <w:proofErr w:type="spellStart"/>
      <w:r w:rsidRPr="00DF1101">
        <w:rPr>
          <w:sz w:val="24"/>
          <w:shd w:val="clear" w:color="auto" w:fill="FFFFFF"/>
          <w:lang w:val="es-ES_tradnl"/>
        </w:rPr>
        <w:t>Bonny</w:t>
      </w:r>
      <w:proofErr w:type="spellEnd"/>
      <w:r w:rsidRPr="00DF1101">
        <w:rPr>
          <w:sz w:val="24"/>
          <w:shd w:val="clear" w:color="auto" w:fill="FFFFFF"/>
          <w:lang w:val="es-ES_tradnl"/>
        </w:rPr>
        <w:t>, S., «</w:t>
      </w:r>
      <w:proofErr w:type="spellStart"/>
      <w:r w:rsidRPr="00DF1101">
        <w:rPr>
          <w:sz w:val="24"/>
          <w:shd w:val="clear" w:color="auto" w:fill="FFFFFF"/>
          <w:lang w:val="es-ES_tradnl"/>
        </w:rPr>
        <w:t>Genetically</w:t>
      </w:r>
      <w:proofErr w:type="spellEnd"/>
      <w:r w:rsidRPr="00DF1101">
        <w:rPr>
          <w:sz w:val="24"/>
          <w:shd w:val="clear" w:color="auto" w:fill="FFFFFF"/>
          <w:lang w:val="es-ES_tradnl"/>
        </w:rPr>
        <w:t xml:space="preserve"> </w:t>
      </w:r>
      <w:proofErr w:type="spellStart"/>
      <w:r w:rsidRPr="00DF1101">
        <w:rPr>
          <w:sz w:val="24"/>
          <w:shd w:val="clear" w:color="auto" w:fill="FFFFFF"/>
          <w:lang w:val="es-ES_tradnl"/>
        </w:rPr>
        <w:t>Modified</w:t>
      </w:r>
      <w:proofErr w:type="spellEnd"/>
      <w:r w:rsidRPr="00DF1101">
        <w:rPr>
          <w:sz w:val="24"/>
          <w:shd w:val="clear" w:color="auto" w:fill="FFFFFF"/>
          <w:lang w:val="es-ES_tradnl"/>
        </w:rPr>
        <w:t xml:space="preserve"> </w:t>
      </w:r>
      <w:proofErr w:type="spellStart"/>
      <w:r w:rsidRPr="00DF1101">
        <w:rPr>
          <w:sz w:val="24"/>
          <w:shd w:val="clear" w:color="auto" w:fill="FFFFFF"/>
          <w:lang w:val="es-ES_tradnl"/>
        </w:rPr>
        <w:t>Herbicide-Tolerant</w:t>
      </w:r>
      <w:proofErr w:type="spellEnd"/>
      <w:r w:rsidRPr="00DF1101">
        <w:rPr>
          <w:sz w:val="24"/>
          <w:shd w:val="clear" w:color="auto" w:fill="FFFFFF"/>
          <w:lang w:val="es-ES_tradnl"/>
        </w:rPr>
        <w:t xml:space="preserve"> </w:t>
      </w:r>
      <w:proofErr w:type="spellStart"/>
      <w:r w:rsidRPr="00DF1101">
        <w:rPr>
          <w:sz w:val="24"/>
          <w:shd w:val="clear" w:color="auto" w:fill="FFFFFF"/>
          <w:lang w:val="es-ES_tradnl"/>
        </w:rPr>
        <w:t>Crops</w:t>
      </w:r>
      <w:proofErr w:type="spellEnd"/>
      <w:r w:rsidRPr="00DF1101">
        <w:rPr>
          <w:sz w:val="24"/>
          <w:shd w:val="clear" w:color="auto" w:fill="FFFFFF"/>
          <w:lang w:val="es-ES_tradnl"/>
        </w:rPr>
        <w:t xml:space="preserve">, </w:t>
      </w:r>
      <w:proofErr w:type="spellStart"/>
      <w:r w:rsidRPr="00DF1101">
        <w:rPr>
          <w:sz w:val="24"/>
          <w:shd w:val="clear" w:color="auto" w:fill="FFFFFF"/>
          <w:lang w:val="es-ES_tradnl"/>
        </w:rPr>
        <w:t>Weeds</w:t>
      </w:r>
      <w:proofErr w:type="spellEnd"/>
      <w:r w:rsidRPr="00DF1101">
        <w:rPr>
          <w:sz w:val="24"/>
          <w:shd w:val="clear" w:color="auto" w:fill="FFFFFF"/>
          <w:lang w:val="es-ES_tradnl"/>
        </w:rPr>
        <w:t xml:space="preserve">, and </w:t>
      </w:r>
      <w:proofErr w:type="spellStart"/>
      <w:r w:rsidRPr="00DF1101">
        <w:rPr>
          <w:sz w:val="24"/>
          <w:shd w:val="clear" w:color="auto" w:fill="FFFFFF"/>
          <w:lang w:val="es-ES_tradnl"/>
        </w:rPr>
        <w:t>Herbicides</w:t>
      </w:r>
      <w:proofErr w:type="spellEnd"/>
      <w:r w:rsidRPr="00DF1101">
        <w:rPr>
          <w:sz w:val="24"/>
          <w:shd w:val="clear" w:color="auto" w:fill="FFFFFF"/>
          <w:lang w:val="es-ES_tradnl"/>
        </w:rPr>
        <w:t xml:space="preserve">: </w:t>
      </w:r>
      <w:proofErr w:type="spellStart"/>
      <w:r w:rsidRPr="00DF1101">
        <w:rPr>
          <w:sz w:val="24"/>
          <w:lang w:val="es-ES_tradnl"/>
        </w:rPr>
        <w:t>Overview</w:t>
      </w:r>
      <w:proofErr w:type="spellEnd"/>
      <w:r w:rsidRPr="00DF1101">
        <w:rPr>
          <w:sz w:val="24"/>
          <w:lang w:val="es-ES_tradnl"/>
        </w:rPr>
        <w:t xml:space="preserve"> and </w:t>
      </w:r>
      <w:proofErr w:type="spellStart"/>
      <w:r w:rsidRPr="00DF1101">
        <w:rPr>
          <w:sz w:val="24"/>
          <w:lang w:val="es-ES_tradnl"/>
        </w:rPr>
        <w:t>Impact</w:t>
      </w:r>
      <w:proofErr w:type="spellEnd"/>
      <w:r w:rsidRPr="00DF1101">
        <w:rPr>
          <w:sz w:val="24"/>
          <w:lang w:val="es-ES_tradnl"/>
        </w:rPr>
        <w:t xml:space="preserve">» (Cultivos modificados genéticamente tolerantes a los herbicidas, malas hierbas y herbicidas: visión de conjunto e impacto), </w:t>
      </w:r>
      <w:proofErr w:type="spellStart"/>
      <w:r w:rsidRPr="00DF1101">
        <w:rPr>
          <w:i/>
          <w:sz w:val="24"/>
          <w:lang w:val="es-ES_tradnl"/>
        </w:rPr>
        <w:t>Environmental</w:t>
      </w:r>
      <w:proofErr w:type="spellEnd"/>
      <w:r w:rsidRPr="00DF1101">
        <w:rPr>
          <w:i/>
          <w:sz w:val="24"/>
          <w:lang w:val="es-ES_tradnl"/>
        </w:rPr>
        <w:t xml:space="preserve"> Management</w:t>
      </w:r>
      <w:r w:rsidRPr="00DF1101">
        <w:rPr>
          <w:sz w:val="24"/>
          <w:lang w:val="es-ES_tradnl"/>
        </w:rPr>
        <w:t xml:space="preserve">, enero de 2016, 2016, 57(1), pp. 31-48, </w:t>
      </w:r>
      <w:r w:rsidR="00C304D6">
        <w:fldChar w:fldCharType="begin"/>
      </w:r>
      <w:r w:rsidR="00C304D6" w:rsidRPr="00C304D6">
        <w:rPr>
          <w:lang w:val="es-ES_tradnl"/>
        </w:rPr>
        <w:instrText>HYPERLINK "https://doi.org/10.1007/s00267-015-0589-7"</w:instrText>
      </w:r>
      <w:r w:rsidR="00C304D6">
        <w:fldChar w:fldCharType="separate"/>
      </w:r>
      <w:r w:rsidRPr="00DF1101">
        <w:rPr>
          <w:rStyle w:val="Hyperlink"/>
          <w:sz w:val="24"/>
          <w:shd w:val="clear" w:color="auto" w:fill="FFFFFF"/>
          <w:lang w:val="es-ES_tradnl"/>
        </w:rPr>
        <w:t>https://doi.org/10.1007/s00267-015-0589-7</w:t>
      </w:r>
      <w:r w:rsidR="00C304D6">
        <w:rPr>
          <w:rStyle w:val="Hyperlink"/>
          <w:sz w:val="24"/>
          <w:shd w:val="clear" w:color="auto" w:fill="FFFFFF"/>
          <w:lang w:val="es-ES_tradnl"/>
        </w:rPr>
        <w:fldChar w:fldCharType="end"/>
      </w:r>
      <w:r w:rsidRPr="00DF1101">
        <w:rPr>
          <w:sz w:val="24"/>
          <w:lang w:val="es-ES_tradnl"/>
        </w:rPr>
        <w:t xml:space="preserve"> y </w:t>
      </w:r>
      <w:proofErr w:type="spellStart"/>
      <w:r w:rsidRPr="00DF1101">
        <w:rPr>
          <w:sz w:val="24"/>
          <w:lang w:val="es-ES_tradnl"/>
        </w:rPr>
        <w:t>Benbrook</w:t>
      </w:r>
      <w:proofErr w:type="spellEnd"/>
      <w:r w:rsidRPr="00DF1101">
        <w:rPr>
          <w:sz w:val="24"/>
          <w:lang w:val="es-ES_tradnl"/>
        </w:rPr>
        <w:t>, C. M., «</w:t>
      </w:r>
      <w:proofErr w:type="spellStart"/>
      <w:r w:rsidRPr="00DF1101">
        <w:rPr>
          <w:sz w:val="24"/>
          <w:lang w:val="es-ES_tradnl"/>
        </w:rPr>
        <w:t>Impacts</w:t>
      </w:r>
      <w:proofErr w:type="spellEnd"/>
      <w:r w:rsidRPr="00DF1101">
        <w:rPr>
          <w:sz w:val="24"/>
          <w:lang w:val="es-ES_tradnl"/>
        </w:rPr>
        <w:t xml:space="preserve"> </w:t>
      </w:r>
      <w:proofErr w:type="spellStart"/>
      <w:r w:rsidRPr="00DF1101">
        <w:rPr>
          <w:sz w:val="24"/>
          <w:lang w:val="es-ES_tradnl"/>
        </w:rPr>
        <w:t>of</w:t>
      </w:r>
      <w:proofErr w:type="spellEnd"/>
      <w:r w:rsidRPr="00DF1101">
        <w:rPr>
          <w:sz w:val="24"/>
          <w:lang w:val="es-ES_tradnl"/>
        </w:rPr>
        <w:t xml:space="preserve"> </w:t>
      </w:r>
      <w:proofErr w:type="spellStart"/>
      <w:r w:rsidRPr="00DF1101">
        <w:rPr>
          <w:sz w:val="24"/>
          <w:lang w:val="es-ES_tradnl"/>
        </w:rPr>
        <w:t>genetically</w:t>
      </w:r>
      <w:proofErr w:type="spellEnd"/>
      <w:r w:rsidRPr="00DF1101">
        <w:rPr>
          <w:sz w:val="24"/>
          <w:lang w:val="es-ES_tradnl"/>
        </w:rPr>
        <w:t xml:space="preserve"> </w:t>
      </w:r>
      <w:proofErr w:type="spellStart"/>
      <w:r w:rsidRPr="00DF1101">
        <w:rPr>
          <w:sz w:val="24"/>
          <w:lang w:val="es-ES_tradnl"/>
        </w:rPr>
        <w:t>engineered</w:t>
      </w:r>
      <w:proofErr w:type="spellEnd"/>
      <w:r w:rsidRPr="00DF1101">
        <w:rPr>
          <w:sz w:val="24"/>
          <w:lang w:val="es-ES_tradnl"/>
        </w:rPr>
        <w:t xml:space="preserve"> </w:t>
      </w:r>
      <w:proofErr w:type="spellStart"/>
      <w:r w:rsidRPr="00DF1101">
        <w:rPr>
          <w:sz w:val="24"/>
          <w:lang w:val="es-ES_tradnl"/>
        </w:rPr>
        <w:t>crops</w:t>
      </w:r>
      <w:proofErr w:type="spellEnd"/>
      <w:r w:rsidRPr="00DF1101">
        <w:rPr>
          <w:sz w:val="24"/>
          <w:lang w:val="es-ES_tradnl"/>
        </w:rPr>
        <w:t xml:space="preserve"> </w:t>
      </w:r>
      <w:proofErr w:type="spellStart"/>
      <w:r w:rsidRPr="00DF1101">
        <w:rPr>
          <w:sz w:val="24"/>
          <w:lang w:val="es-ES_tradnl"/>
        </w:rPr>
        <w:t>on</w:t>
      </w:r>
      <w:proofErr w:type="spellEnd"/>
      <w:r w:rsidRPr="00DF1101">
        <w:rPr>
          <w:sz w:val="24"/>
          <w:lang w:val="es-ES_tradnl"/>
        </w:rPr>
        <w:t xml:space="preserve"> </w:t>
      </w:r>
      <w:proofErr w:type="spellStart"/>
      <w:r w:rsidRPr="00DF1101">
        <w:rPr>
          <w:sz w:val="24"/>
          <w:lang w:val="es-ES_tradnl"/>
        </w:rPr>
        <w:t>pesticide</w:t>
      </w:r>
      <w:proofErr w:type="spellEnd"/>
      <w:r w:rsidRPr="00DF1101">
        <w:rPr>
          <w:sz w:val="24"/>
          <w:lang w:val="es-ES_tradnl"/>
        </w:rPr>
        <w:t xml:space="preserve"> use in </w:t>
      </w:r>
      <w:proofErr w:type="spellStart"/>
      <w:r w:rsidRPr="00DF1101">
        <w:rPr>
          <w:sz w:val="24"/>
          <w:lang w:val="es-ES_tradnl"/>
        </w:rPr>
        <w:t>the</w:t>
      </w:r>
      <w:proofErr w:type="spellEnd"/>
      <w:r w:rsidRPr="00DF1101">
        <w:rPr>
          <w:sz w:val="24"/>
          <w:lang w:val="es-ES_tradnl"/>
        </w:rPr>
        <w:t xml:space="preserve"> U.S. - </w:t>
      </w:r>
      <w:proofErr w:type="spellStart"/>
      <w:r w:rsidRPr="00DF1101">
        <w:rPr>
          <w:sz w:val="24"/>
          <w:lang w:val="es-ES_tradnl"/>
        </w:rPr>
        <w:t>the</w:t>
      </w:r>
      <w:proofErr w:type="spellEnd"/>
      <w:r w:rsidRPr="00DF1101">
        <w:rPr>
          <w:sz w:val="24"/>
          <w:lang w:val="es-ES_tradnl"/>
        </w:rPr>
        <w:t xml:space="preserve"> </w:t>
      </w:r>
      <w:proofErr w:type="spellStart"/>
      <w:r w:rsidRPr="00DF1101">
        <w:rPr>
          <w:sz w:val="24"/>
          <w:lang w:val="es-ES_tradnl"/>
        </w:rPr>
        <w:t>first</w:t>
      </w:r>
      <w:proofErr w:type="spellEnd"/>
      <w:r w:rsidRPr="00DF1101">
        <w:rPr>
          <w:sz w:val="24"/>
          <w:lang w:val="es-ES_tradnl"/>
        </w:rPr>
        <w:t xml:space="preserve"> </w:t>
      </w:r>
      <w:proofErr w:type="spellStart"/>
      <w:r w:rsidRPr="00DF1101">
        <w:rPr>
          <w:sz w:val="24"/>
          <w:lang w:val="es-ES_tradnl"/>
        </w:rPr>
        <w:t>sixteen</w:t>
      </w:r>
      <w:proofErr w:type="spellEnd"/>
      <w:r w:rsidRPr="00DF1101">
        <w:rPr>
          <w:sz w:val="24"/>
          <w:lang w:val="es-ES_tradnl"/>
        </w:rPr>
        <w:t xml:space="preserve"> </w:t>
      </w:r>
      <w:proofErr w:type="spellStart"/>
      <w:r w:rsidRPr="00DF1101">
        <w:rPr>
          <w:sz w:val="24"/>
          <w:lang w:val="es-ES_tradnl"/>
        </w:rPr>
        <w:t>years</w:t>
      </w:r>
      <w:proofErr w:type="spellEnd"/>
      <w:r w:rsidRPr="00DF1101">
        <w:rPr>
          <w:sz w:val="24"/>
          <w:lang w:val="es-ES_tradnl"/>
        </w:rPr>
        <w:t>» (El impacto de los cultivos modificados genéticamente en el uso de plaguicidas en los EE. UU.: los dieciséis primeros años),</w:t>
      </w:r>
      <w:r w:rsidRPr="00DF1101">
        <w:rPr>
          <w:i/>
          <w:sz w:val="24"/>
          <w:lang w:val="es-ES_tradnl"/>
        </w:rPr>
        <w:t xml:space="preserve"> </w:t>
      </w:r>
      <w:proofErr w:type="spellStart"/>
      <w:r w:rsidRPr="00DF1101">
        <w:rPr>
          <w:i/>
          <w:sz w:val="24"/>
          <w:lang w:val="es-ES_tradnl"/>
        </w:rPr>
        <w:t>Environmental</w:t>
      </w:r>
      <w:proofErr w:type="spellEnd"/>
      <w:r w:rsidRPr="00DF1101">
        <w:rPr>
          <w:i/>
          <w:sz w:val="24"/>
          <w:lang w:val="es-ES_tradnl"/>
        </w:rPr>
        <w:t xml:space="preserve"> </w:t>
      </w:r>
      <w:proofErr w:type="spellStart"/>
      <w:r w:rsidRPr="00DF1101">
        <w:rPr>
          <w:i/>
          <w:sz w:val="24"/>
          <w:lang w:val="es-ES_tradnl"/>
        </w:rPr>
        <w:t>Sciences</w:t>
      </w:r>
      <w:proofErr w:type="spellEnd"/>
      <w:r w:rsidRPr="00DF1101">
        <w:rPr>
          <w:i/>
          <w:sz w:val="24"/>
          <w:lang w:val="es-ES_tradnl"/>
        </w:rPr>
        <w:t xml:space="preserve"> </w:t>
      </w:r>
      <w:proofErr w:type="spellStart"/>
      <w:r w:rsidRPr="00DF1101">
        <w:rPr>
          <w:i/>
          <w:sz w:val="24"/>
          <w:lang w:val="es-ES_tradnl"/>
        </w:rPr>
        <w:t>Europe</w:t>
      </w:r>
      <w:proofErr w:type="spellEnd"/>
      <w:r w:rsidRPr="00DF1101">
        <w:rPr>
          <w:sz w:val="24"/>
          <w:lang w:val="es-ES_tradnl"/>
        </w:rPr>
        <w:t xml:space="preserve">, 28 de septiembre de 2012, vol. 24(1), </w:t>
      </w:r>
      <w:hyperlink r:id="rId1" w:history="1">
        <w:r w:rsidRPr="00DF1101">
          <w:rPr>
            <w:rStyle w:val="Hyperlink"/>
            <w:sz w:val="24"/>
            <w:shd w:val="clear" w:color="auto" w:fill="FFFFFF"/>
            <w:lang w:val="es-ES_tradnl"/>
          </w:rPr>
          <w:t>https://doi.org/10.1186/2190-4715-24-24</w:t>
        </w:r>
      </w:hyperlink>
      <w:r w:rsidRPr="00DF1101">
        <w:rPr>
          <w:sz w:val="24"/>
          <w:lang w:val="es-ES_tradnl"/>
        </w:rPr>
        <w:t>.</w:t>
      </w:r>
      <w:r w:rsidRPr="00DF1101">
        <w:rPr>
          <w:sz w:val="24"/>
          <w:shd w:val="clear" w:color="auto" w:fill="FFFFFF"/>
          <w:lang w:val="es-ES_tradnl"/>
        </w:rPr>
        <w:t xml:space="preserve"> </w:t>
      </w:r>
    </w:p>
  </w:footnote>
  <w:footnote w:id="10">
    <w:p w14:paraId="6350CDE8" w14:textId="5FE85E6D" w:rsidR="00DE4D45" w:rsidRPr="00DF1101" w:rsidRDefault="00DE4D45" w:rsidP="00DF1101">
      <w:pPr>
        <w:pStyle w:val="FootnoteText"/>
        <w:ind w:left="567" w:hanging="567"/>
        <w:rPr>
          <w:sz w:val="24"/>
          <w:vertAlign w:val="superscript"/>
          <w:lang w:val="es-ES_tradnl"/>
        </w:rPr>
      </w:pPr>
      <w:r w:rsidRPr="00DF1101">
        <w:rPr>
          <w:rStyle w:val="FootnoteReference"/>
          <w:sz w:val="24"/>
          <w:lang w:val="es-ES_tradnl"/>
        </w:rPr>
        <w:footnoteRef/>
      </w:r>
      <w:r w:rsidR="00DF1101" w:rsidRPr="00DF1101">
        <w:rPr>
          <w:sz w:val="24"/>
          <w:lang w:val="es-ES_tradnl"/>
        </w:rPr>
        <w:t xml:space="preserve"> </w:t>
      </w:r>
      <w:r w:rsidR="00DF1101" w:rsidRPr="00DF1101">
        <w:rPr>
          <w:sz w:val="24"/>
          <w:lang w:val="es-ES_tradnl"/>
        </w:rPr>
        <w:tab/>
      </w:r>
      <w:r w:rsidRPr="00DF1101">
        <w:rPr>
          <w:sz w:val="24"/>
          <w:lang w:val="es-ES_tradnl"/>
        </w:rPr>
        <w:t xml:space="preserve">Véanse, por ejemplo: </w:t>
      </w:r>
    </w:p>
    <w:p w14:paraId="2DF81DDE" w14:textId="707B5D9B" w:rsidR="00DE4D45" w:rsidRPr="00DF1101" w:rsidRDefault="00DF1101" w:rsidP="00DF1101">
      <w:pPr>
        <w:pStyle w:val="FootnoteText"/>
        <w:ind w:left="567" w:hanging="567"/>
        <w:rPr>
          <w:rStyle w:val="Hyperlink"/>
          <w:sz w:val="24"/>
          <w:vertAlign w:val="superscript"/>
          <w:lang w:val="es-ES_tradnl"/>
        </w:rPr>
      </w:pPr>
      <w:r w:rsidRPr="00DF1101">
        <w:rPr>
          <w:sz w:val="24"/>
          <w:lang w:val="es-ES_tradnl"/>
        </w:rPr>
        <w:t xml:space="preserve"> </w:t>
      </w:r>
      <w:r w:rsidRPr="00DF1101">
        <w:rPr>
          <w:sz w:val="24"/>
          <w:lang w:val="es-ES_tradnl"/>
        </w:rPr>
        <w:tab/>
      </w:r>
      <w:r w:rsidR="00C304D6">
        <w:fldChar w:fldCharType="begin"/>
      </w:r>
      <w:r w:rsidR="00C304D6" w:rsidRPr="00C304D6">
        <w:rPr>
          <w:lang w:val="es-ES_tradnl"/>
        </w:rPr>
        <w:instrText>HYPERLINK "https://doi.org/10.1002/ps.8105"</w:instrText>
      </w:r>
      <w:r w:rsidR="00C304D6">
        <w:fldChar w:fldCharType="separate"/>
      </w:r>
      <w:r w:rsidR="00DE4D45" w:rsidRPr="00DF1101">
        <w:rPr>
          <w:rStyle w:val="Hyperlink"/>
          <w:sz w:val="24"/>
          <w:lang w:val="es-ES_tradnl"/>
        </w:rPr>
        <w:t>https://doi.org/10.1002/ps.8105</w:t>
      </w:r>
      <w:r w:rsidR="00C304D6">
        <w:rPr>
          <w:rStyle w:val="Hyperlink"/>
          <w:sz w:val="24"/>
          <w:lang w:val="es-ES_tradnl"/>
        </w:rPr>
        <w:fldChar w:fldCharType="end"/>
      </w:r>
      <w:r w:rsidR="00DE4D45" w:rsidRPr="00DF1101">
        <w:rPr>
          <w:sz w:val="24"/>
          <w:lang w:val="es-ES_tradnl"/>
        </w:rPr>
        <w:t xml:space="preserve"> y</w:t>
      </w:r>
    </w:p>
    <w:p w14:paraId="229E864C" w14:textId="47C2E444" w:rsidR="00DE4D45" w:rsidRPr="00DF1101" w:rsidRDefault="00DF1101" w:rsidP="00DF1101">
      <w:pPr>
        <w:pStyle w:val="FootnoteText"/>
        <w:ind w:left="567" w:hanging="567"/>
        <w:rPr>
          <w:sz w:val="24"/>
          <w:lang w:val="es-ES_tradnl"/>
        </w:rPr>
      </w:pPr>
      <w:r w:rsidRPr="00DF1101">
        <w:rPr>
          <w:sz w:val="24"/>
          <w:lang w:val="es-ES_tradnl"/>
        </w:rPr>
        <w:t xml:space="preserve"> </w:t>
      </w:r>
      <w:r w:rsidRPr="00DF1101">
        <w:rPr>
          <w:sz w:val="24"/>
          <w:lang w:val="es-ES_tradnl"/>
        </w:rPr>
        <w:tab/>
      </w:r>
      <w:hyperlink r:id="rId2" w:history="1">
        <w:r w:rsidR="00DE4D45" w:rsidRPr="00DF1101">
          <w:rPr>
            <w:rStyle w:val="Hyperlink"/>
            <w:sz w:val="24"/>
            <w:lang w:val="es-ES_tradnl"/>
          </w:rPr>
          <w:t>https://doi.org/10.1016/j.geoforum.2009.03.009</w:t>
        </w:r>
      </w:hyperlink>
      <w:r w:rsidR="00DE4D45" w:rsidRPr="00DF1101">
        <w:rPr>
          <w:sz w:val="24"/>
          <w:lang w:val="es-ES_tradnl"/>
        </w:rPr>
        <w:t>.</w:t>
      </w:r>
    </w:p>
  </w:footnote>
  <w:footnote w:id="11">
    <w:p w14:paraId="3692D160" w14:textId="1DF1D464" w:rsidR="00DE4D45" w:rsidRPr="00DF1101" w:rsidRDefault="00DE4D45" w:rsidP="00DF1101">
      <w:pPr>
        <w:pStyle w:val="FootnoteText"/>
        <w:ind w:left="567" w:hanging="567"/>
        <w:rPr>
          <w:sz w:val="24"/>
          <w:lang w:val="es-ES_tradnl"/>
        </w:rPr>
      </w:pPr>
      <w:r w:rsidRPr="00DF1101">
        <w:rPr>
          <w:rStyle w:val="FootnoteReference"/>
          <w:sz w:val="24"/>
          <w:lang w:val="es-ES_tradnl"/>
        </w:rPr>
        <w:footnoteRef/>
      </w:r>
      <w:r w:rsidR="00DF1101" w:rsidRPr="00DF1101">
        <w:rPr>
          <w:sz w:val="24"/>
          <w:lang w:val="es-ES_tradnl"/>
        </w:rPr>
        <w:t xml:space="preserve"> </w:t>
      </w:r>
      <w:r w:rsidR="00DF1101" w:rsidRPr="00DF1101">
        <w:rPr>
          <w:sz w:val="24"/>
          <w:lang w:val="es-ES_tradnl"/>
        </w:rPr>
        <w:tab/>
      </w:r>
      <w:r w:rsidRPr="00DF1101">
        <w:rPr>
          <w:sz w:val="24"/>
          <w:lang w:val="es-ES_tradnl"/>
        </w:rPr>
        <w:t>Reglamento (CE) n.º 1107/2009 del Parlamento Europeo y del Consejo, de 21 de octubre de 2009, relativo a la comercialización de productos fitosanitarios y por el que se derogan las Directivas 79/117/CEE y 91/414/CEE del Consejo (DO L 309 de 24.11.2009, p. 1, ELI: </w:t>
      </w:r>
      <w:r w:rsidR="00C304D6">
        <w:fldChar w:fldCharType="begin"/>
      </w:r>
      <w:r w:rsidR="00C304D6" w:rsidRPr="00C304D6">
        <w:rPr>
          <w:lang w:val="es-ES_tradnl"/>
        </w:rPr>
        <w:instrText>HYPERLINK "http://data.europa.eu/eli/reg/2009/1107/oj"</w:instrText>
      </w:r>
      <w:r w:rsidR="00C304D6">
        <w:fldChar w:fldCharType="separate"/>
      </w:r>
      <w:r w:rsidRPr="00DF1101">
        <w:rPr>
          <w:rStyle w:val="Hyperlink"/>
          <w:sz w:val="24"/>
          <w:lang w:val="es-ES_tradnl"/>
        </w:rPr>
        <w:t>http://data.europa.eu/eli/reg/2009/1107/oj</w:t>
      </w:r>
      <w:r w:rsidR="00C304D6">
        <w:rPr>
          <w:rStyle w:val="Hyperlink"/>
          <w:sz w:val="24"/>
          <w:lang w:val="es-ES_tradnl"/>
        </w:rPr>
        <w:fldChar w:fldCharType="end"/>
      </w:r>
      <w:r w:rsidRPr="00DF1101">
        <w:rPr>
          <w:sz w:val="24"/>
          <w:lang w:val="es-ES_tradnl"/>
        </w:rPr>
        <w:t>).</w:t>
      </w:r>
    </w:p>
  </w:footnote>
  <w:footnote w:id="12">
    <w:p w14:paraId="39771975" w14:textId="6BC75571" w:rsidR="00DE4D45" w:rsidRPr="00DF1101" w:rsidRDefault="00DE4D45" w:rsidP="00DF1101">
      <w:pPr>
        <w:pStyle w:val="FootnoteText"/>
        <w:ind w:left="567" w:hanging="567"/>
        <w:rPr>
          <w:sz w:val="24"/>
          <w:lang w:val="es-ES_tradnl"/>
        </w:rPr>
      </w:pPr>
      <w:r w:rsidRPr="00DF1101">
        <w:rPr>
          <w:rStyle w:val="FootnoteReference"/>
          <w:sz w:val="24"/>
          <w:lang w:val="es-ES_tradnl"/>
        </w:rPr>
        <w:footnoteRef/>
      </w:r>
      <w:r w:rsidR="00DF1101" w:rsidRPr="00DF1101">
        <w:rPr>
          <w:sz w:val="24"/>
          <w:lang w:val="es-ES_tradnl"/>
        </w:rPr>
        <w:t xml:space="preserve"> </w:t>
      </w:r>
      <w:r w:rsidR="00DF1101" w:rsidRPr="00DF1101">
        <w:rPr>
          <w:sz w:val="24"/>
          <w:lang w:val="es-ES_tradnl"/>
        </w:rPr>
        <w:tab/>
      </w:r>
      <w:r w:rsidRPr="00DF1101">
        <w:rPr>
          <w:sz w:val="24"/>
          <w:lang w:val="es-ES_tradnl"/>
        </w:rPr>
        <w:t>En diciembre de 2022 se acordó el Marco Mundial de Biodiversidad en la CP 15 del Convenio de las Naciones Unidas sobre la Diversidad Biológica, que incluye un objetivo mundial de reducción del riesgo de plaguicidas en al menos un 50 % de aquí a 2030 (véase:</w:t>
      </w:r>
      <w:r w:rsidRPr="00DF1101">
        <w:rPr>
          <w:color w:val="000000" w:themeColor="text1"/>
          <w:sz w:val="24"/>
          <w:lang w:val="es-ES_tradnl"/>
        </w:rPr>
        <w:t xml:space="preserve"> </w:t>
      </w:r>
      <w:r w:rsidR="00C304D6">
        <w:fldChar w:fldCharType="begin"/>
      </w:r>
      <w:r w:rsidR="00C304D6" w:rsidRPr="00C304D6">
        <w:rPr>
          <w:lang w:val="es-ES_tradnl"/>
        </w:rPr>
        <w:instrText>HYPERLINK "https://ec.europa.eu/commission/presscorner/detail/es/ip_22_7834"</w:instrText>
      </w:r>
      <w:r w:rsidR="00C304D6">
        <w:fldChar w:fldCharType="separate"/>
      </w:r>
      <w:r w:rsidRPr="00DF1101">
        <w:rPr>
          <w:rStyle w:val="Hyperlink"/>
          <w:sz w:val="24"/>
          <w:lang w:val="es-ES_tradnl"/>
        </w:rPr>
        <w:t>https://ec.europa.eu/commission/presscorner/detail/es/ip_22_7834</w:t>
      </w:r>
      <w:r w:rsidR="00C304D6">
        <w:rPr>
          <w:rStyle w:val="Hyperlink"/>
          <w:sz w:val="24"/>
          <w:lang w:val="es-ES_tradnl"/>
        </w:rPr>
        <w:fldChar w:fldCharType="end"/>
      </w:r>
      <w:r w:rsidRPr="00DF1101">
        <w:rPr>
          <w:sz w:val="24"/>
          <w:lang w:val="es-ES_tradnl"/>
        </w:rPr>
        <w:t xml:space="preserve">). </w:t>
      </w:r>
    </w:p>
  </w:footnote>
  <w:footnote w:id="13">
    <w:p w14:paraId="29185F38" w14:textId="3E026CDC" w:rsidR="00DE4D45" w:rsidRPr="00DF1101" w:rsidRDefault="00DE4D45" w:rsidP="00DF1101">
      <w:pPr>
        <w:pStyle w:val="FootnoteText"/>
        <w:ind w:left="567" w:hanging="567"/>
        <w:rPr>
          <w:sz w:val="24"/>
          <w:lang w:val="es-ES_tradnl"/>
        </w:rPr>
      </w:pPr>
      <w:r w:rsidRPr="00DF1101">
        <w:rPr>
          <w:rStyle w:val="FootnoteReference"/>
          <w:sz w:val="24"/>
          <w:lang w:val="es-ES_tradnl"/>
        </w:rPr>
        <w:footnoteRef/>
      </w:r>
      <w:r w:rsidR="00DF1101" w:rsidRPr="00DF1101">
        <w:rPr>
          <w:sz w:val="24"/>
          <w:lang w:val="es-ES_tradnl"/>
        </w:rPr>
        <w:t xml:space="preserve"> </w:t>
      </w:r>
      <w:r w:rsidR="00DF1101" w:rsidRPr="00DF1101">
        <w:rPr>
          <w:sz w:val="24"/>
          <w:lang w:val="es-ES_tradnl"/>
        </w:rPr>
        <w:tab/>
      </w:r>
      <w:r w:rsidR="00C304D6">
        <w:fldChar w:fldCharType="begin"/>
      </w:r>
      <w:r w:rsidR="00C304D6" w:rsidRPr="00C304D6">
        <w:rPr>
          <w:lang w:val="es-ES_tradnl"/>
        </w:rPr>
        <w:instrText>HYPERLINK "https://commission.europa.eu/topics/agriculture-and-rural-development/strategic-dialogue-future-eu-agriculture_es"</w:instrText>
      </w:r>
      <w:r w:rsidR="00C304D6">
        <w:fldChar w:fldCharType="separate"/>
      </w:r>
      <w:r w:rsidRPr="00DF1101">
        <w:rPr>
          <w:rStyle w:val="Hyperlink"/>
          <w:sz w:val="24"/>
          <w:lang w:val="es-ES_tradnl"/>
        </w:rPr>
        <w:t>https://commission.europa.eu/strategy-and-policy/priorities-2019-2024/european-green-deal/agriculture-and-green-deal/strategic-dialogue-future-eu-agriculture_es</w:t>
      </w:r>
      <w:r w:rsidR="00C304D6">
        <w:rPr>
          <w:rStyle w:val="Hyperlink"/>
          <w:sz w:val="24"/>
          <w:lang w:val="es-ES_tradnl"/>
        </w:rPr>
        <w:fldChar w:fldCharType="end"/>
      </w:r>
      <w:r w:rsidRPr="00DF1101">
        <w:rPr>
          <w:sz w:val="24"/>
          <w:lang w:val="es-ES_tradnl"/>
        </w:rPr>
        <w:t xml:space="preserve">. </w:t>
      </w:r>
    </w:p>
  </w:footnote>
  <w:footnote w:id="14">
    <w:p w14:paraId="2709A649" w14:textId="6A4A1592" w:rsidR="00DE4D45" w:rsidRPr="00DF1101" w:rsidRDefault="00DE4D45" w:rsidP="00DF1101">
      <w:pPr>
        <w:pStyle w:val="FootnoteText"/>
        <w:ind w:left="567" w:hanging="567"/>
        <w:rPr>
          <w:sz w:val="24"/>
          <w:lang w:val="es-ES_tradnl"/>
        </w:rPr>
      </w:pPr>
      <w:r w:rsidRPr="00DF1101">
        <w:rPr>
          <w:rStyle w:val="FootnoteReference"/>
          <w:sz w:val="24"/>
          <w:lang w:val="es-ES_tradnl"/>
        </w:rPr>
        <w:footnoteRef/>
      </w:r>
      <w:r w:rsidR="00DF1101" w:rsidRPr="00DF1101">
        <w:rPr>
          <w:sz w:val="24"/>
          <w:lang w:val="es-ES_tradnl"/>
        </w:rPr>
        <w:t xml:space="preserve"> </w:t>
      </w:r>
      <w:r w:rsidR="00DF1101" w:rsidRPr="00DF1101">
        <w:rPr>
          <w:sz w:val="24"/>
          <w:lang w:val="es-ES_tradnl"/>
        </w:rPr>
        <w:tab/>
      </w:r>
      <w:r w:rsidRPr="00DF1101">
        <w:rPr>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w:t>
      </w:r>
      <w:r w:rsidRPr="00DF1101">
        <w:rPr>
          <w:color w:val="000000" w:themeColor="text1"/>
          <w:sz w:val="24"/>
          <w:lang w:val="es-ES_tradnl"/>
        </w:rPr>
        <w:t> </w:t>
      </w:r>
      <w:r w:rsidR="00C304D6">
        <w:fldChar w:fldCharType="begin"/>
      </w:r>
      <w:r w:rsidR="00C304D6" w:rsidRPr="00C304D6">
        <w:rPr>
          <w:lang w:val="es-ES_tradnl"/>
        </w:rPr>
        <w:instrText>HYPERLINK "http://data.europa.eu/eli/reg/2002/178/oj" \t "Gives access to this document through its ELI URI."</w:instrText>
      </w:r>
      <w:r w:rsidR="00C304D6">
        <w:fldChar w:fldCharType="separate"/>
      </w:r>
      <w:r w:rsidRPr="00DF1101">
        <w:rPr>
          <w:rStyle w:val="Hyperlink"/>
          <w:color w:val="0070C0"/>
          <w:sz w:val="24"/>
          <w:lang w:val="es-ES_tradnl"/>
        </w:rPr>
        <w:t>http://data.europa.eu/eli/reg/2002/178/oj</w:t>
      </w:r>
      <w:r w:rsidR="00C304D6">
        <w:rPr>
          <w:rStyle w:val="Hyperlink"/>
          <w:color w:val="0070C0"/>
          <w:sz w:val="24"/>
          <w:lang w:val="es-ES_tradnl"/>
        </w:rPr>
        <w:fldChar w:fldCharType="end"/>
      </w:r>
      <w:r w:rsidRPr="00DF1101">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8C7C6" w14:textId="77777777" w:rsidR="00064002" w:rsidRPr="00DF11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CB24E" w14:textId="77777777" w:rsidR="00064002" w:rsidRPr="00DF11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DDCE7" w14:textId="77777777" w:rsidR="00064002" w:rsidRPr="00DF11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7313154">
    <w:abstractNumId w:val="9"/>
  </w:num>
  <w:num w:numId="2" w16cid:durableId="486359862">
    <w:abstractNumId w:val="9"/>
  </w:num>
  <w:num w:numId="3" w16cid:durableId="1519856896">
    <w:abstractNumId w:val="7"/>
  </w:num>
  <w:num w:numId="4" w16cid:durableId="1551383985">
    <w:abstractNumId w:val="7"/>
  </w:num>
  <w:num w:numId="5" w16cid:durableId="750199229">
    <w:abstractNumId w:val="6"/>
  </w:num>
  <w:num w:numId="6" w16cid:durableId="2077893892">
    <w:abstractNumId w:val="6"/>
  </w:num>
  <w:num w:numId="7" w16cid:durableId="436026175">
    <w:abstractNumId w:val="5"/>
  </w:num>
  <w:num w:numId="8" w16cid:durableId="1157069517">
    <w:abstractNumId w:val="5"/>
  </w:num>
  <w:num w:numId="9" w16cid:durableId="1018385788">
    <w:abstractNumId w:val="4"/>
  </w:num>
  <w:num w:numId="10" w16cid:durableId="985399614">
    <w:abstractNumId w:val="4"/>
  </w:num>
  <w:num w:numId="11" w16cid:durableId="341519301">
    <w:abstractNumId w:val="8"/>
  </w:num>
  <w:num w:numId="12" w16cid:durableId="477066255">
    <w:abstractNumId w:val="8"/>
  </w:num>
  <w:num w:numId="13" w16cid:durableId="1077635935">
    <w:abstractNumId w:val="3"/>
  </w:num>
  <w:num w:numId="14" w16cid:durableId="136731898">
    <w:abstractNumId w:val="3"/>
  </w:num>
  <w:num w:numId="15" w16cid:durableId="734860066">
    <w:abstractNumId w:val="2"/>
  </w:num>
  <w:num w:numId="16" w16cid:durableId="182549552">
    <w:abstractNumId w:val="2"/>
  </w:num>
  <w:num w:numId="17" w16cid:durableId="2016348002">
    <w:abstractNumId w:val="1"/>
  </w:num>
  <w:num w:numId="18" w16cid:durableId="1710296896">
    <w:abstractNumId w:val="1"/>
  </w:num>
  <w:num w:numId="19" w16cid:durableId="1194616019">
    <w:abstractNumId w:val="0"/>
  </w:num>
  <w:num w:numId="20" w16cid:durableId="179584687">
    <w:abstractNumId w:val="0"/>
  </w:num>
  <w:num w:numId="21" w16cid:durableId="90442413">
    <w:abstractNumId w:val="9"/>
  </w:num>
  <w:num w:numId="22" w16cid:durableId="1706712136">
    <w:abstractNumId w:val="7"/>
  </w:num>
  <w:num w:numId="23" w16cid:durableId="1873761932">
    <w:abstractNumId w:val="6"/>
  </w:num>
  <w:num w:numId="24" w16cid:durableId="1810975177">
    <w:abstractNumId w:val="5"/>
  </w:num>
  <w:num w:numId="25" w16cid:durableId="1462964458">
    <w:abstractNumId w:val="4"/>
  </w:num>
  <w:num w:numId="26" w16cid:durableId="2073507261">
    <w:abstractNumId w:val="8"/>
  </w:num>
  <w:num w:numId="27" w16cid:durableId="1424687905">
    <w:abstractNumId w:val="3"/>
  </w:num>
  <w:num w:numId="28" w16cid:durableId="1884249331">
    <w:abstractNumId w:val="2"/>
  </w:num>
  <w:num w:numId="29" w16cid:durableId="1409814856">
    <w:abstractNumId w:val="1"/>
  </w:num>
  <w:num w:numId="30" w16cid:durableId="780416252">
    <w:abstractNumId w:val="0"/>
  </w:num>
  <w:num w:numId="31" w16cid:durableId="75173701">
    <w:abstractNumId w:val="9"/>
  </w:num>
  <w:num w:numId="32" w16cid:durableId="1116749402">
    <w:abstractNumId w:val="7"/>
  </w:num>
  <w:num w:numId="33" w16cid:durableId="614404163">
    <w:abstractNumId w:val="6"/>
  </w:num>
  <w:num w:numId="34" w16cid:durableId="700663672">
    <w:abstractNumId w:val="5"/>
  </w:num>
  <w:num w:numId="35" w16cid:durableId="133957685">
    <w:abstractNumId w:val="4"/>
  </w:num>
  <w:num w:numId="36" w16cid:durableId="154494582">
    <w:abstractNumId w:val="8"/>
  </w:num>
  <w:num w:numId="37" w16cid:durableId="867332503">
    <w:abstractNumId w:val="3"/>
  </w:num>
  <w:num w:numId="38" w16cid:durableId="763652494">
    <w:abstractNumId w:val="2"/>
  </w:num>
  <w:num w:numId="39" w16cid:durableId="1964190070">
    <w:abstractNumId w:val="1"/>
  </w:num>
  <w:num w:numId="40" w16cid:durableId="1623228038">
    <w:abstractNumId w:val="0"/>
  </w:num>
  <w:num w:numId="41" w16cid:durableId="350568816">
    <w:abstractNumId w:val="10"/>
  </w:num>
  <w:num w:numId="42" w16cid:durableId="1295253797">
    <w:abstractNumId w:val="10"/>
  </w:num>
  <w:num w:numId="43" w16cid:durableId="2070376238">
    <w:abstractNumId w:val="10"/>
  </w:num>
  <w:num w:numId="44" w16cid:durableId="13389208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ES"/>
    <w:docVar w:name="dvnumam" w:val="0"/>
    <w:docVar w:name="dvpe" w:val="782.164"/>
    <w:docVar w:name="dvtitre" w:val="Resolución del Parlamento Europeo, de 11 de febrero de 2026, sobre el proyecto de Decisión de Ejecución de la Comisión por la que se renueva la autorización de comercialización de productos que contengan algodón modificado genéticamente T304-40, estén compuestos por dicho algodón o se hayan producido a partir de él, con arreglo al Reglamento (CE) n.º 1829/2003 del Parlamento Europeo y del Consejo(D111477/02 – 2026/2518(RSP))"/>
  </w:docVars>
  <w:rsids>
    <w:rsidRoot w:val="00347B1C"/>
    <w:rsid w:val="00002272"/>
    <w:rsid w:val="00064002"/>
    <w:rsid w:val="000677B9"/>
    <w:rsid w:val="000822A1"/>
    <w:rsid w:val="000831BA"/>
    <w:rsid w:val="000A42CC"/>
    <w:rsid w:val="000C1978"/>
    <w:rsid w:val="000E7DD9"/>
    <w:rsid w:val="0010095E"/>
    <w:rsid w:val="001247B5"/>
    <w:rsid w:val="00125B37"/>
    <w:rsid w:val="00187494"/>
    <w:rsid w:val="001F32AE"/>
    <w:rsid w:val="00253397"/>
    <w:rsid w:val="002767FF"/>
    <w:rsid w:val="002B18FE"/>
    <w:rsid w:val="002B5493"/>
    <w:rsid w:val="0031403F"/>
    <w:rsid w:val="00343214"/>
    <w:rsid w:val="00347B1C"/>
    <w:rsid w:val="00356649"/>
    <w:rsid w:val="00361C00"/>
    <w:rsid w:val="00395FA1"/>
    <w:rsid w:val="003E15D4"/>
    <w:rsid w:val="003F065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25C1"/>
    <w:rsid w:val="007D1690"/>
    <w:rsid w:val="007E08EF"/>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6F64"/>
    <w:rsid w:val="00B85BDB"/>
    <w:rsid w:val="00BD48FE"/>
    <w:rsid w:val="00BD7BD8"/>
    <w:rsid w:val="00BE6ADC"/>
    <w:rsid w:val="00C05BFE"/>
    <w:rsid w:val="00C23CD4"/>
    <w:rsid w:val="00C304D6"/>
    <w:rsid w:val="00C61C0C"/>
    <w:rsid w:val="00C941CB"/>
    <w:rsid w:val="00CC2357"/>
    <w:rsid w:val="00CF071A"/>
    <w:rsid w:val="00D058B8"/>
    <w:rsid w:val="00D56C11"/>
    <w:rsid w:val="00D834A0"/>
    <w:rsid w:val="00D872DF"/>
    <w:rsid w:val="00D91E21"/>
    <w:rsid w:val="00DA7FCD"/>
    <w:rsid w:val="00DE4D45"/>
    <w:rsid w:val="00DF1101"/>
    <w:rsid w:val="00E365E1"/>
    <w:rsid w:val="00E820A4"/>
    <w:rsid w:val="00EB006A"/>
    <w:rsid w:val="00EB4772"/>
    <w:rsid w:val="00ED169E"/>
    <w:rsid w:val="00ED4235"/>
    <w:rsid w:val="00F04346"/>
    <w:rsid w:val="00F075DC"/>
    <w:rsid w:val="00F149E9"/>
    <w:rsid w:val="00F5134D"/>
    <w:rsid w:val="00F74202"/>
    <w:rsid w:val="00F87713"/>
    <w:rsid w:val="00FB4360"/>
    <w:rsid w:val="00FC03D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86C93"/>
  <w15:chartTrackingRefBased/>
  <w15:docId w15:val="{D9B606EC-8590-403C-97C6-0BED264DC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E4D45"/>
    <w:pPr>
      <w:spacing w:before="480" w:after="240"/>
    </w:pPr>
  </w:style>
  <w:style w:type="paragraph" w:customStyle="1" w:styleId="NormalHanging12a">
    <w:name w:val="NormalHanging12a"/>
    <w:basedOn w:val="Normal"/>
    <w:rsid w:val="00DE4D45"/>
    <w:pPr>
      <w:spacing w:after="240"/>
      <w:ind w:left="567" w:hanging="567"/>
    </w:pPr>
  </w:style>
  <w:style w:type="character" w:styleId="Hyperlink">
    <w:name w:val="Hyperlink"/>
    <w:basedOn w:val="DefaultParagraphFont"/>
    <w:uiPriority w:val="99"/>
    <w:rsid w:val="00DE4D45"/>
    <w:rPr>
      <w:color w:val="0563C1" w:themeColor="hyperlink"/>
      <w:u w:val="single"/>
    </w:rPr>
  </w:style>
  <w:style w:type="paragraph" w:styleId="Revision">
    <w:name w:val="Revision"/>
    <w:hidden/>
    <w:uiPriority w:val="99"/>
    <w:semiHidden/>
    <w:rsid w:val="00FC03DD"/>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16/j.geoforum.2009.03.009" TargetMode="External"/><Relationship Id="rId1" Type="http://schemas.openxmlformats.org/officeDocument/2006/relationships/hyperlink" Target="https://doi.org/10.1186/2190-4715-24-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1821</Words>
  <Characters>9954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MLG_Relfinale</dc:creator>
  <cp:keywords/>
  <cp:lastModifiedBy>GÓMEZ GONZÁLEZ María Del Mar</cp:lastModifiedBy>
  <cp:revision>2</cp:revision>
  <cp:lastPrinted>2004-11-19T15:42:00Z</cp:lastPrinted>
  <dcterms:created xsi:type="dcterms:W3CDTF">2026-03-18T09:13:00Z</dcterms:created>
  <dcterms:modified xsi:type="dcterms:W3CDTF">2026-03-18T09:13:00Z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B10-0108/2026</vt:lpwstr>
  </property>
  <property fmtid="{D5CDD505-2E9C-101B-9397-08002B2CF9AE}" pid="4" name="&lt;Type&gt;">
    <vt:lpwstr>RR</vt:lpwstr>
  </property>
</Properties>
</file>