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4898" w14:paraId="6052B8CC" w14:textId="77777777" w:rsidTr="0010095E">
        <w:trPr>
          <w:trHeight w:hRule="exact" w:val="1418"/>
        </w:trPr>
        <w:tc>
          <w:tcPr>
            <w:tcW w:w="6804" w:type="dxa"/>
            <w:shd w:val="clear" w:color="auto" w:fill="auto"/>
            <w:vAlign w:val="center"/>
          </w:tcPr>
          <w:p w14:paraId="609C4293" w14:textId="77777777" w:rsidR="00751A4A" w:rsidRPr="00584898" w:rsidRDefault="00E20658" w:rsidP="0010095E">
            <w:pPr>
              <w:pStyle w:val="EPName"/>
            </w:pPr>
            <w:r w:rsidRPr="00584898">
              <w:t>Euroopan parlamentti</w:t>
            </w:r>
          </w:p>
          <w:p w14:paraId="65B2F3BE" w14:textId="77777777" w:rsidR="00751A4A" w:rsidRPr="00584898" w:rsidRDefault="005F1B17" w:rsidP="005F1B17">
            <w:pPr>
              <w:pStyle w:val="EPTerm"/>
              <w:rPr>
                <w:rStyle w:val="HideTWBExt"/>
                <w:noProof w:val="0"/>
                <w:vanish w:val="0"/>
                <w:color w:val="auto"/>
              </w:rPr>
            </w:pPr>
            <w:r w:rsidRPr="00584898">
              <w:t>2024</w:t>
            </w:r>
            <w:r w:rsidR="00817416" w:rsidRPr="00584898">
              <w:t>-202</w:t>
            </w:r>
            <w:r w:rsidRPr="00584898">
              <w:t>9</w:t>
            </w:r>
          </w:p>
        </w:tc>
        <w:tc>
          <w:tcPr>
            <w:tcW w:w="2268" w:type="dxa"/>
            <w:shd w:val="clear" w:color="auto" w:fill="auto"/>
          </w:tcPr>
          <w:p w14:paraId="1D3DA0E8" w14:textId="77777777" w:rsidR="00751A4A" w:rsidRPr="00584898" w:rsidRDefault="00187494" w:rsidP="0010095E">
            <w:pPr>
              <w:pStyle w:val="EPLogo"/>
            </w:pPr>
            <w:r w:rsidRPr="00584898">
              <w:rPr>
                <w:noProof/>
                <w:lang w:eastAsia="ja-JP"/>
              </w:rPr>
              <w:drawing>
                <wp:inline distT="0" distB="0" distL="0" distR="0" wp14:anchorId="129B4050" wp14:editId="68FF00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88661D" w14:textId="77777777" w:rsidR="00D058B8" w:rsidRPr="00584898" w:rsidRDefault="00D058B8" w:rsidP="004C5D52">
      <w:pPr>
        <w:pStyle w:val="LineTop"/>
      </w:pPr>
    </w:p>
    <w:p w14:paraId="6BC257F9" w14:textId="77777777" w:rsidR="00680577" w:rsidRPr="00584898" w:rsidRDefault="00E20658" w:rsidP="00680577">
      <w:pPr>
        <w:pStyle w:val="EPBodyTA1"/>
      </w:pPr>
      <w:r w:rsidRPr="00584898">
        <w:t>HYVÄKSYTYT TEKSTIT</w:t>
      </w:r>
    </w:p>
    <w:p w14:paraId="19B5EBD0" w14:textId="77777777" w:rsidR="00D058B8" w:rsidRPr="00584898" w:rsidRDefault="00D058B8" w:rsidP="00D058B8">
      <w:pPr>
        <w:pStyle w:val="LineBottom"/>
      </w:pPr>
    </w:p>
    <w:p w14:paraId="732443E1" w14:textId="49E7C971" w:rsidR="00E20658" w:rsidRPr="00584898" w:rsidRDefault="00E20658" w:rsidP="00E20658">
      <w:pPr>
        <w:pStyle w:val="ATHeading1"/>
      </w:pPr>
      <w:bookmarkStart w:id="0" w:name="TANumber"/>
      <w:r w:rsidRPr="00584898">
        <w:t>P10_TA(2026)00</w:t>
      </w:r>
      <w:bookmarkEnd w:id="0"/>
      <w:r w:rsidR="00423688">
        <w:t>44</w:t>
      </w:r>
    </w:p>
    <w:p w14:paraId="514D0D37" w14:textId="1E4CF2C7" w:rsidR="00E20658" w:rsidRPr="001C1236" w:rsidRDefault="006C6736" w:rsidP="006C6736">
      <w:pPr>
        <w:pStyle w:val="ATHeading2"/>
      </w:pPr>
      <w:bookmarkStart w:id="1" w:name="title"/>
      <w:r>
        <w:rPr>
          <w:bCs/>
        </w:rPr>
        <w:t>M</w:t>
      </w:r>
      <w:r w:rsidRPr="006C6736">
        <w:rPr>
          <w:bCs/>
        </w:rPr>
        <w:t xml:space="preserve">uuntogeeninen puuvilla </w:t>
      </w:r>
      <w:bookmarkEnd w:id="1"/>
      <w:r w:rsidR="001C1236" w:rsidRPr="001C1236">
        <w:rPr>
          <w:bCs/>
        </w:rPr>
        <w:t>T304-40</w:t>
      </w:r>
    </w:p>
    <w:p w14:paraId="1400E833" w14:textId="77777777" w:rsidR="00E20658" w:rsidRPr="00584898" w:rsidRDefault="00E20658" w:rsidP="00E20658">
      <w:pPr>
        <w:rPr>
          <w:i/>
          <w:vanish/>
        </w:rPr>
      </w:pPr>
      <w:r w:rsidRPr="00584898">
        <w:rPr>
          <w:i/>
        </w:rPr>
        <w:fldChar w:fldCharType="begin"/>
      </w:r>
      <w:r w:rsidRPr="00584898">
        <w:rPr>
          <w:i/>
        </w:rPr>
        <w:instrText xml:space="preserve"> TC"(</w:instrText>
      </w:r>
      <w:bookmarkStart w:id="2" w:name="DocNumber"/>
      <w:r w:rsidRPr="00584898">
        <w:rPr>
          <w:i/>
        </w:rPr>
        <w:instrText>B10-0108/2026</w:instrText>
      </w:r>
      <w:bookmarkEnd w:id="2"/>
      <w:r w:rsidRPr="00584898">
        <w:rPr>
          <w:i/>
        </w:rPr>
        <w:instrText xml:space="preserve">)"\l3 \n&gt; \* MERGEFORMAT </w:instrText>
      </w:r>
      <w:r w:rsidRPr="00584898">
        <w:rPr>
          <w:i/>
        </w:rPr>
        <w:fldChar w:fldCharType="end"/>
      </w:r>
    </w:p>
    <w:p w14:paraId="01D8B19E" w14:textId="77777777" w:rsidR="00E20658" w:rsidRPr="00584898" w:rsidRDefault="00E20658" w:rsidP="00E20658">
      <w:pPr>
        <w:rPr>
          <w:vanish/>
        </w:rPr>
      </w:pPr>
      <w:bookmarkStart w:id="3" w:name="PE"/>
      <w:r w:rsidRPr="00584898">
        <w:rPr>
          <w:vanish/>
        </w:rPr>
        <w:t>PE782.164</w:t>
      </w:r>
      <w:bookmarkEnd w:id="3"/>
    </w:p>
    <w:p w14:paraId="712299A4" w14:textId="3B8D5506" w:rsidR="00E20658" w:rsidRPr="00584898" w:rsidRDefault="00E20658" w:rsidP="00E20658">
      <w:pPr>
        <w:pStyle w:val="ATHeading3"/>
      </w:pPr>
      <w:bookmarkStart w:id="4" w:name="Sujet"/>
      <w:r w:rsidRPr="00584898">
        <w:t>Euroopan parlamentin päätöslauselma 11. helmikuuta 2026 ehdotuksesta komission täytäntöönpanopäätökseksi muuntogeenistä puuvillaa T304-40 sisältävien, siitä koostuvien tai siitä valmistettujen tuotteiden markkinoille saattamista koskevan luvan uusimisesta Euroopan parlamentin ja neuvoston asetuksen (EY) N:o 1829/2003 mukaisesti</w:t>
      </w:r>
      <w:bookmarkEnd w:id="4"/>
      <w:r w:rsidRPr="00584898">
        <w:t xml:space="preserve"> </w:t>
      </w:r>
      <w:bookmarkStart w:id="5" w:name="References"/>
      <w:r w:rsidRPr="00584898">
        <w:t>(D111477/02 – 2026/2518(RSP))</w:t>
      </w:r>
      <w:bookmarkEnd w:id="5"/>
    </w:p>
    <w:p w14:paraId="3FAB0468" w14:textId="77777777" w:rsidR="002F4453" w:rsidRPr="00584898" w:rsidRDefault="002F4453" w:rsidP="006C6736">
      <w:pPr>
        <w:pStyle w:val="EPComma"/>
        <w:widowControl/>
      </w:pPr>
      <w:bookmarkStart w:id="6" w:name="TextBodyBegin"/>
      <w:bookmarkEnd w:id="6"/>
      <w:r w:rsidRPr="00584898">
        <w:rPr>
          <w:i/>
        </w:rPr>
        <w:t>Euroopan parlamentti</w:t>
      </w:r>
      <w:r w:rsidRPr="00584898">
        <w:t>, joka</w:t>
      </w:r>
    </w:p>
    <w:p w14:paraId="1ED4D23D" w14:textId="77777777" w:rsidR="002F4453" w:rsidRPr="00584898" w:rsidRDefault="002F4453" w:rsidP="006C6736">
      <w:pPr>
        <w:pStyle w:val="NormalHanging12a"/>
        <w:widowControl/>
      </w:pPr>
      <w:r w:rsidRPr="00584898">
        <w:t>–</w:t>
      </w:r>
      <w:r w:rsidRPr="00584898">
        <w:tab/>
        <w:t>ottaa huomioon ehdotuksen komission täytäntöönpanopäätökseksi muuntogeenistä puuvillaa T304-40 sisältävien, siitä koostuvien tai siitä valmistettujen tuotteiden markkinoille saattamista koskevan luvan uusimisesta Euroopan parlamentin ja neuvoston asetuksen (EY) N:o 1829/2003 mukaisesti (D111477/02),</w:t>
      </w:r>
    </w:p>
    <w:p w14:paraId="65923A6F" w14:textId="77777777" w:rsidR="002F4453" w:rsidRPr="00584898" w:rsidRDefault="002F4453" w:rsidP="006C6736">
      <w:pPr>
        <w:pStyle w:val="NormalHanging12a"/>
        <w:widowControl/>
      </w:pPr>
      <w:r w:rsidRPr="00584898">
        <w:t>–</w:t>
      </w:r>
      <w:r w:rsidRPr="00584898">
        <w:tab/>
        <w:t>ottaa huomioon muuntogeenisistä elintarvikkeista ja rehuista 22. syyskuuta 2003 annetun Euroopan parlamentin ja neuvoston asetuksen (EY) N:o 1829/2003</w:t>
      </w:r>
      <w:r w:rsidRPr="00584898">
        <w:rPr>
          <w:vertAlign w:val="superscript"/>
        </w:rPr>
        <w:footnoteReference w:id="1"/>
      </w:r>
      <w:r w:rsidRPr="00584898">
        <w:t xml:space="preserve"> ja erityisesti sen 11 artiklan 3 kohdan ja 23 artiklan 3 kohdan,</w:t>
      </w:r>
    </w:p>
    <w:p w14:paraId="35D8B115" w14:textId="40BEEA64" w:rsidR="002F4453" w:rsidRPr="00584898" w:rsidRDefault="002F4453" w:rsidP="006C6736">
      <w:pPr>
        <w:pStyle w:val="NormalHanging12a"/>
        <w:widowControl/>
      </w:pPr>
      <w:bookmarkStart w:id="7" w:name="_Hlk210666078"/>
      <w:r w:rsidRPr="00584898">
        <w:t>–</w:t>
      </w:r>
      <w:r w:rsidRPr="00584898">
        <w:tab/>
        <w:t xml:space="preserve">ottaa huomioon asetuksen (EY) N:o 1829/2003 35 artiklassa tarkoitetussa </w:t>
      </w:r>
      <w:bookmarkStart w:id="8" w:name="_Hlk210664905"/>
      <w:r w:rsidRPr="00584898">
        <w:t>pysyvässä kasvi-, eläin-, elintarvike- ja rehukomiteassa</w:t>
      </w:r>
      <w:bookmarkEnd w:id="8"/>
      <w:r w:rsidRPr="00584898">
        <w:t xml:space="preserve"> 12. joulukuuta 2025 toimitetun äänestyksen</w:t>
      </w:r>
      <w:bookmarkEnd w:id="7"/>
      <w:r w:rsidRPr="00584898">
        <w:t xml:space="preserve">, jossa päätettiin olla antamatta lausuntoa, </w:t>
      </w:r>
      <w:bookmarkStart w:id="9" w:name="_Hlk221541678"/>
      <w:r w:rsidR="00F513E5" w:rsidRPr="00D749E5">
        <w:t xml:space="preserve">ja muutoksenhakukomiteassa </w:t>
      </w:r>
      <w:r w:rsidR="00F513E5">
        <w:t>27</w:t>
      </w:r>
      <w:r w:rsidR="00F513E5" w:rsidRPr="00D749E5">
        <w:t>. </w:t>
      </w:r>
      <w:r w:rsidR="00F513E5">
        <w:t>tammi</w:t>
      </w:r>
      <w:r w:rsidR="00F513E5" w:rsidRPr="00D749E5">
        <w:t>kuuta 202</w:t>
      </w:r>
      <w:r w:rsidR="00F513E5">
        <w:t>6</w:t>
      </w:r>
      <w:r w:rsidR="00F513E5" w:rsidRPr="00D749E5">
        <w:t xml:space="preserve"> toimitetun äänestyksen, jossa päätettiin niin ikään olla antamatta lausuntoa</w:t>
      </w:r>
      <w:r w:rsidR="00F513E5">
        <w:t>,</w:t>
      </w:r>
      <w:bookmarkEnd w:id="9"/>
    </w:p>
    <w:p w14:paraId="550E36AA" w14:textId="77777777" w:rsidR="002F4453" w:rsidRPr="00584898" w:rsidRDefault="002F4453" w:rsidP="006C6736">
      <w:pPr>
        <w:pStyle w:val="NormalHanging12a"/>
        <w:widowControl/>
      </w:pPr>
      <w:r w:rsidRPr="00584898">
        <w:t>–</w:t>
      </w:r>
      <w:r w:rsidRPr="00584898">
        <w:tab/>
        <w:t>ottaa huomioon yleisistä säännöistä ja periaatteista, joiden mukaisesti jäsenvaltiot valvovat komission täytäntöönpanovallan käyttöä, 16. helmikuuta 2011 annetun Euroopan parlamentin ja neuvoston asetuksen (EU) N:o 182/2011</w:t>
      </w:r>
      <w:r w:rsidRPr="00584898">
        <w:rPr>
          <w:vertAlign w:val="superscript"/>
        </w:rPr>
        <w:footnoteReference w:id="2"/>
      </w:r>
      <w:r w:rsidRPr="00584898">
        <w:t xml:space="preserve"> 11 artiklan,</w:t>
      </w:r>
    </w:p>
    <w:p w14:paraId="1D53EEE7" w14:textId="77777777" w:rsidR="002F4453" w:rsidRPr="00584898" w:rsidRDefault="002F4453" w:rsidP="006C6736">
      <w:pPr>
        <w:pStyle w:val="NormalHanging12a"/>
        <w:widowControl/>
      </w:pPr>
      <w:r w:rsidRPr="00584898">
        <w:t>–</w:t>
      </w:r>
      <w:r w:rsidRPr="00584898">
        <w:tab/>
        <w:t>ottaa huomioon Euroopan elintarviketurvallisuusviranomaisen (EFSA) 30. kesäkuuta 2025 antaman lausunnon</w:t>
      </w:r>
      <w:r w:rsidRPr="00584898">
        <w:rPr>
          <w:rStyle w:val="FootnoteReference"/>
        </w:rPr>
        <w:footnoteReference w:id="3"/>
      </w:r>
      <w:r w:rsidRPr="00584898">
        <w:t>, joka julkaistiin 22. heinäkuuta 2025,</w:t>
      </w:r>
    </w:p>
    <w:p w14:paraId="3800D0E9" w14:textId="77777777" w:rsidR="002F4453" w:rsidRPr="00584898" w:rsidRDefault="002F4453" w:rsidP="006C6736">
      <w:pPr>
        <w:pStyle w:val="NormalHanging12a"/>
        <w:widowControl/>
      </w:pPr>
      <w:r w:rsidRPr="00584898">
        <w:lastRenderedPageBreak/>
        <w:t>–</w:t>
      </w:r>
      <w:r w:rsidRPr="00584898">
        <w:tab/>
        <w:t>ottaa huomioon aiemmat päätöslauselmansa, joissa vastustetaan lupien myöntämistä muuntogeenisille organismeille</w:t>
      </w:r>
      <w:bookmarkStart w:id="10" w:name="_Hlk210666451"/>
      <w:r w:rsidRPr="00584898">
        <w:rPr>
          <w:vertAlign w:val="superscript"/>
        </w:rPr>
        <w:footnoteReference w:id="4"/>
      </w:r>
      <w:bookmarkEnd w:id="10"/>
      <w:r w:rsidRPr="00584898">
        <w:t>,</w:t>
      </w:r>
    </w:p>
    <w:p w14:paraId="125B4EF1" w14:textId="77777777" w:rsidR="002F4453" w:rsidRPr="00584898" w:rsidRDefault="002F4453" w:rsidP="006C6736">
      <w:pPr>
        <w:pStyle w:val="NormalHanging12a"/>
        <w:widowControl/>
      </w:pPr>
      <w:r w:rsidRPr="00584898">
        <w:lastRenderedPageBreak/>
        <w:t>–</w:t>
      </w:r>
      <w:r w:rsidRPr="00584898">
        <w:tab/>
        <w:t>ottaa huomioon työjärjestyksen 115 artiklan 2 ja 3 kohdan,</w:t>
      </w:r>
    </w:p>
    <w:p w14:paraId="53F0344A" w14:textId="77777777" w:rsidR="002F4453" w:rsidRPr="00584898" w:rsidRDefault="002F4453" w:rsidP="006C6736">
      <w:pPr>
        <w:pStyle w:val="NormalHanging12a"/>
        <w:widowControl/>
      </w:pPr>
      <w:r w:rsidRPr="00584898">
        <w:t>–</w:t>
      </w:r>
      <w:r w:rsidRPr="00584898">
        <w:tab/>
        <w:t>ottaa huomioon ympäristön, ilmaston ja elintarvikkeiden turvallisuuden valiokunnan päätöslauselmaesityksen,</w:t>
      </w:r>
    </w:p>
    <w:p w14:paraId="4112D253" w14:textId="0940D3A7" w:rsidR="002F4453" w:rsidRPr="00584898" w:rsidRDefault="002F4453" w:rsidP="006C6736">
      <w:pPr>
        <w:pStyle w:val="NormalHanging12a"/>
        <w:widowControl/>
      </w:pPr>
      <w:r w:rsidRPr="00584898">
        <w:t>A.</w:t>
      </w:r>
      <w:r w:rsidRPr="00584898">
        <w:tab/>
        <w:t>ottaa huomioon, että komission täytäntöönpanopäätöksellä (EU) 2015/699</w:t>
      </w:r>
      <w:r w:rsidRPr="00584898">
        <w:rPr>
          <w:rStyle w:val="FootnoteReference"/>
        </w:rPr>
        <w:footnoteReference w:id="5"/>
      </w:r>
      <w:r w:rsidRPr="00584898">
        <w:t xml:space="preserve">, sellaisena kuin se on muutettuna komission täytäntöönpanopäätöksellä </w:t>
      </w:r>
      <w:r w:rsidR="00A601D9">
        <w:t xml:space="preserve">(EU) </w:t>
      </w:r>
      <w:r w:rsidRPr="00584898">
        <w:t>2019/1195</w:t>
      </w:r>
      <w:r w:rsidRPr="00584898">
        <w:rPr>
          <w:vertAlign w:val="superscript"/>
        </w:rPr>
        <w:footnoteReference w:id="6"/>
      </w:r>
      <w:r w:rsidRPr="00584898">
        <w:t>, sallittiin muuntogeenistä puuvillaa T304-40, jäljempänä ’muuntogeeninen puuvilla’, sisältävien, siitä koostuvien tai siitä valmistettujen elintarvikkeiden ja rehujen saattaminen markkinoille; ottaa huomioon, että kyseisen luvan soveltamisala kattaa myös sellaisten muuntogeenistä puuvillaa sisältävien tai siitä koostuvien tuotteiden markkinoille saattamisen, jotka eivät ole elintarvikkeita ja rehuja ja joita käytetään samaan käyttötarkoitukseen kuin mitä tahansa muuta puuvillaa, lukuun ottamatta viljelyä;</w:t>
      </w:r>
    </w:p>
    <w:p w14:paraId="0A1B9305" w14:textId="77777777" w:rsidR="002F4453" w:rsidRPr="00584898" w:rsidRDefault="002F4453" w:rsidP="006C6736">
      <w:pPr>
        <w:pStyle w:val="NormalHanging12a"/>
        <w:widowControl/>
      </w:pPr>
      <w:r w:rsidRPr="00584898">
        <w:t>B.</w:t>
      </w:r>
      <w:r w:rsidRPr="00584898">
        <w:tab/>
        <w:t xml:space="preserve">ottaa huomioon, että Saksaan sijoittautunut BASF SE toimitti Yhdysvaltoihin sijoittautuneen BASF Agricultural Solutions US </w:t>
      </w:r>
      <w:proofErr w:type="spellStart"/>
      <w:r w:rsidRPr="00584898">
        <w:t>LLC:n</w:t>
      </w:r>
      <w:proofErr w:type="spellEnd"/>
      <w:r w:rsidRPr="00584898">
        <w:t xml:space="preserve"> puolesta 22. maaliskuuta 2024 komissiolle hakemuksen kyseisen luvan uusimiseksi asetuksen (EY) N:o 1829/2003 11 ja 23 artiklan mukaisesti; </w:t>
      </w:r>
    </w:p>
    <w:p w14:paraId="5EE3EAA0" w14:textId="77777777" w:rsidR="002F4453" w:rsidRPr="00584898" w:rsidRDefault="002F4453" w:rsidP="006C6736">
      <w:pPr>
        <w:pStyle w:val="NormalHanging12a"/>
        <w:widowControl/>
      </w:pPr>
      <w:r w:rsidRPr="00584898">
        <w:t>C.</w:t>
      </w:r>
      <w:r w:rsidRPr="00584898">
        <w:tab/>
        <w:t xml:space="preserve">ottaa huomioon, että EFSA antoi 22. heinäkuuta 2025 </w:t>
      </w:r>
      <w:bookmarkStart w:id="11" w:name="_Hlk219204327"/>
      <w:r w:rsidRPr="00584898">
        <w:t>asetuksen (EY) N:o 1829/2003</w:t>
      </w:r>
      <w:bookmarkEnd w:id="11"/>
      <w:r w:rsidRPr="00584898">
        <w:t xml:space="preserve"> </w:t>
      </w:r>
      <w:bookmarkStart w:id="12" w:name="_Hlk219204313"/>
      <w:r w:rsidRPr="00584898">
        <w:t>11 ja 23 artiklan mukaisesti</w:t>
      </w:r>
      <w:bookmarkEnd w:id="12"/>
      <w:r w:rsidRPr="00584898">
        <w:t xml:space="preserve"> muuntogeenistä puuvillaa koskevan puoltavan tieteellisen lausunnon</w:t>
      </w:r>
      <w:r w:rsidRPr="00584898">
        <w:rPr>
          <w:vertAlign w:val="superscript"/>
        </w:rPr>
        <w:footnoteReference w:id="7"/>
      </w:r>
      <w:r w:rsidRPr="00584898">
        <w:t xml:space="preserve">, jossa se totesi, että uusimista koskevassa hakemuksessa ei ole näyttöä sellaisista uusista vaaroista, muutoksista altistumisessa tai tieteellisistä epävarmuustekijöistä, jotka muuttaisivat muuntogeenistä puuvillaa koskevan </w:t>
      </w:r>
      <w:r w:rsidRPr="00584898">
        <w:lastRenderedPageBreak/>
        <w:t>alkuperäisen riskinarvioinnin päätelmiä, jotka EFSA oli hyväksynyt vuonna 2013</w:t>
      </w:r>
      <w:r w:rsidRPr="00584898">
        <w:rPr>
          <w:rStyle w:val="FootnoteReference"/>
        </w:rPr>
        <w:footnoteReference w:id="8"/>
      </w:r>
      <w:r w:rsidRPr="00584898">
        <w:t>; ottaa huomioon, että EFSA katsoo monien laajempien ympäristöön liittyvien, sosioekonomisten ja kumulatiivisten vaikutusten jäävän sen toimivallan ulkopuolelle, minkä vuoksi se ei käsitellyt niitä lausunnoissaan;</w:t>
      </w:r>
    </w:p>
    <w:p w14:paraId="68ACE4B9" w14:textId="77777777" w:rsidR="002F4453" w:rsidRPr="00584898" w:rsidRDefault="002F4453" w:rsidP="006C6736">
      <w:pPr>
        <w:pStyle w:val="NormalHanging12a"/>
        <w:widowControl/>
      </w:pPr>
      <w:r w:rsidRPr="00584898">
        <w:t>D.</w:t>
      </w:r>
      <w:r w:rsidRPr="00584898">
        <w:tab/>
        <w:t xml:space="preserve">ottaa huomioon, että muuntogeeninen puuvilla on kehitetty resistentiksi tiettyjä perhostuholaisia vastaan, niin että se tuottaa hyönteisiä torjuvaa toksiinia, ja sietämään </w:t>
      </w:r>
      <w:proofErr w:type="spellStart"/>
      <w:r w:rsidRPr="00584898">
        <w:t>glufosinaattia</w:t>
      </w:r>
      <w:proofErr w:type="spellEnd"/>
      <w:r w:rsidRPr="00584898">
        <w:t xml:space="preserve">; </w:t>
      </w:r>
    </w:p>
    <w:p w14:paraId="4BCF7CED" w14:textId="77777777" w:rsidR="002F4453" w:rsidRPr="00584898" w:rsidRDefault="002F4453" w:rsidP="006C6736">
      <w:pPr>
        <w:pStyle w:val="NormalHanging12a"/>
        <w:widowControl/>
      </w:pPr>
      <w:r w:rsidRPr="00584898">
        <w:t>E.</w:t>
      </w:r>
      <w:r w:rsidRPr="00584898">
        <w:tab/>
        <w:t xml:space="preserve">ottaa huomioon, että </w:t>
      </w:r>
      <w:proofErr w:type="spellStart"/>
      <w:r w:rsidRPr="00584898">
        <w:t>EFSAn</w:t>
      </w:r>
      <w:proofErr w:type="spellEnd"/>
      <w:r w:rsidRPr="00584898">
        <w:t xml:space="preserve"> tekemiin riskinarviointeihin ei sisältynyt pitkän ajan toksikologisia tutkimuksia eikä yksityiskohtaista analyysia kumulatiivisista ja yhteisvaikutuksista, kuten mahdollisesta vuorovaikutuksesta puuvillanviljelyssä yleisesti käytettyjen torjunta-aineiden jäämien kanssa;</w:t>
      </w:r>
    </w:p>
    <w:p w14:paraId="71F86344" w14:textId="77777777" w:rsidR="002F4453" w:rsidRPr="00584898" w:rsidRDefault="002F4453" w:rsidP="006C6736">
      <w:pPr>
        <w:pStyle w:val="NormalHanging12a"/>
        <w:widowControl/>
      </w:pPr>
      <w:r w:rsidRPr="00584898">
        <w:t>F.</w:t>
      </w:r>
      <w:r w:rsidRPr="00584898">
        <w:tab/>
        <w:t>ottaa huomioon, että suurinta osaa muuntogeenisistä viljelykasveista, muuntogeeninen puuvilla mukaan lukien, on muunnettu geneettisesti siten, että ne sietävät yhtä tai useampaa ”täydentävää” rikkakasvien torjunta-ainetta, jota voidaan käyttää koko muuntogeenisen viljelykasvin viljelyn ajan ilman, että viljelykasvi kuolee, kuten käy niiden viljelykasvien tapauksessa, jotka eivät siedä torjunta-aineita; 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torjunta-aineita</w:t>
      </w:r>
      <w:r w:rsidRPr="00584898">
        <w:rPr>
          <w:vertAlign w:val="superscript"/>
        </w:rPr>
        <w:footnoteReference w:id="9"/>
      </w:r>
      <w:r w:rsidRPr="00584898">
        <w:t>;</w:t>
      </w:r>
    </w:p>
    <w:p w14:paraId="6105195E" w14:textId="77777777" w:rsidR="002F4453" w:rsidRPr="00584898" w:rsidRDefault="002F4453" w:rsidP="006C6736">
      <w:pPr>
        <w:pStyle w:val="NormalHanging12a"/>
        <w:widowControl/>
      </w:pPr>
      <w:r w:rsidRPr="00584898">
        <w:t>G.</w:t>
      </w:r>
      <w:r w:rsidRPr="00584898">
        <w:tab/>
        <w:t>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 ottaa huomioon, että lisääntynyt riippuvuus täydentävistä rikkakasvien torjunta-aineista muuntogeenistä puuvillaa viljelevillä tiloilla nopeuttaa näille torjunta-aineille sietokykyisten rikkakasvien ilmaantumista ja leviämistä, mikä johtaa noidankehään, jossa rikkakasvien torjunta-aineita on käytettävä jatkuvasti enemmän; toteaa, että tämän seurauksena rikkakasvien torjunta-aineiden liiallisesta käytöstä aiheutuu yhä haitallisempia vaikutuksia maaperän terveyteen, veden laatuun sekä maanpäälliseen ja -alaiseen biologiseen monimuotoisuuteen ja lisäksi ihmisten ja eläinten altistuminen lisääntyy, mahdollisesti myös sen kautta, että rikkakasvien torjunta-aineiden jäämät elintarvikkeissa ja rehuissa lisääntyvät</w:t>
      </w:r>
      <w:r w:rsidRPr="00584898">
        <w:rPr>
          <w:vertAlign w:val="superscript"/>
        </w:rPr>
        <w:footnoteReference w:id="10"/>
      </w:r>
      <w:r w:rsidRPr="00584898">
        <w:t>;</w:t>
      </w:r>
    </w:p>
    <w:p w14:paraId="1BAB1A1F" w14:textId="77777777" w:rsidR="002F4453" w:rsidRPr="00584898" w:rsidRDefault="002F4453" w:rsidP="006C6736">
      <w:pPr>
        <w:pStyle w:val="NormalHanging12a"/>
        <w:widowControl/>
      </w:pPr>
      <w:r w:rsidRPr="00584898">
        <w:lastRenderedPageBreak/>
        <w:t>H.</w:t>
      </w:r>
      <w:r w:rsidRPr="00584898">
        <w:tab/>
        <w:t xml:space="preserve">ottaa huomioon, että </w:t>
      </w:r>
      <w:proofErr w:type="spellStart"/>
      <w:r w:rsidRPr="00584898">
        <w:t>glufosinaatti</w:t>
      </w:r>
      <w:proofErr w:type="spellEnd"/>
      <w:r w:rsidRPr="00584898">
        <w:t xml:space="preserve"> on luokiteltu lisääntymiselle vaarallisten aineiden kategoriaan 1B ja näin ollen se täyttää Euroopan parlamentin ja neuvoston asetuksessa (EY) N:o 1107/2009</w:t>
      </w:r>
      <w:r w:rsidRPr="00584898">
        <w:rPr>
          <w:vertAlign w:val="superscript"/>
        </w:rPr>
        <w:footnoteReference w:id="11"/>
      </w:r>
      <w:r w:rsidRPr="00584898">
        <w:t xml:space="preserve"> säädetyt poissulkemiskriteerit; ottaa huomioon, että </w:t>
      </w:r>
      <w:proofErr w:type="spellStart"/>
      <w:r w:rsidRPr="00584898">
        <w:t>glufosinaatin</w:t>
      </w:r>
      <w:proofErr w:type="spellEnd"/>
      <w:r w:rsidRPr="00584898">
        <w:t xml:space="preserve"> käyttöä unionissa koskevan hyväksynnän voimassaolo päättyi 31. heinäkuuta 2018;</w:t>
      </w:r>
    </w:p>
    <w:p w14:paraId="0E15CB1E" w14:textId="77777777" w:rsidR="002F4453" w:rsidRPr="00584898" w:rsidRDefault="002F4453" w:rsidP="006C6736">
      <w:pPr>
        <w:pStyle w:val="NormalHanging12a"/>
        <w:widowControl/>
      </w:pPr>
      <w:r w:rsidRPr="00584898">
        <w:t xml:space="preserve">I. </w:t>
      </w:r>
      <w:r w:rsidRPr="00584898">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14:paraId="751DE5AF" w14:textId="77777777" w:rsidR="002F4453" w:rsidRPr="00584898" w:rsidRDefault="002F4453" w:rsidP="006C6736">
      <w:pPr>
        <w:pStyle w:val="NormalHanging12a"/>
        <w:widowControl/>
      </w:pPr>
      <w:r w:rsidRPr="00584898">
        <w:t>J.</w:t>
      </w:r>
      <w:r w:rsidRPr="00584898">
        <w:tab/>
        <w:t>toteaa, että tapauksissa, joissa tieteellistä varmuutta ei ole, olisi sovellettava Euroopan unionin toiminnasta tehdyn sopimuksen 191 artiklassa tarkoitettua ennalta varautumisen periaatetta;</w:t>
      </w:r>
    </w:p>
    <w:p w14:paraId="170155B9" w14:textId="77777777" w:rsidR="002F4453" w:rsidRPr="00584898" w:rsidRDefault="002F4453" w:rsidP="006C6736">
      <w:pPr>
        <w:pStyle w:val="NormalHanging12a"/>
        <w:widowControl/>
      </w:pPr>
      <w:r w:rsidRPr="00584898">
        <w:t>K.</w:t>
      </w:r>
      <w:r w:rsidRPr="00584898">
        <w:tab/>
        <w:t>ottaa huomioon, että asetuksen (EY) N:o 1829/2003 mukaan muuntogeeniset elintarvikkeet ja rehut eivät saa vaikuttaa haitallisesti ihmisten terveyteen, eläinten terveyteen tai ympäristöön;</w:t>
      </w:r>
    </w:p>
    <w:p w14:paraId="29426A75" w14:textId="77777777" w:rsidR="002F4453" w:rsidRPr="00584898" w:rsidRDefault="002F4453" w:rsidP="006C6736">
      <w:pPr>
        <w:pStyle w:val="NormalHanging12a"/>
        <w:widowControl/>
      </w:pPr>
      <w:r w:rsidRPr="00584898">
        <w:t>L.</w:t>
      </w:r>
      <w:r w:rsidRPr="00584898">
        <w:tab/>
        <w:t>toteaa, että muuntogeeniselle puuvillalle myönnetyn unionin luvan uusiminen ei olisi torjunta-aineiden vähentämistä koskevien kansainvälisten sitoumusten mukainen</w:t>
      </w:r>
      <w:r w:rsidRPr="00584898">
        <w:rPr>
          <w:vertAlign w:val="superscript"/>
        </w:rPr>
        <w:footnoteReference w:id="12"/>
      </w:r>
      <w:r w:rsidRPr="00584898">
        <w:t xml:space="preserve">, kun otetaan huomioon ihmisten, eläinten ja ympäristön lisääntynyt altistuminen glyfosaatille ja </w:t>
      </w:r>
      <w:proofErr w:type="spellStart"/>
      <w:r w:rsidRPr="00584898">
        <w:t>glufosinaatille</w:t>
      </w:r>
      <w:proofErr w:type="spellEnd"/>
      <w:r w:rsidRPr="00584898">
        <w:t xml:space="preserve"> maissa, joissa viljellään kyseistä torjunta-aineita sietävää muuntogeenistä kasvia, sekä siihen mahdollisesti liittyvät vakavat terveysvaikutukset;</w:t>
      </w:r>
    </w:p>
    <w:p w14:paraId="73FAD295" w14:textId="77777777" w:rsidR="002F4453" w:rsidRPr="00584898" w:rsidRDefault="002F4453" w:rsidP="006C6736">
      <w:pPr>
        <w:pStyle w:val="NormalHanging12a"/>
        <w:widowControl/>
      </w:pPr>
      <w:r w:rsidRPr="00584898">
        <w:t>M.</w:t>
      </w:r>
      <w:r w:rsidRPr="00584898">
        <w:tab/>
        <w:t>toteaa, että komission täytäntöönpanopäätös sallisi edelleen sen, että unioniin tuodaan tuotteita, jotka eivät ole unionin viljelijöiden noudattamien normien mukaisia, mikä asettaisi unionin viljelijät epäedulliseen kilpailuasemaan;</w:t>
      </w:r>
    </w:p>
    <w:p w14:paraId="786D944A" w14:textId="77777777" w:rsidR="002F4453" w:rsidRPr="00584898" w:rsidRDefault="002F4453" w:rsidP="006C6736">
      <w:pPr>
        <w:pStyle w:val="NormalHanging12a"/>
        <w:widowControl/>
      </w:pPr>
      <w:r w:rsidRPr="00584898">
        <w:t>N.</w:t>
      </w:r>
      <w:r w:rsidRPr="00584898">
        <w:tab/>
        <w:t>ottaa huomioon, että EU:n maatalouden tulevaisuudesta käydyn strategisen vuoropuhelun päätelmissä</w:t>
      </w:r>
      <w:r w:rsidRPr="00584898">
        <w:rPr>
          <w:vertAlign w:val="superscript"/>
        </w:rPr>
        <w:footnoteReference w:id="13"/>
      </w:r>
      <w:r w:rsidRPr="00584898">
        <w:t xml:space="preserve"> kehotetaan komissiota arvioimaan uudelleen lähestymistapaansa tuotavien ja vietävien maatalouselintarvikkeiden markkinoille pääsyyn, kun otetaan huomioon unionin ja sen kauppakumppanien toisistaan poikkeavien sääntöjen aiheuttama haaste; ottaa huomioon, että maailmanlaajuisesti oikeudenmukaisemmat kauppasuhteet, jotka ovat johdonmukaisia terveellistä ympäristöä koskevien tavoitteiden kanssa, olivat yksi viljelijöiden keskeisistä vaatimuksista vuosien 2023, 2024 ja 2025 mielenosoituksissa;</w:t>
      </w:r>
    </w:p>
    <w:p w14:paraId="1EDEC5F5" w14:textId="77777777" w:rsidR="002F4453" w:rsidRPr="00584898" w:rsidRDefault="002F4453" w:rsidP="006C6736">
      <w:pPr>
        <w:pStyle w:val="NormalHanging12a"/>
        <w:widowControl/>
      </w:pPr>
      <w:r w:rsidRPr="00584898">
        <w:t>O.</w:t>
      </w:r>
      <w:r w:rsidRPr="00584898">
        <w:tab/>
        <w:t>toteaa korostaneensa toistuvasti, että jatkuvan demokratiavajeen korjaamiseksi komission ei pitäisi antaa lupaa muuntogeenisille organismeille silloin, kun jäsenvaltiot eivät ole saavuttaneet määräenemmistöä pysyvässä kasvi-, eläin-, elintarvike- ja rehukomiteassa tai muutoksenhakukomiteassa;</w:t>
      </w:r>
    </w:p>
    <w:p w14:paraId="635D1135" w14:textId="77777777" w:rsidR="002F4453" w:rsidRPr="00584898" w:rsidRDefault="002F4453" w:rsidP="006C6736">
      <w:pPr>
        <w:pStyle w:val="NormalHanging12a"/>
        <w:widowControl/>
      </w:pPr>
      <w:r w:rsidRPr="00584898">
        <w:lastRenderedPageBreak/>
        <w:t>P.</w:t>
      </w:r>
      <w:r w:rsidRPr="00584898">
        <w:tab/>
        <w:t>toteaa, että komissio jatkaa lupien myöntämistä muuntogeenisille organismeille, vaikka se itse myöntää demokraattisuuden puutteen, ja huolimatta jäsenvaltioiden tuen puuttumisesta ja parlamentin vastustuksesta;</w:t>
      </w:r>
    </w:p>
    <w:p w14:paraId="046A09DB" w14:textId="77777777" w:rsidR="002F4453" w:rsidRPr="00584898" w:rsidRDefault="002F4453" w:rsidP="006C6736">
      <w:pPr>
        <w:pStyle w:val="NormalHanging12a"/>
        <w:widowControl/>
      </w:pPr>
      <w:r w:rsidRPr="00584898">
        <w:t>Q.</w:t>
      </w:r>
      <w:r w:rsidRPr="00584898">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7308C3BD" w14:textId="77777777" w:rsidR="002F4453" w:rsidRPr="00584898" w:rsidRDefault="002F4453" w:rsidP="006C6736">
      <w:pPr>
        <w:pStyle w:val="NormalHanging12a"/>
        <w:widowControl/>
      </w:pPr>
      <w:r w:rsidRPr="00584898">
        <w:t>1.</w:t>
      </w:r>
      <w:r w:rsidRPr="00584898">
        <w:tab/>
        <w:t>katsoo, että ehdotus komission täytäntöönpanopäätökseksi ylittää asetuksessa (EY) N:o 1829/2003 säädetyn täytäntöönpanovallan;</w:t>
      </w:r>
    </w:p>
    <w:p w14:paraId="324A17CE" w14:textId="77777777" w:rsidR="002F4453" w:rsidRPr="00584898" w:rsidRDefault="002F4453" w:rsidP="006C6736">
      <w:pPr>
        <w:pStyle w:val="NormalHanging12a"/>
        <w:widowControl/>
      </w:pPr>
      <w:r w:rsidRPr="00584898">
        <w:t>2.</w:t>
      </w:r>
      <w:r w:rsidRPr="00584898">
        <w:tab/>
        <w:t>katsoo, että ehdotus komission täytäntöönpanopäätökseksi ei ole unionin oikeuden mukainen, sillä se on yhteensopimaton asetuksen (EY) N:o 1829/2003 tavoitteen kanssa; toteaa, että kyseisen asetuksen tavoitteena on Euroopan parlamentin ja neuvoston asetuksessa (EY) N:o 178/2002</w:t>
      </w:r>
      <w:r w:rsidRPr="00584898">
        <w:rPr>
          <w:vertAlign w:val="superscript"/>
        </w:rPr>
        <w:footnoteReference w:id="14"/>
      </w:r>
      <w:r w:rsidRPr="00584898">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 </w:t>
      </w:r>
    </w:p>
    <w:p w14:paraId="5F801446" w14:textId="77777777" w:rsidR="002F4453" w:rsidRPr="00584898" w:rsidRDefault="002F4453" w:rsidP="006C6736">
      <w:pPr>
        <w:pStyle w:val="NormalHanging12a"/>
        <w:widowControl/>
      </w:pPr>
      <w:r w:rsidRPr="00584898">
        <w:t>3.</w:t>
      </w:r>
      <w:r w:rsidRPr="00584898">
        <w:tab/>
        <w:t>pyytää komissiota peruuttamaan ehdotuksen täytäntöönpanopäätökseksi;</w:t>
      </w:r>
    </w:p>
    <w:p w14:paraId="4F96A47C" w14:textId="77777777" w:rsidR="002F4453" w:rsidRPr="00584898" w:rsidRDefault="002F4453" w:rsidP="006C6736">
      <w:pPr>
        <w:pStyle w:val="NormalHanging12a"/>
        <w:widowControl/>
      </w:pPr>
      <w:bookmarkStart w:id="13" w:name="_Hlk218675841"/>
      <w:r w:rsidRPr="00584898">
        <w:t>4.</w:t>
      </w:r>
      <w:r w:rsidRPr="00584898">
        <w:tab/>
        <w:t>pyytää komissiota olemaan uusimatta muuntogeeniselle puuvillalle myönnettyä lupaa, koska biologiseen monimuotoisuuteen, elintarviketurvallisuuteen, viljelijöiden toimeentuloon ja eläinten terveyteen kohdistuvista pitkän aikavälin vaikutuksista ei ole riittävästi yhteinen terveys -mallin edellyttämää näyttöä;</w:t>
      </w:r>
    </w:p>
    <w:p w14:paraId="613107D4" w14:textId="77777777" w:rsidR="002F4453" w:rsidRPr="00584898" w:rsidRDefault="002F4453" w:rsidP="006C6736">
      <w:pPr>
        <w:pStyle w:val="NormalHanging12a"/>
        <w:widowControl/>
      </w:pPr>
      <w:bookmarkStart w:id="14" w:name="_Hlk210900300"/>
      <w:r w:rsidRPr="00584898">
        <w:t>5.</w:t>
      </w:r>
      <w:r w:rsidRPr="00584898">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14"/>
      <w:r w:rsidRPr="00584898">
        <w:t>;</w:t>
      </w:r>
    </w:p>
    <w:p w14:paraId="3106479A" w14:textId="77777777" w:rsidR="002F4453" w:rsidRPr="00584898" w:rsidRDefault="002F4453" w:rsidP="006C6736">
      <w:pPr>
        <w:pStyle w:val="NormalHanging12a"/>
        <w:widowControl/>
      </w:pPr>
      <w:bookmarkStart w:id="15" w:name="_Hlk210900241"/>
      <w:r w:rsidRPr="00584898">
        <w:t>6.</w:t>
      </w:r>
      <w:r w:rsidRPr="00584898">
        <w:tab/>
        <w:t xml:space="preserve">korostaa tässä yhteydessä, että luvan myöntäminen minkä tahansa sellaisen muuntogeenisen kasvin tuonnille elintarvike-, rehu- tai tuotekäyttöön, josta on tehty sietokykyinen unionissa kielletyille rikkakasvien torjunta-aineille, kuten </w:t>
      </w:r>
      <w:proofErr w:type="spellStart"/>
      <w:r w:rsidRPr="00584898">
        <w:t>glufosinaatille</w:t>
      </w:r>
      <w:proofErr w:type="spellEnd"/>
      <w:r w:rsidRPr="00584898">
        <w:t>, on ristiriidassa muun muassa biologista monimuotoisuutta koskevasta YK:n yleissopimuksesta ja YK:n kestävän kehityksen tavoitteista, mukaan lukien Kunmingin-Montrealin maailmanlaajuinen luonnon monimuotoisuuskehys, johtuvien unionin kansainvälisten sitoumusten kanssa ja johtaa unionin viljelijöiden kannalta epätasapuolisiin toimintaedellytyksiin;</w:t>
      </w:r>
    </w:p>
    <w:bookmarkEnd w:id="15"/>
    <w:p w14:paraId="58F5B4E3" w14:textId="05C19AAC" w:rsidR="00584898" w:rsidRPr="00584898" w:rsidRDefault="002F4453" w:rsidP="006C6736">
      <w:pPr>
        <w:pStyle w:val="NormalHanging12a"/>
        <w:widowControl/>
      </w:pPr>
      <w:r w:rsidRPr="00584898">
        <w:t>7.</w:t>
      </w:r>
      <w:r w:rsidRPr="00584898">
        <w:tab/>
      </w:r>
      <w:bookmarkEnd w:id="13"/>
      <w:r w:rsidRPr="00584898">
        <w:t>kehottaa puhemiestä välittämään tämän päätöslauselman neuvostolle ja komissiolle sekä jäsenvaltioiden hallituksille ja parlamenteille.</w:t>
      </w:r>
    </w:p>
    <w:sectPr w:rsidR="00584898" w:rsidRPr="00584898" w:rsidSect="0058489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7C571" w14:textId="77777777" w:rsidR="00E20658" w:rsidRPr="00584898" w:rsidRDefault="00E20658">
      <w:r w:rsidRPr="00584898">
        <w:separator/>
      </w:r>
    </w:p>
  </w:endnote>
  <w:endnote w:type="continuationSeparator" w:id="0">
    <w:p w14:paraId="2104EBC6" w14:textId="77777777" w:rsidR="00E20658" w:rsidRPr="00584898" w:rsidRDefault="00E20658">
      <w:r w:rsidRPr="005848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AEA98" w14:textId="77777777" w:rsidR="00E20658" w:rsidRPr="00584898" w:rsidRDefault="00E20658">
      <w:r w:rsidRPr="00584898">
        <w:separator/>
      </w:r>
    </w:p>
  </w:footnote>
  <w:footnote w:type="continuationSeparator" w:id="0">
    <w:p w14:paraId="0D8C5ABF" w14:textId="77777777" w:rsidR="00E20658" w:rsidRPr="00584898" w:rsidRDefault="00E20658">
      <w:r w:rsidRPr="00584898">
        <w:continuationSeparator/>
      </w:r>
    </w:p>
  </w:footnote>
  <w:footnote w:id="1">
    <w:p w14:paraId="7CD8855F" w14:textId="34EFBA41" w:rsidR="002F4453" w:rsidRPr="00423688" w:rsidRDefault="002F4453" w:rsidP="00584898">
      <w:pPr>
        <w:pStyle w:val="FootnoteText"/>
        <w:ind w:left="567" w:hanging="567"/>
        <w:rPr>
          <w:sz w:val="24"/>
          <w:lang w:val="fr-BE"/>
        </w:rPr>
      </w:pPr>
      <w:r w:rsidRPr="00584898">
        <w:rPr>
          <w:rStyle w:val="FootnoteReference"/>
          <w:sz w:val="24"/>
          <w:lang w:val="fi-FI"/>
        </w:rPr>
        <w:footnoteRef/>
      </w:r>
      <w:r w:rsidR="00584898" w:rsidRPr="00423688">
        <w:rPr>
          <w:sz w:val="24"/>
          <w:lang w:val="fr-BE"/>
        </w:rPr>
        <w:t xml:space="preserve"> </w:t>
      </w:r>
      <w:r w:rsidR="00584898" w:rsidRPr="00423688">
        <w:rPr>
          <w:sz w:val="24"/>
          <w:lang w:val="fr-BE"/>
        </w:rPr>
        <w:tab/>
      </w:r>
      <w:r w:rsidRPr="00423688">
        <w:rPr>
          <w:sz w:val="24"/>
          <w:lang w:val="fr-BE"/>
        </w:rPr>
        <w:t>EUVL L 268, 18.10.2003, s. 1, ELI: </w:t>
      </w:r>
      <w:hyperlink r:id="rId1" w:history="1">
        <w:r w:rsidRPr="00423688">
          <w:rPr>
            <w:rStyle w:val="Hyperlink"/>
            <w:sz w:val="24"/>
            <w:lang w:val="fr-BE"/>
          </w:rPr>
          <w:t>https://eur-lex.europa.eu/eli/reg/2003/1829/oj</w:t>
        </w:r>
      </w:hyperlink>
      <w:r w:rsidRPr="00423688">
        <w:rPr>
          <w:rStyle w:val="Hyperlink"/>
          <w:sz w:val="24"/>
          <w:lang w:val="fr-BE"/>
        </w:rPr>
        <w:t>.</w:t>
      </w:r>
    </w:p>
  </w:footnote>
  <w:footnote w:id="2">
    <w:p w14:paraId="198194FC" w14:textId="496D02EA" w:rsidR="002F4453" w:rsidRPr="00423688" w:rsidRDefault="002F4453" w:rsidP="00584898">
      <w:pPr>
        <w:pStyle w:val="FootnoteText"/>
        <w:ind w:left="567" w:hanging="567"/>
        <w:rPr>
          <w:sz w:val="24"/>
          <w:lang w:val="fr-BE"/>
        </w:rPr>
      </w:pPr>
      <w:r w:rsidRPr="00584898">
        <w:rPr>
          <w:rStyle w:val="FootnoteReference"/>
          <w:sz w:val="24"/>
          <w:lang w:val="fi-FI"/>
        </w:rPr>
        <w:footnoteRef/>
      </w:r>
      <w:r w:rsidR="00584898" w:rsidRPr="00423688">
        <w:rPr>
          <w:sz w:val="24"/>
          <w:lang w:val="fr-BE"/>
        </w:rPr>
        <w:t xml:space="preserve"> </w:t>
      </w:r>
      <w:r w:rsidR="00584898" w:rsidRPr="00423688">
        <w:rPr>
          <w:sz w:val="24"/>
          <w:lang w:val="fr-BE"/>
        </w:rPr>
        <w:tab/>
      </w:r>
      <w:r w:rsidRPr="00423688">
        <w:rPr>
          <w:sz w:val="24"/>
          <w:lang w:val="fr-BE"/>
        </w:rPr>
        <w:t>EUVL L 55, 28.2.2011, s. 13, ELI: </w:t>
      </w:r>
      <w:hyperlink r:id="rId2" w:history="1">
        <w:r w:rsidRPr="00423688">
          <w:rPr>
            <w:rStyle w:val="Hyperlink"/>
            <w:sz w:val="24"/>
            <w:lang w:val="fr-BE"/>
          </w:rPr>
          <w:t>http://data.europa.eu/eli/reg/2011/182/oj</w:t>
        </w:r>
      </w:hyperlink>
      <w:r w:rsidRPr="00423688">
        <w:rPr>
          <w:sz w:val="24"/>
          <w:lang w:val="fr-BE"/>
        </w:rPr>
        <w:t>.</w:t>
      </w:r>
    </w:p>
  </w:footnote>
  <w:footnote w:id="3">
    <w:p w14:paraId="1B3D4A9C" w14:textId="30766001" w:rsidR="002F4453" w:rsidRPr="00423688" w:rsidRDefault="002F4453" w:rsidP="00584898">
      <w:pPr>
        <w:pStyle w:val="FootnoteText"/>
        <w:ind w:left="567" w:hanging="567"/>
        <w:rPr>
          <w:sz w:val="24"/>
          <w:lang w:val="en-GB"/>
        </w:rPr>
      </w:pPr>
      <w:r w:rsidRPr="00584898">
        <w:rPr>
          <w:rStyle w:val="FootnoteReference"/>
          <w:sz w:val="24"/>
          <w:lang w:val="fi-FI"/>
        </w:rPr>
        <w:footnoteRef/>
      </w:r>
      <w:r w:rsidR="00584898" w:rsidRPr="00423688">
        <w:rPr>
          <w:sz w:val="24"/>
          <w:lang w:val="en-GB"/>
        </w:rPr>
        <w:t xml:space="preserve"> </w:t>
      </w:r>
      <w:r w:rsidR="00584898" w:rsidRPr="00423688">
        <w:rPr>
          <w:sz w:val="24"/>
          <w:lang w:val="en-GB"/>
        </w:rPr>
        <w:tab/>
      </w:r>
      <w:proofErr w:type="spellStart"/>
      <w:r w:rsidRPr="00423688">
        <w:rPr>
          <w:sz w:val="24"/>
          <w:lang w:val="en-GB"/>
        </w:rPr>
        <w:t>Muuntogeenisiä</w:t>
      </w:r>
      <w:proofErr w:type="spellEnd"/>
      <w:r w:rsidRPr="00423688">
        <w:rPr>
          <w:sz w:val="24"/>
          <w:lang w:val="en-GB"/>
        </w:rPr>
        <w:t xml:space="preserve"> </w:t>
      </w:r>
      <w:proofErr w:type="spellStart"/>
      <w:r w:rsidRPr="00423688">
        <w:rPr>
          <w:sz w:val="24"/>
          <w:lang w:val="en-GB"/>
        </w:rPr>
        <w:t>organismeja</w:t>
      </w:r>
      <w:proofErr w:type="spellEnd"/>
      <w:r w:rsidRPr="00423688">
        <w:rPr>
          <w:sz w:val="24"/>
          <w:lang w:val="en-GB"/>
        </w:rPr>
        <w:t xml:space="preserve"> </w:t>
      </w:r>
      <w:proofErr w:type="spellStart"/>
      <w:r w:rsidRPr="00423688">
        <w:rPr>
          <w:sz w:val="24"/>
          <w:lang w:val="en-GB"/>
        </w:rPr>
        <w:t>käsittelevän</w:t>
      </w:r>
      <w:proofErr w:type="spellEnd"/>
      <w:r w:rsidRPr="00423688">
        <w:rPr>
          <w:sz w:val="24"/>
          <w:lang w:val="en-GB"/>
        </w:rPr>
        <w:t xml:space="preserve"> </w:t>
      </w:r>
      <w:proofErr w:type="spellStart"/>
      <w:r w:rsidRPr="00423688">
        <w:rPr>
          <w:sz w:val="24"/>
          <w:lang w:val="en-GB"/>
        </w:rPr>
        <w:t>EFSAn</w:t>
      </w:r>
      <w:proofErr w:type="spellEnd"/>
      <w:r w:rsidRPr="00423688">
        <w:rPr>
          <w:sz w:val="24"/>
          <w:lang w:val="en-GB"/>
        </w:rPr>
        <w:t xml:space="preserve"> </w:t>
      </w:r>
      <w:proofErr w:type="spellStart"/>
      <w:r w:rsidRPr="00423688">
        <w:rPr>
          <w:sz w:val="24"/>
          <w:lang w:val="en-GB"/>
        </w:rPr>
        <w:t>lautakunnan</w:t>
      </w:r>
      <w:proofErr w:type="spellEnd"/>
      <w:r w:rsidRPr="00423688">
        <w:rPr>
          <w:sz w:val="24"/>
          <w:lang w:val="en-GB"/>
        </w:rPr>
        <w:t xml:space="preserve"> </w:t>
      </w:r>
      <w:proofErr w:type="spellStart"/>
      <w:r w:rsidRPr="00423688">
        <w:rPr>
          <w:sz w:val="24"/>
          <w:lang w:val="en-GB"/>
        </w:rPr>
        <w:t>tieteellinen</w:t>
      </w:r>
      <w:proofErr w:type="spellEnd"/>
      <w:r w:rsidRPr="00423688">
        <w:rPr>
          <w:sz w:val="24"/>
          <w:lang w:val="en-GB"/>
        </w:rPr>
        <w:t xml:space="preserve"> </w:t>
      </w:r>
      <w:proofErr w:type="spellStart"/>
      <w:r w:rsidRPr="00423688">
        <w:rPr>
          <w:sz w:val="24"/>
          <w:lang w:val="en-GB"/>
        </w:rPr>
        <w:t>lausunto</w:t>
      </w:r>
      <w:proofErr w:type="spellEnd"/>
      <w:r w:rsidRPr="00423688">
        <w:rPr>
          <w:sz w:val="24"/>
          <w:lang w:val="en-GB"/>
        </w:rPr>
        <w:t xml:space="preserve"> ”Assessment of genetically modified cotton T304-40 for renewal authorisation under Regulation (EC) No 1829/2003 (dossier GMFF-2024-23010)”, </w:t>
      </w:r>
      <w:r w:rsidRPr="00423688">
        <w:rPr>
          <w:i/>
          <w:sz w:val="24"/>
          <w:lang w:val="en-GB"/>
        </w:rPr>
        <w:t>EFSA Journal,</w:t>
      </w:r>
      <w:r w:rsidRPr="00423688">
        <w:rPr>
          <w:sz w:val="24"/>
          <w:lang w:val="en-GB"/>
        </w:rPr>
        <w:t xml:space="preserve"> 2025, 23(7):e9580, </w:t>
      </w:r>
      <w:hyperlink r:id="rId3" w:history="1">
        <w:r w:rsidRPr="00423688">
          <w:rPr>
            <w:color w:val="0563C1"/>
            <w:sz w:val="24"/>
            <w:u w:val="single"/>
            <w:lang w:val="en-GB"/>
          </w:rPr>
          <w:t>https://doi.org/10.2903/j.efsa.2025.9580</w:t>
        </w:r>
      </w:hyperlink>
      <w:r w:rsidRPr="00423688">
        <w:rPr>
          <w:sz w:val="24"/>
          <w:lang w:val="en-GB"/>
        </w:rPr>
        <w:t>.</w:t>
      </w:r>
    </w:p>
  </w:footnote>
  <w:footnote w:id="4">
    <w:p w14:paraId="19640BF4" w14:textId="48937AD8" w:rsidR="002F4453" w:rsidRPr="00584898" w:rsidRDefault="002F4453" w:rsidP="00584898">
      <w:pPr>
        <w:pStyle w:val="FootnoteText"/>
        <w:ind w:left="567" w:hanging="567"/>
        <w:rPr>
          <w:color w:val="000000" w:themeColor="text1"/>
          <w:sz w:val="24"/>
          <w:vertAlign w:val="superscript"/>
          <w:lang w:val="fi-FI"/>
        </w:rPr>
      </w:pPr>
      <w:r w:rsidRPr="00584898">
        <w:rPr>
          <w:rStyle w:val="FootnoteReference"/>
          <w:sz w:val="24"/>
          <w:lang w:val="fi-FI"/>
        </w:rPr>
        <w:footnoteRef/>
      </w:r>
      <w:r w:rsidR="00584898" w:rsidRPr="00584898">
        <w:rPr>
          <w:sz w:val="24"/>
          <w:lang w:val="fi-FI"/>
        </w:rPr>
        <w:t xml:space="preserve"> </w:t>
      </w:r>
      <w:r w:rsidR="00584898" w:rsidRPr="00584898">
        <w:rPr>
          <w:sz w:val="24"/>
          <w:lang w:val="fi-FI"/>
        </w:rPr>
        <w:tab/>
      </w:r>
      <w:r w:rsidRPr="00584898">
        <w:rPr>
          <w:sz w:val="24"/>
          <w:lang w:val="fi-FI"/>
        </w:rPr>
        <w:t>Kahdeksannella vaalikaudella parlamentti hyväksyi 36 päätöslauselmaa ja yhdeksännellä vaalikaudella 38 päätöslauselmaa, joissa vastustettiin lupien myöntämistä muuntogeenisille organismeille.</w:t>
      </w:r>
      <w:r w:rsidRPr="00584898">
        <w:rPr>
          <w:color w:val="000000" w:themeColor="text1"/>
          <w:sz w:val="24"/>
          <w:lang w:val="fi-FI"/>
        </w:rPr>
        <w:t xml:space="preserve"> Lisäksi parlamentti on hyväksynyt kymmenennellä vaalikaudella seuraavat päätöslauselmat:</w:t>
      </w:r>
    </w:p>
    <w:p w14:paraId="2E2B5BD8" w14:textId="615CDFAC" w:rsidR="002F4453" w:rsidRPr="00584898" w:rsidRDefault="00584898" w:rsidP="00584898">
      <w:pPr>
        <w:pStyle w:val="FootnoteText"/>
        <w:ind w:left="567" w:hanging="567"/>
        <w:rPr>
          <w:color w:val="000000" w:themeColor="text1"/>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t>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4" w:history="1">
        <w:r w:rsidR="002F4453" w:rsidRPr="00584898">
          <w:rPr>
            <w:rStyle w:val="Hyperlink"/>
            <w:sz w:val="24"/>
            <w:lang w:val="fi-FI"/>
          </w:rPr>
          <w:t>http://data.europa.eu/eli/C/2025/1797/oj</w:t>
        </w:r>
      </w:hyperlink>
      <w:r w:rsidR="002F4453" w:rsidRPr="00584898">
        <w:rPr>
          <w:color w:val="000000" w:themeColor="text1"/>
          <w:sz w:val="24"/>
          <w:lang w:val="fi-FI"/>
        </w:rPr>
        <w:t>).</w:t>
      </w:r>
    </w:p>
    <w:p w14:paraId="506F3CE4" w14:textId="0018A5C0" w:rsidR="002F4453" w:rsidRPr="00584898" w:rsidRDefault="00584898" w:rsidP="00584898">
      <w:pPr>
        <w:pStyle w:val="FootnoteText"/>
        <w:ind w:left="567" w:hanging="567"/>
        <w:rPr>
          <w:color w:val="000000" w:themeColor="text1"/>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5" w:history="1">
        <w:r w:rsidR="002F4453" w:rsidRPr="00584898">
          <w:rPr>
            <w:rStyle w:val="Hyperlink"/>
            <w:sz w:val="24"/>
            <w:lang w:val="fi-FI"/>
          </w:rPr>
          <w:t>http://data.europa.eu/eli/C/2025/1798/oj</w:t>
        </w:r>
      </w:hyperlink>
      <w:r w:rsidR="002F4453" w:rsidRPr="00584898">
        <w:rPr>
          <w:color w:val="000000" w:themeColor="text1"/>
          <w:sz w:val="24"/>
          <w:lang w:val="fi-FI"/>
        </w:rPr>
        <w:t>).</w:t>
      </w:r>
    </w:p>
    <w:p w14:paraId="567FE559" w14:textId="007DCDCD" w:rsidR="002F4453" w:rsidRPr="00584898" w:rsidRDefault="00584898" w:rsidP="00584898">
      <w:pPr>
        <w:pStyle w:val="FootnoteText"/>
        <w:ind w:left="567" w:hanging="567"/>
        <w:rPr>
          <w:color w:val="000000" w:themeColor="text1"/>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t>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6" w:history="1">
        <w:r w:rsidR="002F4453" w:rsidRPr="00584898">
          <w:rPr>
            <w:rStyle w:val="Hyperlink"/>
            <w:sz w:val="24"/>
            <w:lang w:val="fi-FI"/>
          </w:rPr>
          <w:t>http://data.europa.eu/eli/C/2025/1799/oj</w:t>
        </w:r>
      </w:hyperlink>
      <w:r w:rsidR="002F4453" w:rsidRPr="00584898">
        <w:rPr>
          <w:color w:val="000000" w:themeColor="text1"/>
          <w:sz w:val="24"/>
          <w:lang w:val="fi-FI"/>
        </w:rPr>
        <w:t>).</w:t>
      </w:r>
    </w:p>
    <w:p w14:paraId="038E5E1A" w14:textId="4C9B64FB" w:rsidR="002F4453" w:rsidRPr="00584898" w:rsidRDefault="00584898" w:rsidP="00584898">
      <w:pPr>
        <w:pStyle w:val="FootnoteText"/>
        <w:ind w:left="567" w:hanging="567"/>
        <w:rPr>
          <w:color w:val="000000" w:themeColor="text1"/>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t>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7" w:history="1">
        <w:r w:rsidR="002F4453" w:rsidRPr="00584898">
          <w:rPr>
            <w:rStyle w:val="Hyperlink"/>
            <w:sz w:val="24"/>
            <w:lang w:val="fi-FI"/>
          </w:rPr>
          <w:t>http://data.europa.eu/eli/C/2025/1800/oj</w:t>
        </w:r>
      </w:hyperlink>
      <w:r w:rsidR="002F4453" w:rsidRPr="00584898">
        <w:rPr>
          <w:color w:val="000000" w:themeColor="text1"/>
          <w:sz w:val="24"/>
          <w:lang w:val="fi-FI"/>
        </w:rPr>
        <w:t>).</w:t>
      </w:r>
    </w:p>
    <w:p w14:paraId="07BCCBF6" w14:textId="754CDFB3" w:rsidR="002F4453" w:rsidRPr="00584898" w:rsidRDefault="00584898" w:rsidP="00584898">
      <w:pPr>
        <w:pStyle w:val="FootnoteText"/>
        <w:ind w:left="567" w:hanging="567"/>
        <w:rPr>
          <w:color w:val="000000" w:themeColor="text1"/>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t>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8" w:history="1">
        <w:r w:rsidR="002F4453" w:rsidRPr="00584898">
          <w:rPr>
            <w:rStyle w:val="Hyperlink"/>
            <w:sz w:val="24"/>
            <w:lang w:val="fi-FI"/>
          </w:rPr>
          <w:t>http://data.europa.eu/eli/C/2025/1801/oj</w:t>
        </w:r>
      </w:hyperlink>
      <w:r w:rsidR="002F4453" w:rsidRPr="00584898">
        <w:rPr>
          <w:color w:val="000000" w:themeColor="text1"/>
          <w:sz w:val="24"/>
          <w:lang w:val="fi-FI"/>
        </w:rPr>
        <w:t>).</w:t>
      </w:r>
    </w:p>
    <w:p w14:paraId="70E95EE7" w14:textId="212ED901" w:rsidR="002F4453" w:rsidRPr="00584898" w:rsidRDefault="00584898" w:rsidP="00584898">
      <w:pPr>
        <w:pStyle w:val="FootnoteText"/>
        <w:ind w:left="567" w:hanging="567"/>
        <w:rPr>
          <w:color w:val="000000" w:themeColor="text1"/>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t>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9" w:history="1">
        <w:r w:rsidR="002F4453" w:rsidRPr="00584898">
          <w:rPr>
            <w:rStyle w:val="Hyperlink"/>
            <w:sz w:val="24"/>
            <w:lang w:val="fi-FI"/>
          </w:rPr>
          <w:t>http://data.europa.eu/eli/C/2025/1802/oj</w:t>
        </w:r>
      </w:hyperlink>
      <w:r w:rsidR="002F4453" w:rsidRPr="00584898">
        <w:rPr>
          <w:color w:val="000000" w:themeColor="text1"/>
          <w:sz w:val="24"/>
          <w:lang w:val="fi-FI"/>
        </w:rPr>
        <w:t>).</w:t>
      </w:r>
    </w:p>
    <w:p w14:paraId="43EAA925" w14:textId="1D47CDDD" w:rsidR="002F4453" w:rsidRPr="00584898" w:rsidRDefault="00584898" w:rsidP="00584898">
      <w:pPr>
        <w:pStyle w:val="FootnoteText"/>
        <w:ind w:left="567" w:hanging="567"/>
        <w:rPr>
          <w:color w:val="000000" w:themeColor="text1"/>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t>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0" w:history="1">
        <w:r w:rsidR="002F4453" w:rsidRPr="00584898">
          <w:rPr>
            <w:rStyle w:val="Hyperlink"/>
            <w:sz w:val="24"/>
            <w:lang w:val="fi-FI"/>
          </w:rPr>
          <w:t>http://data.europa.eu/eli/C/2025/1803/oj</w:t>
        </w:r>
      </w:hyperlink>
      <w:r w:rsidR="002F4453" w:rsidRPr="00584898">
        <w:rPr>
          <w:color w:val="000000" w:themeColor="text1"/>
          <w:sz w:val="24"/>
          <w:lang w:val="fi-FI"/>
        </w:rPr>
        <w:t>).</w:t>
      </w:r>
    </w:p>
    <w:p w14:paraId="1C67D991" w14:textId="66B14A3C" w:rsidR="002F4453" w:rsidRPr="00584898" w:rsidRDefault="00584898" w:rsidP="00584898">
      <w:pPr>
        <w:pStyle w:val="FootnoteText"/>
        <w:ind w:left="567" w:hanging="567"/>
        <w:rPr>
          <w:color w:val="000000" w:themeColor="text1"/>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t>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1" w:history="1">
        <w:r w:rsidR="002F4453" w:rsidRPr="00584898">
          <w:rPr>
            <w:rStyle w:val="Hyperlink"/>
            <w:sz w:val="24"/>
            <w:lang w:val="fi-FI"/>
          </w:rPr>
          <w:t>http://data.europa.eu/eli/C/2025/1804/oj</w:t>
        </w:r>
      </w:hyperlink>
      <w:r w:rsidR="002F4453" w:rsidRPr="00584898">
        <w:rPr>
          <w:color w:val="000000" w:themeColor="text1"/>
          <w:sz w:val="24"/>
          <w:lang w:val="fi-FI"/>
        </w:rPr>
        <w:t>).</w:t>
      </w:r>
    </w:p>
    <w:p w14:paraId="57126372" w14:textId="3A79CD6B" w:rsidR="002F4453" w:rsidRPr="00584898" w:rsidRDefault="00584898" w:rsidP="00584898">
      <w:pPr>
        <w:pStyle w:val="FootnoteText"/>
        <w:ind w:left="567" w:hanging="567"/>
        <w:rPr>
          <w:sz w:val="24"/>
          <w:vertAlign w:val="superscript"/>
          <w:lang w:val="fi-FI"/>
        </w:rPr>
      </w:pPr>
      <w:r w:rsidRPr="00584898">
        <w:rPr>
          <w:color w:val="000000" w:themeColor="text1"/>
          <w:sz w:val="24"/>
          <w:lang w:val="fi-FI"/>
        </w:rPr>
        <w:tab/>
      </w:r>
      <w:r w:rsidR="002F4453" w:rsidRPr="00584898">
        <w:rPr>
          <w:color w:val="000000" w:themeColor="text1"/>
          <w:sz w:val="24"/>
          <w:lang w:val="fi-FI"/>
        </w:rPr>
        <w:t>–</w:t>
      </w:r>
      <w:r w:rsidR="002F4453" w:rsidRPr="00584898">
        <w:rPr>
          <w:color w:val="000000" w:themeColor="text1"/>
          <w:sz w:val="24"/>
          <w:lang w:val="fi-FI"/>
        </w:rPr>
        <w:tab/>
      </w:r>
      <w:r w:rsidR="002F4453" w:rsidRPr="00584898">
        <w:rPr>
          <w:sz w:val="24"/>
          <w:lang w:val="fi-FI"/>
        </w:rPr>
        <w:t>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2" w:history="1">
        <w:r w:rsidR="002F4453" w:rsidRPr="00584898">
          <w:rPr>
            <w:rStyle w:val="Hyperlink"/>
            <w:sz w:val="24"/>
            <w:lang w:val="fi-FI"/>
          </w:rPr>
          <w:t>http://data.europa.eu/eli/C/2025/2246/oj</w:t>
        </w:r>
      </w:hyperlink>
      <w:r w:rsidR="002F4453" w:rsidRPr="00584898">
        <w:rPr>
          <w:sz w:val="24"/>
          <w:lang w:val="fi-FI"/>
        </w:rPr>
        <w:t>).</w:t>
      </w:r>
    </w:p>
    <w:p w14:paraId="777DE919" w14:textId="6DCA51BE"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w:t>
      </w:r>
      <w:r w:rsidR="002F4453" w:rsidRPr="00584898">
        <w:rPr>
          <w:sz w:val="24"/>
          <w:lang w:val="fi-FI"/>
        </w:rPr>
        <w:tab/>
        <w:t>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3" w:history="1">
        <w:r w:rsidR="002F4453" w:rsidRPr="00584898">
          <w:rPr>
            <w:rStyle w:val="Hyperlink"/>
            <w:sz w:val="24"/>
            <w:lang w:val="fi-FI"/>
          </w:rPr>
          <w:t>http://data.europa.eu/eli/C/2025/2247/oj</w:t>
        </w:r>
      </w:hyperlink>
      <w:r w:rsidR="002F4453" w:rsidRPr="00584898">
        <w:rPr>
          <w:sz w:val="24"/>
          <w:lang w:val="fi-FI"/>
        </w:rPr>
        <w:t>).</w:t>
      </w:r>
    </w:p>
    <w:p w14:paraId="3464585F" w14:textId="05AED7FE"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w:t>
      </w:r>
      <w:r w:rsidR="002F4453" w:rsidRPr="00584898">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w:t>
      </w:r>
      <w:r w:rsidR="00415D29">
        <w:rPr>
          <w:sz w:val="24"/>
          <w:lang w:val="fi-FI"/>
        </w:rPr>
        <w:t>Hyväksytyt tekstit, P10</w:t>
      </w:r>
      <w:r w:rsidR="002F4453" w:rsidRPr="00584898">
        <w:rPr>
          <w:sz w:val="24"/>
          <w:lang w:val="fi-FI"/>
        </w:rPr>
        <w:t>_TA(2025)0106).</w:t>
      </w:r>
    </w:p>
    <w:p w14:paraId="089F0AC2" w14:textId="1FA0E964"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w:t>
      </w:r>
      <w:r w:rsidR="002F4453" w:rsidRPr="00584898">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w:t>
      </w:r>
      <w:r w:rsidR="00415D29">
        <w:rPr>
          <w:sz w:val="24"/>
          <w:lang w:val="fi-FI"/>
        </w:rPr>
        <w:t xml:space="preserve">Hyväksytyt tekstit, </w:t>
      </w:r>
      <w:r w:rsidR="002F4453" w:rsidRPr="00584898">
        <w:rPr>
          <w:sz w:val="24"/>
          <w:lang w:val="fi-FI"/>
        </w:rPr>
        <w:t>P10_TA(2025)0222).</w:t>
      </w:r>
    </w:p>
    <w:p w14:paraId="586C6A93" w14:textId="7B266B0E"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w:t>
      </w:r>
      <w:r w:rsidR="002F4453" w:rsidRPr="00584898">
        <w:rPr>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w:t>
      </w:r>
      <w:r w:rsidR="00415D29">
        <w:rPr>
          <w:sz w:val="24"/>
          <w:lang w:val="fi-FI"/>
        </w:rPr>
        <w:t xml:space="preserve">Hyväksytyt tekstit, </w:t>
      </w:r>
      <w:r w:rsidR="002F4453" w:rsidRPr="00584898">
        <w:rPr>
          <w:sz w:val="24"/>
          <w:lang w:val="fi-FI"/>
        </w:rPr>
        <w:t>P10_TA(2025)0288).</w:t>
      </w:r>
    </w:p>
    <w:p w14:paraId="524168C9" w14:textId="0BE5EE1A"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w:t>
      </w:r>
      <w:r w:rsidR="002F4453" w:rsidRPr="00584898">
        <w:rPr>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w:t>
      </w:r>
      <w:r w:rsidR="00415D29">
        <w:rPr>
          <w:sz w:val="24"/>
          <w:lang w:val="fi-FI"/>
        </w:rPr>
        <w:t xml:space="preserve">Hyväksytyt tekstit, </w:t>
      </w:r>
      <w:r w:rsidR="002F4453" w:rsidRPr="00584898">
        <w:rPr>
          <w:sz w:val="24"/>
          <w:lang w:val="fi-FI"/>
        </w:rPr>
        <w:t>P10_TA(2025)0289).</w:t>
      </w:r>
    </w:p>
    <w:p w14:paraId="325DC9A0" w14:textId="0EEC1239"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w:t>
      </w:r>
      <w:r w:rsidR="00415D29">
        <w:rPr>
          <w:sz w:val="24"/>
          <w:lang w:val="fi-FI"/>
        </w:rPr>
        <w:t xml:space="preserve">Hyväksytyt tekstit, </w:t>
      </w:r>
      <w:r w:rsidR="002F4453" w:rsidRPr="00584898">
        <w:rPr>
          <w:sz w:val="24"/>
          <w:lang w:val="fi-FI"/>
        </w:rPr>
        <w:t>P10_TA(2025)0290).</w:t>
      </w:r>
    </w:p>
    <w:p w14:paraId="530CDA76" w14:textId="1183BFB8"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w:t>
      </w:r>
      <w:r w:rsidR="002F4453" w:rsidRPr="00584898">
        <w:rPr>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w:t>
      </w:r>
      <w:r w:rsidR="00415D29">
        <w:rPr>
          <w:sz w:val="24"/>
          <w:lang w:val="fi-FI"/>
        </w:rPr>
        <w:t xml:space="preserve">Hyväksytyt tekstit, </w:t>
      </w:r>
      <w:r w:rsidR="002F4453" w:rsidRPr="00584898">
        <w:rPr>
          <w:sz w:val="24"/>
          <w:lang w:val="fi-FI"/>
        </w:rPr>
        <w:t>P10_TA(2025)0291).</w:t>
      </w:r>
    </w:p>
    <w:p w14:paraId="2F25CAD1" w14:textId="065EB35D"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Euroopan parlamentin päätöslauselma 25. marraskuuta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 (</w:t>
      </w:r>
      <w:r w:rsidR="00415D29">
        <w:rPr>
          <w:sz w:val="24"/>
          <w:lang w:val="fi-FI"/>
        </w:rPr>
        <w:t xml:space="preserve">Hyväksytyt tekstit, </w:t>
      </w:r>
      <w:r w:rsidR="002F4453" w:rsidRPr="00584898">
        <w:rPr>
          <w:sz w:val="24"/>
          <w:lang w:val="fi-FI"/>
        </w:rPr>
        <w:t>P10_TA(2025)0292).</w:t>
      </w:r>
    </w:p>
    <w:p w14:paraId="57E2879F" w14:textId="05DCAA65" w:rsidR="002F4453" w:rsidRPr="00584898" w:rsidRDefault="00584898" w:rsidP="00584898">
      <w:pPr>
        <w:pStyle w:val="FootnoteText"/>
        <w:ind w:left="567" w:hanging="567"/>
        <w:rPr>
          <w:sz w:val="24"/>
          <w:vertAlign w:val="superscript"/>
          <w:lang w:val="fi-FI"/>
        </w:rPr>
      </w:pPr>
      <w:r w:rsidRPr="00584898">
        <w:rPr>
          <w:sz w:val="24"/>
          <w:lang w:val="fi-FI"/>
        </w:rPr>
        <w:tab/>
      </w:r>
      <w:r w:rsidR="002F4453" w:rsidRPr="00584898">
        <w:rPr>
          <w:sz w:val="24"/>
          <w:lang w:val="fi-FI"/>
        </w:rPr>
        <w:t>Euroopan parlamentin päätöslauselma 16.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 (</w:t>
      </w:r>
      <w:r w:rsidR="00415D29">
        <w:rPr>
          <w:sz w:val="24"/>
          <w:lang w:val="fi-FI"/>
        </w:rPr>
        <w:t xml:space="preserve">Hyväksytyt tekstit, </w:t>
      </w:r>
      <w:r w:rsidR="002F4453" w:rsidRPr="00584898">
        <w:rPr>
          <w:sz w:val="24"/>
          <w:lang w:val="fi-FI"/>
        </w:rPr>
        <w:t>P10_TA(2025)0327).</w:t>
      </w:r>
    </w:p>
    <w:p w14:paraId="2879B47B" w14:textId="7D81A02E" w:rsidR="002F4453" w:rsidRPr="00584898" w:rsidRDefault="00584898" w:rsidP="00584898">
      <w:pPr>
        <w:pStyle w:val="FootnoteText"/>
        <w:ind w:left="567" w:hanging="567"/>
        <w:rPr>
          <w:sz w:val="24"/>
          <w:lang w:val="fi-FI"/>
        </w:rPr>
      </w:pPr>
      <w:r w:rsidRPr="00584898">
        <w:rPr>
          <w:sz w:val="24"/>
          <w:lang w:val="fi-FI"/>
        </w:rPr>
        <w:tab/>
      </w:r>
      <w:r w:rsidR="002F4453" w:rsidRPr="00584898">
        <w:rPr>
          <w:sz w:val="24"/>
          <w:lang w:val="fi-FI"/>
        </w:rPr>
        <w:t>Euroopan parlamentin päätöslauselma 16.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 (</w:t>
      </w:r>
      <w:r w:rsidR="00415D29">
        <w:rPr>
          <w:sz w:val="24"/>
          <w:lang w:val="fi-FI"/>
        </w:rPr>
        <w:t xml:space="preserve">Hyväksytyt tekstit, </w:t>
      </w:r>
      <w:r w:rsidR="002F4453" w:rsidRPr="00584898">
        <w:rPr>
          <w:sz w:val="24"/>
          <w:lang w:val="fi-FI"/>
        </w:rPr>
        <w:t>P10_TA(2025)0328).</w:t>
      </w:r>
    </w:p>
  </w:footnote>
  <w:footnote w:id="5">
    <w:p w14:paraId="600DA4BA" w14:textId="652E83B8" w:rsidR="002F4453" w:rsidRPr="00584898" w:rsidRDefault="002F4453" w:rsidP="00584898">
      <w:pPr>
        <w:pStyle w:val="FootnoteText"/>
        <w:ind w:left="567" w:hanging="567"/>
        <w:rPr>
          <w:sz w:val="24"/>
          <w:lang w:val="fi-FI"/>
        </w:rPr>
      </w:pPr>
      <w:r w:rsidRPr="00584898">
        <w:rPr>
          <w:rStyle w:val="FootnoteReference"/>
          <w:sz w:val="24"/>
          <w:lang w:val="fi-FI"/>
        </w:rPr>
        <w:footnoteRef/>
      </w:r>
      <w:r w:rsidR="00584898" w:rsidRPr="00584898">
        <w:rPr>
          <w:sz w:val="24"/>
          <w:lang w:val="fi-FI"/>
        </w:rPr>
        <w:t xml:space="preserve"> </w:t>
      </w:r>
      <w:r w:rsidR="00584898" w:rsidRPr="00584898">
        <w:rPr>
          <w:sz w:val="24"/>
          <w:lang w:val="fi-FI"/>
        </w:rPr>
        <w:tab/>
      </w:r>
      <w:r w:rsidRPr="00584898">
        <w:rPr>
          <w:sz w:val="24"/>
          <w:lang w:val="fi-FI"/>
        </w:rPr>
        <w:t>Komission täytäntöönpanopäätös (EU) 2015/699, annettu 24. huhtikuuta 2015, muuntogeenistä puuvillaa T304-40 (BCS-GHØØ4-7) sisältävien, siitä koostuvien tai siitä valmistettujen tuotteiden markkinoille saattamisen sallimisesta Euroopan parlamentin ja neuvoston asetuksen (EY) N:o 1829/2003 mukaisesti (EUVL L 112, 30.4.2015, s. 77, ELI: </w:t>
      </w:r>
      <w:hyperlink r:id="rId14" w:history="1">
        <w:r w:rsidRPr="00584898">
          <w:rPr>
            <w:color w:val="0563C1"/>
            <w:sz w:val="24"/>
            <w:u w:val="single"/>
            <w:lang w:val="fi-FI"/>
          </w:rPr>
          <w:t>http://data.europa.eu/eli/dec_impl/2015/699/oj</w:t>
        </w:r>
      </w:hyperlink>
      <w:r w:rsidRPr="00584898">
        <w:rPr>
          <w:sz w:val="24"/>
          <w:lang w:val="fi-FI"/>
        </w:rPr>
        <w:t>).</w:t>
      </w:r>
    </w:p>
  </w:footnote>
  <w:footnote w:id="6">
    <w:p w14:paraId="06756FCE" w14:textId="70DB9773" w:rsidR="002F4453" w:rsidRPr="00584898" w:rsidRDefault="002F4453" w:rsidP="00584898">
      <w:pPr>
        <w:pStyle w:val="FootnoteText"/>
        <w:ind w:left="567" w:hanging="567"/>
        <w:rPr>
          <w:sz w:val="24"/>
          <w:lang w:val="fi-FI"/>
        </w:rPr>
      </w:pPr>
      <w:r w:rsidRPr="00584898">
        <w:rPr>
          <w:rStyle w:val="FootnoteReference"/>
          <w:sz w:val="24"/>
          <w:lang w:val="fi-FI"/>
        </w:rPr>
        <w:footnoteRef/>
      </w:r>
      <w:r w:rsidR="00584898" w:rsidRPr="00584898">
        <w:rPr>
          <w:sz w:val="24"/>
          <w:lang w:val="fi-FI"/>
        </w:rPr>
        <w:t xml:space="preserve"> </w:t>
      </w:r>
      <w:r w:rsidR="00584898" w:rsidRPr="00584898">
        <w:rPr>
          <w:sz w:val="24"/>
          <w:lang w:val="fi-FI"/>
        </w:rPr>
        <w:tab/>
      </w:r>
      <w:r w:rsidRPr="00584898">
        <w:rPr>
          <w:sz w:val="24"/>
          <w:lang w:val="fi-FI"/>
        </w:rPr>
        <w:t>Komission täytäntöönpanopäätös (EU) 2019/1195, annettu 10. heinäkuuta 2019, päätösten 2008/730/EY, 2008/837/EY, 2009/184/EY, 2011/354/EU, täytäntöönpanopäätösten 2012/81/EU, 2013/327/EU, (EU) 2015/690, (EU) 2015/697, (EU) 2015/699, (EU) 2016/1215, (EU) 2017/1208 ja (EU) 2017/2451 muuttamisesta muuntogeenisen soijan, puuvillan, rapsin ja maissin markkinoille saattamista koskevan luvan haltijan ja edustajan osalta (EUVL L 187, 12.7.2019, s. 43, ELI: </w:t>
      </w:r>
      <w:hyperlink r:id="rId15" w:tooltip="Avaa asiakirjan ELI URI -osoitteen kautta." w:history="1">
        <w:r w:rsidRPr="00584898">
          <w:rPr>
            <w:rStyle w:val="Hyperlink"/>
            <w:sz w:val="24"/>
            <w:lang w:val="fi-FI"/>
          </w:rPr>
          <w:t>http://data.europa.eu/eli/dec_impl/2019/1195/oj</w:t>
        </w:r>
      </w:hyperlink>
      <w:r w:rsidRPr="00584898">
        <w:rPr>
          <w:sz w:val="24"/>
          <w:lang w:val="fi-FI"/>
        </w:rPr>
        <w:t xml:space="preserve">). </w:t>
      </w:r>
    </w:p>
  </w:footnote>
  <w:footnote w:id="7">
    <w:p w14:paraId="624EEB74" w14:textId="3A14A1A0" w:rsidR="002F4453" w:rsidRPr="00423688" w:rsidRDefault="002F4453" w:rsidP="00584898">
      <w:pPr>
        <w:pStyle w:val="FootnoteText"/>
        <w:ind w:left="567" w:hanging="567"/>
        <w:rPr>
          <w:sz w:val="24"/>
          <w:lang w:val="en-GB"/>
        </w:rPr>
      </w:pPr>
      <w:r w:rsidRPr="00584898">
        <w:rPr>
          <w:rStyle w:val="FootnoteReference"/>
          <w:sz w:val="24"/>
          <w:lang w:val="fi-FI"/>
        </w:rPr>
        <w:footnoteRef/>
      </w:r>
      <w:r w:rsidR="00584898" w:rsidRPr="00423688">
        <w:rPr>
          <w:sz w:val="24"/>
          <w:lang w:val="en-GB"/>
        </w:rPr>
        <w:t xml:space="preserve"> </w:t>
      </w:r>
      <w:r w:rsidR="00584898" w:rsidRPr="00423688">
        <w:rPr>
          <w:sz w:val="24"/>
          <w:lang w:val="en-GB"/>
        </w:rPr>
        <w:tab/>
      </w:r>
      <w:proofErr w:type="spellStart"/>
      <w:r w:rsidRPr="00423688">
        <w:rPr>
          <w:sz w:val="24"/>
          <w:lang w:val="en-GB"/>
        </w:rPr>
        <w:t>Muuntogeenisiä</w:t>
      </w:r>
      <w:proofErr w:type="spellEnd"/>
      <w:r w:rsidRPr="00423688">
        <w:rPr>
          <w:sz w:val="24"/>
          <w:lang w:val="en-GB"/>
        </w:rPr>
        <w:t xml:space="preserve"> </w:t>
      </w:r>
      <w:proofErr w:type="spellStart"/>
      <w:r w:rsidRPr="00423688">
        <w:rPr>
          <w:sz w:val="24"/>
          <w:lang w:val="en-GB"/>
        </w:rPr>
        <w:t>organismeja</w:t>
      </w:r>
      <w:proofErr w:type="spellEnd"/>
      <w:r w:rsidRPr="00423688">
        <w:rPr>
          <w:sz w:val="24"/>
          <w:lang w:val="en-GB"/>
        </w:rPr>
        <w:t xml:space="preserve"> </w:t>
      </w:r>
      <w:proofErr w:type="spellStart"/>
      <w:r w:rsidRPr="00423688">
        <w:rPr>
          <w:sz w:val="24"/>
          <w:lang w:val="en-GB"/>
        </w:rPr>
        <w:t>käsittelevän</w:t>
      </w:r>
      <w:proofErr w:type="spellEnd"/>
      <w:r w:rsidRPr="00423688">
        <w:rPr>
          <w:sz w:val="24"/>
          <w:lang w:val="en-GB"/>
        </w:rPr>
        <w:t xml:space="preserve"> </w:t>
      </w:r>
      <w:proofErr w:type="spellStart"/>
      <w:r w:rsidRPr="00423688">
        <w:rPr>
          <w:sz w:val="24"/>
          <w:lang w:val="en-GB"/>
        </w:rPr>
        <w:t>EFSAn</w:t>
      </w:r>
      <w:proofErr w:type="spellEnd"/>
      <w:r w:rsidRPr="00423688">
        <w:rPr>
          <w:sz w:val="24"/>
          <w:lang w:val="en-GB"/>
        </w:rPr>
        <w:t xml:space="preserve"> </w:t>
      </w:r>
      <w:proofErr w:type="spellStart"/>
      <w:r w:rsidRPr="00423688">
        <w:rPr>
          <w:sz w:val="24"/>
          <w:lang w:val="en-GB"/>
        </w:rPr>
        <w:t>lautakunnan</w:t>
      </w:r>
      <w:proofErr w:type="spellEnd"/>
      <w:r w:rsidRPr="00423688">
        <w:rPr>
          <w:sz w:val="24"/>
          <w:lang w:val="en-GB"/>
        </w:rPr>
        <w:t xml:space="preserve"> </w:t>
      </w:r>
      <w:proofErr w:type="spellStart"/>
      <w:r w:rsidRPr="00423688">
        <w:rPr>
          <w:sz w:val="24"/>
          <w:lang w:val="en-GB"/>
        </w:rPr>
        <w:t>tieteellinen</w:t>
      </w:r>
      <w:proofErr w:type="spellEnd"/>
      <w:r w:rsidRPr="00423688">
        <w:rPr>
          <w:sz w:val="24"/>
          <w:lang w:val="en-GB"/>
        </w:rPr>
        <w:t xml:space="preserve"> </w:t>
      </w:r>
      <w:proofErr w:type="spellStart"/>
      <w:r w:rsidRPr="00423688">
        <w:rPr>
          <w:sz w:val="24"/>
          <w:lang w:val="en-GB"/>
        </w:rPr>
        <w:t>lausunto</w:t>
      </w:r>
      <w:proofErr w:type="spellEnd"/>
      <w:r w:rsidRPr="00423688">
        <w:rPr>
          <w:sz w:val="24"/>
          <w:lang w:val="en-GB"/>
        </w:rPr>
        <w:t xml:space="preserve"> ”Assessment of genetically modified cotton T304-40 for renewal authorisation under Regulation (EC) No 1829/2003 (dossier GMFF-2024-23010)”, </w:t>
      </w:r>
      <w:r w:rsidRPr="00423688">
        <w:rPr>
          <w:i/>
          <w:sz w:val="24"/>
          <w:lang w:val="en-GB"/>
        </w:rPr>
        <w:t>EFSA Journal,</w:t>
      </w:r>
      <w:r w:rsidRPr="00423688">
        <w:rPr>
          <w:sz w:val="24"/>
          <w:lang w:val="en-GB"/>
        </w:rPr>
        <w:t xml:space="preserve"> 2025,23, 23(7):e9580, </w:t>
      </w:r>
      <w:hyperlink r:id="rId16" w:history="1">
        <w:r w:rsidRPr="00423688">
          <w:rPr>
            <w:sz w:val="24"/>
            <w:lang w:val="en-GB"/>
          </w:rPr>
          <w:t>https://doi.org/10.2903/j.efsa.2025.9580</w:t>
        </w:r>
      </w:hyperlink>
      <w:r w:rsidRPr="00423688">
        <w:rPr>
          <w:sz w:val="24"/>
          <w:lang w:val="en-GB"/>
        </w:rPr>
        <w:t>.</w:t>
      </w:r>
    </w:p>
  </w:footnote>
  <w:footnote w:id="8">
    <w:p w14:paraId="08ABB522" w14:textId="710D72D6" w:rsidR="002F4453" w:rsidRPr="00423688" w:rsidRDefault="002F4453" w:rsidP="00584898">
      <w:pPr>
        <w:pStyle w:val="FootnoteText"/>
        <w:ind w:left="567" w:hanging="567"/>
        <w:rPr>
          <w:sz w:val="24"/>
          <w:lang w:val="en-GB"/>
        </w:rPr>
      </w:pPr>
      <w:r w:rsidRPr="00584898">
        <w:rPr>
          <w:rStyle w:val="FootnoteReference"/>
          <w:sz w:val="24"/>
          <w:lang w:val="fi-FI"/>
        </w:rPr>
        <w:footnoteRef/>
      </w:r>
      <w:r w:rsidR="00584898" w:rsidRPr="00423688">
        <w:rPr>
          <w:sz w:val="24"/>
          <w:lang w:val="en-GB"/>
        </w:rPr>
        <w:t xml:space="preserve"> </w:t>
      </w:r>
      <w:r w:rsidR="00584898" w:rsidRPr="00423688">
        <w:rPr>
          <w:sz w:val="24"/>
          <w:lang w:val="en-GB"/>
        </w:rPr>
        <w:tab/>
      </w:r>
      <w:proofErr w:type="spellStart"/>
      <w:r w:rsidRPr="00423688">
        <w:rPr>
          <w:sz w:val="24"/>
          <w:lang w:val="en-GB"/>
        </w:rPr>
        <w:t>Muuntogeenisiä</w:t>
      </w:r>
      <w:proofErr w:type="spellEnd"/>
      <w:r w:rsidRPr="00423688">
        <w:rPr>
          <w:sz w:val="24"/>
          <w:lang w:val="en-GB"/>
        </w:rPr>
        <w:t xml:space="preserve"> </w:t>
      </w:r>
      <w:proofErr w:type="spellStart"/>
      <w:r w:rsidRPr="00423688">
        <w:rPr>
          <w:sz w:val="24"/>
          <w:lang w:val="en-GB"/>
        </w:rPr>
        <w:t>organismeja</w:t>
      </w:r>
      <w:proofErr w:type="spellEnd"/>
      <w:r w:rsidRPr="00423688">
        <w:rPr>
          <w:sz w:val="24"/>
          <w:lang w:val="en-GB"/>
        </w:rPr>
        <w:t xml:space="preserve"> </w:t>
      </w:r>
      <w:proofErr w:type="spellStart"/>
      <w:r w:rsidRPr="00423688">
        <w:rPr>
          <w:sz w:val="24"/>
          <w:lang w:val="en-GB"/>
        </w:rPr>
        <w:t>käsittelevän</w:t>
      </w:r>
      <w:proofErr w:type="spellEnd"/>
      <w:r w:rsidRPr="00423688">
        <w:rPr>
          <w:sz w:val="24"/>
          <w:lang w:val="en-GB"/>
        </w:rPr>
        <w:t xml:space="preserve"> </w:t>
      </w:r>
      <w:proofErr w:type="spellStart"/>
      <w:r w:rsidRPr="00423688">
        <w:rPr>
          <w:sz w:val="24"/>
          <w:lang w:val="en-GB"/>
        </w:rPr>
        <w:t>EFSAn</w:t>
      </w:r>
      <w:proofErr w:type="spellEnd"/>
      <w:r w:rsidRPr="00423688">
        <w:rPr>
          <w:sz w:val="24"/>
          <w:lang w:val="en-GB"/>
        </w:rPr>
        <w:t xml:space="preserve"> </w:t>
      </w:r>
      <w:proofErr w:type="spellStart"/>
      <w:r w:rsidRPr="00423688">
        <w:rPr>
          <w:sz w:val="24"/>
          <w:lang w:val="en-GB"/>
        </w:rPr>
        <w:t>lautakunnan</w:t>
      </w:r>
      <w:proofErr w:type="spellEnd"/>
      <w:r w:rsidRPr="00423688">
        <w:rPr>
          <w:sz w:val="24"/>
          <w:lang w:val="en-GB"/>
        </w:rPr>
        <w:t xml:space="preserve"> </w:t>
      </w:r>
      <w:proofErr w:type="spellStart"/>
      <w:r w:rsidRPr="00423688">
        <w:rPr>
          <w:sz w:val="24"/>
          <w:lang w:val="en-GB"/>
        </w:rPr>
        <w:t>tieteellinen</w:t>
      </w:r>
      <w:proofErr w:type="spellEnd"/>
      <w:r w:rsidRPr="00423688">
        <w:rPr>
          <w:sz w:val="24"/>
          <w:lang w:val="en-GB"/>
        </w:rPr>
        <w:t xml:space="preserve"> </w:t>
      </w:r>
      <w:proofErr w:type="spellStart"/>
      <w:r w:rsidRPr="00423688">
        <w:rPr>
          <w:sz w:val="24"/>
          <w:lang w:val="en-GB"/>
        </w:rPr>
        <w:t>lausunto</w:t>
      </w:r>
      <w:proofErr w:type="spellEnd"/>
      <w:r w:rsidRPr="00423688">
        <w:rPr>
          <w:sz w:val="24"/>
          <w:lang w:val="en-GB"/>
        </w:rPr>
        <w:t xml:space="preserve"> ”Application EFSA-GMO-NL-2011-97 for the placing on the market of insect-resistant and herbicide-tolerant genetically modified cotton T304-40 for food and feed uses, import and processing under regulation (EC) No 1829/2003 from Bayer </w:t>
      </w:r>
      <w:proofErr w:type="spellStart"/>
      <w:r w:rsidRPr="00423688">
        <w:rPr>
          <w:sz w:val="24"/>
          <w:lang w:val="en-GB"/>
        </w:rPr>
        <w:t>CropScience</w:t>
      </w:r>
      <w:proofErr w:type="spellEnd"/>
      <w:r w:rsidRPr="00423688">
        <w:rPr>
          <w:sz w:val="24"/>
          <w:lang w:val="en-GB"/>
        </w:rPr>
        <w:t xml:space="preserve"> AG”, </w:t>
      </w:r>
      <w:r w:rsidRPr="00423688">
        <w:rPr>
          <w:i/>
          <w:sz w:val="24"/>
          <w:lang w:val="en-GB"/>
        </w:rPr>
        <w:t>EFSA Journal</w:t>
      </w:r>
      <w:r w:rsidRPr="00423688">
        <w:rPr>
          <w:sz w:val="24"/>
          <w:lang w:val="en-GB"/>
        </w:rPr>
        <w:t xml:space="preserve">, 2013, 11(6): 3251, </w:t>
      </w:r>
      <w:hyperlink r:id="rId17" w:history="1">
        <w:r w:rsidRPr="00423688">
          <w:rPr>
            <w:sz w:val="24"/>
            <w:lang w:val="en-GB"/>
          </w:rPr>
          <w:t>https://doi.org/10.2903/j.efsa.2013.3251</w:t>
        </w:r>
      </w:hyperlink>
      <w:r w:rsidRPr="00423688">
        <w:rPr>
          <w:sz w:val="24"/>
          <w:lang w:val="en-GB"/>
        </w:rPr>
        <w:t>.</w:t>
      </w:r>
    </w:p>
  </w:footnote>
  <w:footnote w:id="9">
    <w:p w14:paraId="3E5093B9" w14:textId="647907B7" w:rsidR="002F4453" w:rsidRPr="00423688" w:rsidRDefault="002F4453" w:rsidP="00584898">
      <w:pPr>
        <w:pStyle w:val="FootnoteText"/>
        <w:ind w:left="567" w:hanging="567"/>
        <w:rPr>
          <w:sz w:val="24"/>
          <w:lang w:val="en-GB"/>
        </w:rPr>
      </w:pPr>
      <w:r w:rsidRPr="00584898">
        <w:rPr>
          <w:rStyle w:val="FootnoteReference"/>
          <w:sz w:val="24"/>
          <w:lang w:val="fi-FI"/>
        </w:rPr>
        <w:footnoteRef/>
      </w:r>
      <w:r w:rsidR="00584898" w:rsidRPr="00423688">
        <w:rPr>
          <w:sz w:val="24"/>
          <w:shd w:val="clear" w:color="auto" w:fill="FFFFFF"/>
          <w:lang w:val="en-GB"/>
        </w:rPr>
        <w:t xml:space="preserve"> </w:t>
      </w:r>
      <w:r w:rsidR="00584898" w:rsidRPr="00423688">
        <w:rPr>
          <w:sz w:val="24"/>
          <w:shd w:val="clear" w:color="auto" w:fill="FFFFFF"/>
          <w:lang w:val="en-GB"/>
        </w:rPr>
        <w:tab/>
      </w:r>
      <w:r w:rsidRPr="00423688">
        <w:rPr>
          <w:sz w:val="24"/>
          <w:shd w:val="clear" w:color="auto" w:fill="FFFFFF"/>
          <w:lang w:val="en-GB"/>
        </w:rPr>
        <w:t xml:space="preserve">Ks. </w:t>
      </w:r>
      <w:proofErr w:type="spellStart"/>
      <w:r w:rsidRPr="00423688">
        <w:rPr>
          <w:sz w:val="24"/>
          <w:shd w:val="clear" w:color="auto" w:fill="FFFFFF"/>
          <w:lang w:val="en-GB"/>
        </w:rPr>
        <w:t>esimerkiksi</w:t>
      </w:r>
      <w:proofErr w:type="spellEnd"/>
      <w:r w:rsidRPr="00423688">
        <w:rPr>
          <w:sz w:val="24"/>
          <w:shd w:val="clear" w:color="auto" w:fill="FFFFFF"/>
          <w:lang w:val="en-GB"/>
        </w:rPr>
        <w:t xml:space="preserve"> Bonny, S., ”Genetically Modified Herbicide-Tolerant Crops, Weeds, and Herbicides: Overview and Impact”, </w:t>
      </w:r>
      <w:r w:rsidRPr="00423688">
        <w:rPr>
          <w:i/>
          <w:sz w:val="24"/>
          <w:shd w:val="clear" w:color="auto" w:fill="FFFFFF"/>
          <w:lang w:val="en-GB"/>
        </w:rPr>
        <w:t>Environmental Management</w:t>
      </w:r>
      <w:r w:rsidRPr="00423688">
        <w:rPr>
          <w:sz w:val="24"/>
          <w:shd w:val="clear" w:color="auto" w:fill="FFFFFF"/>
          <w:lang w:val="en-GB"/>
        </w:rPr>
        <w:t xml:space="preserve">, </w:t>
      </w:r>
      <w:proofErr w:type="spellStart"/>
      <w:r w:rsidRPr="00423688">
        <w:rPr>
          <w:sz w:val="24"/>
          <w:shd w:val="clear" w:color="auto" w:fill="FFFFFF"/>
          <w:lang w:val="en-GB"/>
        </w:rPr>
        <w:t>tammikuu</w:t>
      </w:r>
      <w:proofErr w:type="spellEnd"/>
      <w:r w:rsidRPr="00423688">
        <w:rPr>
          <w:sz w:val="24"/>
          <w:shd w:val="clear" w:color="auto" w:fill="FFFFFF"/>
          <w:lang w:val="en-GB"/>
        </w:rPr>
        <w:t xml:space="preserve"> 2016; 2016,57(1), s. 31–48,</w:t>
      </w:r>
      <w:r w:rsidRPr="00423688">
        <w:rPr>
          <w:sz w:val="24"/>
          <w:lang w:val="en-GB"/>
        </w:rPr>
        <w:t xml:space="preserve"> </w:t>
      </w:r>
      <w:hyperlink r:id="rId18" w:history="1">
        <w:r w:rsidRPr="00423688">
          <w:rPr>
            <w:rStyle w:val="Hyperlink"/>
            <w:sz w:val="24"/>
            <w:shd w:val="clear" w:color="auto" w:fill="FFFFFF"/>
            <w:lang w:val="en-GB"/>
          </w:rPr>
          <w:t>https://doi.org/10.1007/s00267-015-0589-7</w:t>
        </w:r>
      </w:hyperlink>
      <w:r w:rsidRPr="00423688">
        <w:rPr>
          <w:sz w:val="24"/>
          <w:lang w:val="en-GB"/>
        </w:rPr>
        <w:t xml:space="preserve"> </w:t>
      </w:r>
      <w:proofErr w:type="spellStart"/>
      <w:r w:rsidRPr="00423688">
        <w:rPr>
          <w:sz w:val="24"/>
          <w:lang w:val="en-GB"/>
        </w:rPr>
        <w:t>ja</w:t>
      </w:r>
      <w:proofErr w:type="spellEnd"/>
      <w:r w:rsidRPr="00423688">
        <w:rPr>
          <w:sz w:val="24"/>
          <w:lang w:val="en-GB"/>
        </w:rPr>
        <w:t xml:space="preserve"> Benbrook, C.M., ”Impacts of genetically engineered crops on pesticide use in the U.S. – The first sixteen years”, </w:t>
      </w:r>
      <w:r w:rsidRPr="00423688">
        <w:rPr>
          <w:i/>
          <w:sz w:val="24"/>
          <w:lang w:val="en-GB"/>
        </w:rPr>
        <w:t>Environmental Sciences Europe</w:t>
      </w:r>
      <w:r w:rsidRPr="00423688">
        <w:rPr>
          <w:sz w:val="24"/>
          <w:lang w:val="en-GB"/>
        </w:rPr>
        <w:t xml:space="preserve">, 28. </w:t>
      </w:r>
      <w:proofErr w:type="spellStart"/>
      <w:r w:rsidRPr="00423688">
        <w:rPr>
          <w:sz w:val="24"/>
          <w:lang w:val="en-GB"/>
        </w:rPr>
        <w:t>syyskuuta</w:t>
      </w:r>
      <w:proofErr w:type="spellEnd"/>
      <w:r w:rsidRPr="00423688">
        <w:rPr>
          <w:sz w:val="24"/>
          <w:lang w:val="en-GB"/>
        </w:rPr>
        <w:t xml:space="preserve"> 2012, Vol. 24(1), </w:t>
      </w:r>
      <w:hyperlink r:id="rId19" w:history="1">
        <w:r w:rsidRPr="00423688">
          <w:rPr>
            <w:rStyle w:val="Hyperlink"/>
            <w:sz w:val="24"/>
            <w:shd w:val="clear" w:color="auto" w:fill="FFFFFF"/>
            <w:lang w:val="en-GB"/>
          </w:rPr>
          <w:t>https://doi.org/10.1186/2190-4715-24-24</w:t>
        </w:r>
      </w:hyperlink>
      <w:r w:rsidRPr="00423688">
        <w:rPr>
          <w:sz w:val="24"/>
          <w:lang w:val="en-GB"/>
        </w:rPr>
        <w:t>.</w:t>
      </w:r>
      <w:r w:rsidRPr="00423688">
        <w:rPr>
          <w:sz w:val="24"/>
          <w:shd w:val="clear" w:color="auto" w:fill="FFFFFF"/>
          <w:lang w:val="en-GB"/>
        </w:rPr>
        <w:t xml:space="preserve"> </w:t>
      </w:r>
    </w:p>
  </w:footnote>
  <w:footnote w:id="10">
    <w:p w14:paraId="2DEE6E66" w14:textId="788EE863" w:rsidR="002F4453" w:rsidRPr="00584898" w:rsidRDefault="002F4453" w:rsidP="00584898">
      <w:pPr>
        <w:pStyle w:val="FootnoteText"/>
        <w:ind w:left="567" w:hanging="567"/>
        <w:rPr>
          <w:sz w:val="24"/>
          <w:lang w:val="fi-FI"/>
        </w:rPr>
      </w:pPr>
      <w:r w:rsidRPr="00584898">
        <w:rPr>
          <w:rStyle w:val="FootnoteReference"/>
          <w:sz w:val="24"/>
          <w:lang w:val="fi-FI"/>
        </w:rPr>
        <w:footnoteRef/>
      </w:r>
      <w:r w:rsidR="00584898" w:rsidRPr="00584898">
        <w:rPr>
          <w:sz w:val="24"/>
          <w:lang w:val="fi-FI"/>
        </w:rPr>
        <w:t xml:space="preserve"> </w:t>
      </w:r>
      <w:r w:rsidR="00584898" w:rsidRPr="00584898">
        <w:rPr>
          <w:sz w:val="24"/>
          <w:lang w:val="fi-FI"/>
        </w:rPr>
        <w:tab/>
      </w:r>
      <w:r w:rsidRPr="00584898">
        <w:rPr>
          <w:sz w:val="24"/>
          <w:lang w:val="fi-FI"/>
        </w:rPr>
        <w:t xml:space="preserve">Ks. esimerkiksi: </w:t>
      </w:r>
      <w:hyperlink r:id="rId20" w:history="1">
        <w:r w:rsidRPr="00584898">
          <w:rPr>
            <w:rStyle w:val="Hyperlink"/>
            <w:sz w:val="24"/>
            <w:lang w:val="fi-FI"/>
          </w:rPr>
          <w:t>https://doi.org/10.1002/ps.8105</w:t>
        </w:r>
      </w:hyperlink>
      <w:r w:rsidRPr="00584898">
        <w:rPr>
          <w:sz w:val="24"/>
          <w:lang w:val="fi-FI"/>
        </w:rPr>
        <w:t>, ja</w:t>
      </w:r>
      <w:r w:rsidR="00415D29">
        <w:rPr>
          <w:sz w:val="24"/>
          <w:lang w:val="fi-FI"/>
        </w:rPr>
        <w:t xml:space="preserve"> </w:t>
      </w:r>
      <w:hyperlink r:id="rId21" w:history="1">
        <w:r w:rsidRPr="00584898">
          <w:rPr>
            <w:rStyle w:val="Hyperlink"/>
            <w:sz w:val="24"/>
            <w:lang w:val="fi-FI"/>
          </w:rPr>
          <w:t>https://doi.org/10.1016/j.geoforum.2009.03.009</w:t>
        </w:r>
      </w:hyperlink>
      <w:r w:rsidRPr="00584898">
        <w:rPr>
          <w:rStyle w:val="Hyperlink"/>
          <w:sz w:val="24"/>
          <w:lang w:val="fi-FI"/>
        </w:rPr>
        <w:t>.</w:t>
      </w:r>
    </w:p>
  </w:footnote>
  <w:footnote w:id="11">
    <w:p w14:paraId="2F0DF9BA" w14:textId="69CC3FD4" w:rsidR="002F4453" w:rsidRPr="00584898" w:rsidRDefault="002F4453" w:rsidP="00584898">
      <w:pPr>
        <w:pStyle w:val="FootnoteText"/>
        <w:ind w:left="567" w:hanging="567"/>
        <w:rPr>
          <w:sz w:val="24"/>
          <w:lang w:val="fi-FI"/>
        </w:rPr>
      </w:pPr>
      <w:r w:rsidRPr="00584898">
        <w:rPr>
          <w:rStyle w:val="FootnoteReference"/>
          <w:sz w:val="24"/>
          <w:lang w:val="fi-FI"/>
        </w:rPr>
        <w:footnoteRef/>
      </w:r>
      <w:r w:rsidR="00584898" w:rsidRPr="00584898">
        <w:rPr>
          <w:sz w:val="24"/>
          <w:lang w:val="fi-FI"/>
        </w:rPr>
        <w:t xml:space="preserve"> </w:t>
      </w:r>
      <w:r w:rsidR="00584898" w:rsidRPr="00584898">
        <w:rPr>
          <w:sz w:val="24"/>
          <w:lang w:val="fi-FI"/>
        </w:rPr>
        <w:tab/>
      </w:r>
      <w:r w:rsidRPr="00584898">
        <w:rPr>
          <w:sz w:val="24"/>
          <w:lang w:val="fi-FI"/>
        </w:rPr>
        <w:t>Euroopan parlamentin ja neuvoston asetus (EY) N:o 1107/2009, annettu 21. lokakuuta 2009, kasvinsuojeluaineiden markkinoille saattamisesta sekä neuvoston direktiivien 79/117/ETY ja 91/414/ETY kumoamisesta (EUVL L 309, 24.11.2009, s. 1, ELI: </w:t>
      </w:r>
      <w:hyperlink r:id="rId22" w:history="1">
        <w:r w:rsidRPr="00584898">
          <w:rPr>
            <w:rStyle w:val="Hyperlink"/>
            <w:sz w:val="24"/>
            <w:lang w:val="fi-FI"/>
          </w:rPr>
          <w:t>http://data.europa.eu/eli/reg/2009/1107/oj</w:t>
        </w:r>
      </w:hyperlink>
      <w:r w:rsidRPr="00584898">
        <w:rPr>
          <w:sz w:val="24"/>
          <w:lang w:val="fi-FI"/>
        </w:rPr>
        <w:t>).</w:t>
      </w:r>
    </w:p>
  </w:footnote>
  <w:footnote w:id="12">
    <w:p w14:paraId="463210AA" w14:textId="5A843C5E" w:rsidR="002F4453" w:rsidRPr="00423688" w:rsidRDefault="002F4453" w:rsidP="00584898">
      <w:pPr>
        <w:pStyle w:val="FootnoteText"/>
        <w:ind w:left="567" w:hanging="567"/>
        <w:rPr>
          <w:sz w:val="24"/>
        </w:rPr>
      </w:pPr>
      <w:r w:rsidRPr="00584898">
        <w:rPr>
          <w:rStyle w:val="FootnoteReference"/>
          <w:sz w:val="24"/>
          <w:lang w:val="fi-FI"/>
        </w:rPr>
        <w:footnoteRef/>
      </w:r>
      <w:r w:rsidR="00584898" w:rsidRPr="00584898">
        <w:rPr>
          <w:sz w:val="24"/>
          <w:lang w:val="fi-FI"/>
        </w:rPr>
        <w:t xml:space="preserve"> </w:t>
      </w:r>
      <w:r w:rsidR="00584898" w:rsidRPr="00584898">
        <w:rPr>
          <w:sz w:val="24"/>
          <w:lang w:val="fi-FI"/>
        </w:rPr>
        <w:tab/>
      </w:r>
      <w:r w:rsidRPr="00584898">
        <w:rPr>
          <w:sz w:val="24"/>
          <w:lang w:val="fi-FI"/>
        </w:rPr>
        <w:t>Joulukuussa 2022 pidetyssä biologista monimuotoisuutta koskevan Yhdistyneiden kansakuntien yleissopimuksen sopimuspuolten 15. konferenssissa hyväksyttiin maailmanlaajuinen biodiversiteettikehys, joka sisältää maailmanlaajuisen tavoitteen vähentää torjunta-aineista aiheutuvia riskejä vähintään 50 prosentilla vuoteen 2030 mennessä (ks.</w:t>
      </w:r>
      <w:r w:rsidRPr="00584898">
        <w:rPr>
          <w:color w:val="000000" w:themeColor="text1"/>
          <w:sz w:val="24"/>
          <w:lang w:val="fi-FI"/>
        </w:rPr>
        <w:t xml:space="preserve"> </w:t>
      </w:r>
      <w:hyperlink r:id="rId23" w:history="1">
        <w:r w:rsidRPr="00423688">
          <w:rPr>
            <w:rStyle w:val="Hyperlink"/>
            <w:sz w:val="24"/>
          </w:rPr>
          <w:t>https://ec.europa.eu/commission/presscorner/detail/fi/ip_22_7834</w:t>
        </w:r>
      </w:hyperlink>
      <w:r w:rsidRPr="00423688">
        <w:rPr>
          <w:sz w:val="24"/>
        </w:rPr>
        <w:t xml:space="preserve">). </w:t>
      </w:r>
    </w:p>
  </w:footnote>
  <w:footnote w:id="13">
    <w:p w14:paraId="09B6172A" w14:textId="73631E06" w:rsidR="002F4453" w:rsidRPr="00423688" w:rsidRDefault="002F4453" w:rsidP="00584898">
      <w:pPr>
        <w:pStyle w:val="FootnoteText"/>
        <w:ind w:left="567" w:hanging="567"/>
        <w:rPr>
          <w:sz w:val="24"/>
        </w:rPr>
      </w:pPr>
      <w:r w:rsidRPr="00584898">
        <w:rPr>
          <w:rStyle w:val="FootnoteReference"/>
          <w:sz w:val="24"/>
          <w:lang w:val="fi-FI"/>
        </w:rPr>
        <w:footnoteRef/>
      </w:r>
      <w:r w:rsidR="00584898" w:rsidRPr="00423688">
        <w:rPr>
          <w:sz w:val="24"/>
        </w:rPr>
        <w:t xml:space="preserve"> </w:t>
      </w:r>
      <w:r w:rsidR="00584898" w:rsidRPr="00423688">
        <w:rPr>
          <w:sz w:val="24"/>
        </w:rPr>
        <w:tab/>
      </w:r>
      <w:hyperlink r:id="rId24" w:history="1">
        <w:r w:rsidRPr="00423688">
          <w:rPr>
            <w:rStyle w:val="Hyperlink"/>
            <w:sz w:val="24"/>
          </w:rPr>
          <w:t>https://commission.europa.eu/topics/agriculture-and-rural-development/strategic-dialogue-future-eu-agriculture_fi</w:t>
        </w:r>
      </w:hyperlink>
      <w:r w:rsidRPr="00423688">
        <w:rPr>
          <w:rStyle w:val="Hyperlink"/>
          <w:sz w:val="24"/>
        </w:rPr>
        <w:t>.</w:t>
      </w:r>
      <w:r w:rsidRPr="00423688">
        <w:rPr>
          <w:sz w:val="24"/>
        </w:rPr>
        <w:t xml:space="preserve"> </w:t>
      </w:r>
    </w:p>
  </w:footnote>
  <w:footnote w:id="14">
    <w:p w14:paraId="29A34BB9" w14:textId="3A5CE505" w:rsidR="002F4453" w:rsidRPr="00584898" w:rsidRDefault="002F4453" w:rsidP="00584898">
      <w:pPr>
        <w:pStyle w:val="FootnoteText"/>
        <w:ind w:left="567" w:hanging="567"/>
        <w:rPr>
          <w:sz w:val="24"/>
          <w:lang w:val="fi-FI"/>
        </w:rPr>
      </w:pPr>
      <w:r w:rsidRPr="00584898">
        <w:rPr>
          <w:rStyle w:val="FootnoteReference"/>
          <w:sz w:val="24"/>
          <w:lang w:val="fi-FI"/>
        </w:rPr>
        <w:footnoteRef/>
      </w:r>
      <w:r w:rsidR="00584898" w:rsidRPr="00584898">
        <w:rPr>
          <w:sz w:val="24"/>
          <w:lang w:val="fi-FI"/>
        </w:rPr>
        <w:t xml:space="preserve"> </w:t>
      </w:r>
      <w:r w:rsidR="00584898" w:rsidRPr="00584898">
        <w:rPr>
          <w:sz w:val="24"/>
          <w:lang w:val="fi-FI"/>
        </w:rPr>
        <w:tab/>
      </w:r>
      <w:r w:rsidRPr="00584898">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w:t>
      </w:r>
      <w:r w:rsidRPr="00584898">
        <w:rPr>
          <w:color w:val="000000" w:themeColor="text1"/>
          <w:sz w:val="24"/>
          <w:lang w:val="fi-FI"/>
        </w:rPr>
        <w:t> </w:t>
      </w:r>
      <w:hyperlink r:id="rId25" w:tgtFrame="Gives access to this document through its ELI URI." w:history="1">
        <w:r w:rsidRPr="00584898">
          <w:rPr>
            <w:rStyle w:val="Hyperlink"/>
            <w:color w:val="0070C0"/>
            <w:sz w:val="24"/>
            <w:lang w:val="fi-FI"/>
          </w:rPr>
          <w:t>http://data.europa.eu/eli/reg/2002/178/oj</w:t>
        </w:r>
      </w:hyperlink>
      <w:r w:rsidRPr="0058489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0967718">
    <w:abstractNumId w:val="9"/>
  </w:num>
  <w:num w:numId="2" w16cid:durableId="802234992">
    <w:abstractNumId w:val="9"/>
  </w:num>
  <w:num w:numId="3" w16cid:durableId="176236697">
    <w:abstractNumId w:val="7"/>
  </w:num>
  <w:num w:numId="4" w16cid:durableId="1526137842">
    <w:abstractNumId w:val="7"/>
  </w:num>
  <w:num w:numId="5" w16cid:durableId="869956837">
    <w:abstractNumId w:val="6"/>
  </w:num>
  <w:num w:numId="6" w16cid:durableId="1430006446">
    <w:abstractNumId w:val="6"/>
  </w:num>
  <w:num w:numId="7" w16cid:durableId="1498224582">
    <w:abstractNumId w:val="5"/>
  </w:num>
  <w:num w:numId="8" w16cid:durableId="2004313472">
    <w:abstractNumId w:val="5"/>
  </w:num>
  <w:num w:numId="9" w16cid:durableId="1730573661">
    <w:abstractNumId w:val="4"/>
  </w:num>
  <w:num w:numId="10" w16cid:durableId="337660037">
    <w:abstractNumId w:val="4"/>
  </w:num>
  <w:num w:numId="11" w16cid:durableId="1435588610">
    <w:abstractNumId w:val="8"/>
  </w:num>
  <w:num w:numId="12" w16cid:durableId="983315019">
    <w:abstractNumId w:val="8"/>
  </w:num>
  <w:num w:numId="13" w16cid:durableId="545291488">
    <w:abstractNumId w:val="3"/>
  </w:num>
  <w:num w:numId="14" w16cid:durableId="1891844024">
    <w:abstractNumId w:val="3"/>
  </w:num>
  <w:num w:numId="15" w16cid:durableId="2045790186">
    <w:abstractNumId w:val="2"/>
  </w:num>
  <w:num w:numId="16" w16cid:durableId="453404856">
    <w:abstractNumId w:val="2"/>
  </w:num>
  <w:num w:numId="17" w16cid:durableId="782724120">
    <w:abstractNumId w:val="1"/>
  </w:num>
  <w:num w:numId="18" w16cid:durableId="444083035">
    <w:abstractNumId w:val="1"/>
  </w:num>
  <w:num w:numId="19" w16cid:durableId="665550727">
    <w:abstractNumId w:val="0"/>
  </w:num>
  <w:num w:numId="20" w16cid:durableId="2111659854">
    <w:abstractNumId w:val="0"/>
  </w:num>
  <w:num w:numId="21" w16cid:durableId="1700282485">
    <w:abstractNumId w:val="9"/>
  </w:num>
  <w:num w:numId="22" w16cid:durableId="1399205164">
    <w:abstractNumId w:val="7"/>
  </w:num>
  <w:num w:numId="23" w16cid:durableId="587203103">
    <w:abstractNumId w:val="6"/>
  </w:num>
  <w:num w:numId="24" w16cid:durableId="898902041">
    <w:abstractNumId w:val="5"/>
  </w:num>
  <w:num w:numId="25" w16cid:durableId="176626216">
    <w:abstractNumId w:val="4"/>
  </w:num>
  <w:num w:numId="26" w16cid:durableId="346177479">
    <w:abstractNumId w:val="8"/>
  </w:num>
  <w:num w:numId="27" w16cid:durableId="83650109">
    <w:abstractNumId w:val="3"/>
  </w:num>
  <w:num w:numId="28" w16cid:durableId="2135711732">
    <w:abstractNumId w:val="2"/>
  </w:num>
  <w:num w:numId="29" w16cid:durableId="2120366129">
    <w:abstractNumId w:val="1"/>
  </w:num>
  <w:num w:numId="30" w16cid:durableId="373696761">
    <w:abstractNumId w:val="0"/>
  </w:num>
  <w:num w:numId="31" w16cid:durableId="750392796">
    <w:abstractNumId w:val="9"/>
  </w:num>
  <w:num w:numId="32" w16cid:durableId="1268078590">
    <w:abstractNumId w:val="7"/>
  </w:num>
  <w:num w:numId="33" w16cid:durableId="1545143887">
    <w:abstractNumId w:val="6"/>
  </w:num>
  <w:num w:numId="34" w16cid:durableId="724716597">
    <w:abstractNumId w:val="5"/>
  </w:num>
  <w:num w:numId="35" w16cid:durableId="1729836889">
    <w:abstractNumId w:val="4"/>
  </w:num>
  <w:num w:numId="36" w16cid:durableId="1406418885">
    <w:abstractNumId w:val="8"/>
  </w:num>
  <w:num w:numId="37" w16cid:durableId="535117910">
    <w:abstractNumId w:val="3"/>
  </w:num>
  <w:num w:numId="38" w16cid:durableId="328169146">
    <w:abstractNumId w:val="2"/>
  </w:num>
  <w:num w:numId="39" w16cid:durableId="845023936">
    <w:abstractNumId w:val="1"/>
  </w:num>
  <w:num w:numId="40" w16cid:durableId="1223977665">
    <w:abstractNumId w:val="0"/>
  </w:num>
  <w:num w:numId="41" w16cid:durableId="1416904618">
    <w:abstractNumId w:val="10"/>
  </w:num>
  <w:num w:numId="42" w16cid:durableId="1726946990">
    <w:abstractNumId w:val="10"/>
  </w:num>
  <w:num w:numId="43" w16cid:durableId="856507631">
    <w:abstractNumId w:val="10"/>
  </w:num>
  <w:num w:numId="44" w16cid:durableId="198470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FI"/>
    <w:docVar w:name="dvnumam" w:val="0"/>
    <w:docVar w:name="dvpe" w:val="782.164"/>
    <w:docVar w:name="dvtitre" w:val="Euroopan parlamentin lainsäädäntöpäätöslauselma 11. helmikuuta 2026 ehdotuksesta komission täytäntöönpanopäätökseksi muuntogeenistä puuvillaa T304-40 sisältävien, siitä koostuvien tai siitä valmistettujen tuotteiden markkinoille saattamista koskevan luvan uusimisesta Euroopan parlamentin ja neuvoston asetuksen (EY) N:o 1829/2003 mukaisesti(D111477/02 – 2026/2518(RSP))"/>
  </w:docVars>
  <w:rsids>
    <w:rsidRoot w:val="00E20658"/>
    <w:rsid w:val="00002272"/>
    <w:rsid w:val="00014E3B"/>
    <w:rsid w:val="00064002"/>
    <w:rsid w:val="000677B9"/>
    <w:rsid w:val="000831BA"/>
    <w:rsid w:val="000A42CC"/>
    <w:rsid w:val="000E7DD9"/>
    <w:rsid w:val="0010095E"/>
    <w:rsid w:val="00125B37"/>
    <w:rsid w:val="00187494"/>
    <w:rsid w:val="001C1236"/>
    <w:rsid w:val="001F32AE"/>
    <w:rsid w:val="00226C7D"/>
    <w:rsid w:val="002767FF"/>
    <w:rsid w:val="002B18FE"/>
    <w:rsid w:val="002B5493"/>
    <w:rsid w:val="002F4453"/>
    <w:rsid w:val="00343214"/>
    <w:rsid w:val="00361C00"/>
    <w:rsid w:val="00395FA1"/>
    <w:rsid w:val="003E15D4"/>
    <w:rsid w:val="00411CCE"/>
    <w:rsid w:val="00415D29"/>
    <w:rsid w:val="0041666E"/>
    <w:rsid w:val="00421060"/>
    <w:rsid w:val="00423688"/>
    <w:rsid w:val="00471C19"/>
    <w:rsid w:val="004867E3"/>
    <w:rsid w:val="00494A28"/>
    <w:rsid w:val="00494EFE"/>
    <w:rsid w:val="004C0004"/>
    <w:rsid w:val="004C5D52"/>
    <w:rsid w:val="0050519A"/>
    <w:rsid w:val="005072A1"/>
    <w:rsid w:val="00514517"/>
    <w:rsid w:val="00545827"/>
    <w:rsid w:val="00560270"/>
    <w:rsid w:val="00584898"/>
    <w:rsid w:val="005C2568"/>
    <w:rsid w:val="005F1B17"/>
    <w:rsid w:val="006037C0"/>
    <w:rsid w:val="006631B6"/>
    <w:rsid w:val="00680577"/>
    <w:rsid w:val="006C673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4EC"/>
    <w:rsid w:val="00A1687D"/>
    <w:rsid w:val="00A43E52"/>
    <w:rsid w:val="00A4678D"/>
    <w:rsid w:val="00A601D9"/>
    <w:rsid w:val="00A64949"/>
    <w:rsid w:val="00A778C7"/>
    <w:rsid w:val="00AB441E"/>
    <w:rsid w:val="00AB6293"/>
    <w:rsid w:val="00AE0928"/>
    <w:rsid w:val="00AF3B82"/>
    <w:rsid w:val="00B12E95"/>
    <w:rsid w:val="00B22876"/>
    <w:rsid w:val="00B5091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658"/>
    <w:rsid w:val="00E365E1"/>
    <w:rsid w:val="00E820A4"/>
    <w:rsid w:val="00EB006A"/>
    <w:rsid w:val="00EB4772"/>
    <w:rsid w:val="00ED169E"/>
    <w:rsid w:val="00ED4235"/>
    <w:rsid w:val="00F04346"/>
    <w:rsid w:val="00F075DC"/>
    <w:rsid w:val="00F149E9"/>
    <w:rsid w:val="00F5134D"/>
    <w:rsid w:val="00F513E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3CD5B"/>
  <w15:chartTrackingRefBased/>
  <w15:docId w15:val="{61C2EBBB-5DB7-4E42-BA3C-E95991AA0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4453"/>
    <w:pPr>
      <w:spacing w:before="480" w:after="240"/>
    </w:pPr>
  </w:style>
  <w:style w:type="paragraph" w:customStyle="1" w:styleId="NormalHanging12a">
    <w:name w:val="NormalHanging12a"/>
    <w:basedOn w:val="Normal"/>
    <w:uiPriority w:val="99"/>
    <w:qFormat/>
    <w:rsid w:val="002F4453"/>
    <w:pPr>
      <w:spacing w:after="240"/>
      <w:ind w:left="567" w:hanging="567"/>
    </w:pPr>
  </w:style>
  <w:style w:type="character" w:styleId="Hyperlink">
    <w:name w:val="Hyperlink"/>
    <w:basedOn w:val="DefaultParagraphFont"/>
    <w:uiPriority w:val="99"/>
    <w:rsid w:val="002F4453"/>
    <w:rPr>
      <w:color w:val="0563C1" w:themeColor="hyperlink"/>
      <w:u w:val="single"/>
    </w:rPr>
  </w:style>
  <w:style w:type="paragraph" w:styleId="Footer">
    <w:name w:val="footer"/>
    <w:basedOn w:val="Normal"/>
    <w:link w:val="FooterChar"/>
    <w:rsid w:val="006C6736"/>
    <w:pPr>
      <w:tabs>
        <w:tab w:val="center" w:pos="4513"/>
        <w:tab w:val="right" w:pos="9026"/>
      </w:tabs>
    </w:pPr>
  </w:style>
  <w:style w:type="character" w:customStyle="1" w:styleId="FooterChar">
    <w:name w:val="Footer Char"/>
    <w:basedOn w:val="DefaultParagraphFont"/>
    <w:link w:val="Footer"/>
    <w:rsid w:val="006C6736"/>
    <w:rPr>
      <w:sz w:val="24"/>
      <w:lang w:val="fi-FI"/>
    </w:rPr>
  </w:style>
  <w:style w:type="paragraph" w:styleId="Revision">
    <w:name w:val="Revision"/>
    <w:hidden/>
    <w:uiPriority w:val="99"/>
    <w:semiHidden/>
    <w:rsid w:val="00F513E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topics/agriculture-and-rural-development/strategic-dialogue-future-eu-agriculture_fi"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fi/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1177</Words>
  <Characters>9995</Characters>
  <Application>Microsoft Office Word</Application>
  <DocSecurity>0</DocSecurity>
  <Lines>185</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2026-03-18T09:55:00Z</dcterms:created>
  <dcterms:modified xsi:type="dcterms:W3CDTF">2026-03-18T09:55:00Z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B10-0108/2026</vt:lpwstr>
  </property>
  <property fmtid="{D5CDD505-2E9C-101B-9397-08002B2CF9AE}" pid="4" name="&lt;Type&gt;">
    <vt:lpwstr>RR</vt:lpwstr>
  </property>
</Properties>
</file>