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C2C" w14:paraId="5A9BEC3B" w14:textId="77777777" w:rsidTr="0010095E">
        <w:trPr>
          <w:trHeight w:hRule="exact" w:val="1418"/>
        </w:trPr>
        <w:tc>
          <w:tcPr>
            <w:tcW w:w="6804" w:type="dxa"/>
            <w:shd w:val="clear" w:color="auto" w:fill="auto"/>
            <w:vAlign w:val="center"/>
          </w:tcPr>
          <w:p w14:paraId="15E01D5B" w14:textId="77777777" w:rsidR="00751A4A" w:rsidRPr="004E7C2C" w:rsidRDefault="00B609A8" w:rsidP="0010095E">
            <w:pPr>
              <w:pStyle w:val="EPName"/>
            </w:pPr>
            <w:r w:rsidRPr="004E7C2C">
              <w:t>Parlement européen</w:t>
            </w:r>
          </w:p>
          <w:p w14:paraId="51D2F2DD" w14:textId="77777777" w:rsidR="00751A4A" w:rsidRPr="004E7C2C" w:rsidRDefault="005F1B17" w:rsidP="005F1B17">
            <w:pPr>
              <w:pStyle w:val="EPTerm"/>
              <w:rPr>
                <w:rStyle w:val="HideTWBExt"/>
                <w:noProof w:val="0"/>
                <w:vanish w:val="0"/>
                <w:color w:val="auto"/>
              </w:rPr>
            </w:pPr>
            <w:r w:rsidRPr="004E7C2C">
              <w:t>2024</w:t>
            </w:r>
            <w:r w:rsidR="00817416" w:rsidRPr="004E7C2C">
              <w:t>-202</w:t>
            </w:r>
            <w:r w:rsidRPr="004E7C2C">
              <w:t>9</w:t>
            </w:r>
          </w:p>
        </w:tc>
        <w:tc>
          <w:tcPr>
            <w:tcW w:w="2268" w:type="dxa"/>
            <w:shd w:val="clear" w:color="auto" w:fill="auto"/>
          </w:tcPr>
          <w:p w14:paraId="24BBFB14" w14:textId="77777777" w:rsidR="00751A4A" w:rsidRPr="004E7C2C" w:rsidRDefault="00187494" w:rsidP="0010095E">
            <w:pPr>
              <w:pStyle w:val="EPLogo"/>
            </w:pPr>
            <w:r w:rsidRPr="004E7C2C">
              <w:rPr>
                <w:noProof/>
                <w:lang w:eastAsia="ja-JP"/>
              </w:rPr>
              <w:drawing>
                <wp:inline distT="0" distB="0" distL="0" distR="0" wp14:anchorId="48202B80" wp14:editId="1531B5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C27597" w14:textId="77777777" w:rsidR="00D058B8" w:rsidRPr="004E7C2C" w:rsidRDefault="00D058B8" w:rsidP="004C5D52">
      <w:pPr>
        <w:pStyle w:val="LineTop"/>
      </w:pPr>
    </w:p>
    <w:p w14:paraId="0125F9C0" w14:textId="77777777" w:rsidR="00680577" w:rsidRPr="004E7C2C" w:rsidRDefault="00B609A8" w:rsidP="00680577">
      <w:pPr>
        <w:pStyle w:val="EPBodyTA1"/>
      </w:pPr>
      <w:r w:rsidRPr="004E7C2C">
        <w:t>TEXTES ADOPTÉS</w:t>
      </w:r>
    </w:p>
    <w:p w14:paraId="28EAF0B3" w14:textId="77777777" w:rsidR="00D058B8" w:rsidRPr="004E7C2C" w:rsidRDefault="00D058B8" w:rsidP="00D058B8">
      <w:pPr>
        <w:pStyle w:val="LineBottom"/>
      </w:pPr>
    </w:p>
    <w:p w14:paraId="5820D479" w14:textId="558AE3BB" w:rsidR="00B609A8" w:rsidRPr="004E7C2C" w:rsidRDefault="00B609A8" w:rsidP="00B609A8">
      <w:pPr>
        <w:pStyle w:val="ATHeading1"/>
      </w:pPr>
      <w:bookmarkStart w:id="0" w:name="TANumber"/>
      <w:r w:rsidRPr="004E7C2C">
        <w:t>P10_TA(2026)00</w:t>
      </w:r>
      <w:r w:rsidR="004421E4">
        <w:t>44</w:t>
      </w:r>
      <w:bookmarkEnd w:id="0"/>
    </w:p>
    <w:p w14:paraId="7E841C4E" w14:textId="08D83BD5" w:rsidR="00B609A8" w:rsidRPr="004E7C2C" w:rsidRDefault="0066756D" w:rsidP="00B609A8">
      <w:pPr>
        <w:pStyle w:val="ATHeading2"/>
      </w:pPr>
      <w:bookmarkStart w:id="1" w:name="title"/>
      <w:r>
        <w:t>C</w:t>
      </w:r>
      <w:r w:rsidRPr="0066756D">
        <w:rPr>
          <w:bCs/>
        </w:rPr>
        <w:t>oton génétiquement modifié T304-40</w:t>
      </w:r>
      <w:bookmarkEnd w:id="1"/>
    </w:p>
    <w:p w14:paraId="2D3EC589" w14:textId="77777777" w:rsidR="00B609A8" w:rsidRPr="004E7C2C" w:rsidRDefault="00B609A8" w:rsidP="00B609A8">
      <w:pPr>
        <w:rPr>
          <w:i/>
          <w:vanish/>
        </w:rPr>
      </w:pPr>
      <w:r w:rsidRPr="004E7C2C">
        <w:rPr>
          <w:i/>
        </w:rPr>
        <w:fldChar w:fldCharType="begin"/>
      </w:r>
      <w:r w:rsidRPr="004E7C2C">
        <w:rPr>
          <w:i/>
        </w:rPr>
        <w:instrText xml:space="preserve"> TC"(</w:instrText>
      </w:r>
      <w:bookmarkStart w:id="2" w:name="DocNumber"/>
      <w:r w:rsidRPr="004E7C2C">
        <w:rPr>
          <w:i/>
        </w:rPr>
        <w:instrText>B10-0108/2026</w:instrText>
      </w:r>
      <w:bookmarkEnd w:id="2"/>
      <w:r w:rsidRPr="004E7C2C">
        <w:rPr>
          <w:i/>
        </w:rPr>
        <w:instrText xml:space="preserve">)"\l3 \n&gt; \* MERGEFORMAT </w:instrText>
      </w:r>
      <w:r w:rsidRPr="004E7C2C">
        <w:rPr>
          <w:i/>
        </w:rPr>
        <w:fldChar w:fldCharType="end"/>
      </w:r>
    </w:p>
    <w:p w14:paraId="5C2CF382" w14:textId="77777777" w:rsidR="00B609A8" w:rsidRPr="004E7C2C" w:rsidRDefault="00B609A8" w:rsidP="00B609A8">
      <w:pPr>
        <w:rPr>
          <w:vanish/>
        </w:rPr>
      </w:pPr>
      <w:bookmarkStart w:id="3" w:name="PE"/>
      <w:r w:rsidRPr="004E7C2C">
        <w:rPr>
          <w:vanish/>
        </w:rPr>
        <w:t>PE782.164</w:t>
      </w:r>
      <w:bookmarkEnd w:id="3"/>
    </w:p>
    <w:p w14:paraId="43869ACB" w14:textId="415DC612" w:rsidR="00B609A8" w:rsidRPr="004E7C2C" w:rsidRDefault="00B609A8" w:rsidP="00B609A8">
      <w:pPr>
        <w:pStyle w:val="ATHeading3"/>
      </w:pPr>
      <w:bookmarkStart w:id="4" w:name="Sujet"/>
      <w:r w:rsidRPr="004E7C2C">
        <w:t xml:space="preserve">Résolution du Parlement européen du </w:t>
      </w:r>
      <w:r w:rsidR="0066756D">
        <w:t>11 février</w:t>
      </w:r>
      <w:r w:rsidRPr="004E7C2C">
        <w:t xml:space="preserve"> 2026 sur le projet de décision d’exécution de la Commission renouvelant l’autorisation de mise sur le marché de produits contenant du coton génétiquement modifié T304-40, consistant en ce coton ou produits à partir de celui-ci, en application du règlement (CE) nº 1829/2003 du Parlement européen et du Conseil</w:t>
      </w:r>
      <w:bookmarkEnd w:id="4"/>
      <w:r w:rsidRPr="004E7C2C">
        <w:t xml:space="preserve"> </w:t>
      </w:r>
      <w:bookmarkStart w:id="5" w:name="References"/>
      <w:r w:rsidRPr="004E7C2C">
        <w:t>(D111477/02 – 2026/2518(RSP))</w:t>
      </w:r>
      <w:bookmarkEnd w:id="5"/>
    </w:p>
    <w:p w14:paraId="1A55EE40" w14:textId="77777777" w:rsidR="0023528B" w:rsidRPr="004E7C2C" w:rsidRDefault="0023528B" w:rsidP="0023528B">
      <w:pPr>
        <w:pStyle w:val="EPComma"/>
      </w:pPr>
      <w:bookmarkStart w:id="6" w:name="TextBodyBegin"/>
      <w:bookmarkEnd w:id="6"/>
      <w:r w:rsidRPr="004E7C2C">
        <w:rPr>
          <w:i/>
        </w:rPr>
        <w:t>Le Parlement européen,</w:t>
      </w:r>
    </w:p>
    <w:p w14:paraId="6DA1DD32" w14:textId="77777777" w:rsidR="0023528B" w:rsidRPr="004E7C2C" w:rsidRDefault="0023528B" w:rsidP="0023528B">
      <w:pPr>
        <w:pStyle w:val="NormalHanging12a"/>
      </w:pPr>
      <w:r w:rsidRPr="004E7C2C">
        <w:t>–</w:t>
      </w:r>
      <w:r w:rsidRPr="004E7C2C">
        <w:tab/>
        <w:t>vu le projet de décision d’exécution de la Commission renouvelant l’autorisation de mise sur le marché de produits contenant du coton génétiquement modifié T304-40, consistant en ce coton ou produits à partir de celui-ci, en application du règlement (CE) nº 1829/2003 du Parlement européen et du Conseil (D111477/02),</w:t>
      </w:r>
    </w:p>
    <w:p w14:paraId="75AFC018" w14:textId="77777777" w:rsidR="0023528B" w:rsidRPr="004E7C2C" w:rsidRDefault="0023528B" w:rsidP="0023528B">
      <w:pPr>
        <w:pStyle w:val="NormalHanging12a"/>
      </w:pPr>
      <w:r w:rsidRPr="004E7C2C">
        <w:t>–</w:t>
      </w:r>
      <w:r w:rsidRPr="004E7C2C">
        <w:tab/>
        <w:t>vu le règlement (CE) nº 1829/2003 du Parlement européen et du Conseil du 22 septembre 2003 concernant les denrées alimentaires et les aliments pour animaux génétiquement modifiés</w:t>
      </w:r>
      <w:r w:rsidRPr="004E7C2C">
        <w:rPr>
          <w:vertAlign w:val="superscript"/>
        </w:rPr>
        <w:footnoteReference w:id="1"/>
      </w:r>
      <w:r w:rsidRPr="004E7C2C">
        <w:t>, et notamment son article 11, paragraphe 3, et son article 23, paragraphe 3,</w:t>
      </w:r>
    </w:p>
    <w:p w14:paraId="72695F83" w14:textId="1444B179" w:rsidR="0023528B" w:rsidRPr="004E7C2C" w:rsidRDefault="0023528B" w:rsidP="0023528B">
      <w:pPr>
        <w:pStyle w:val="NormalHanging12a"/>
      </w:pPr>
      <w:bookmarkStart w:id="7" w:name="_Hlk210666078"/>
      <w:r w:rsidRPr="004E7C2C">
        <w:t>–</w:t>
      </w:r>
      <w:r w:rsidRPr="004E7C2C">
        <w:tab/>
        <w:t xml:space="preserve">vu le vote du 12 décembre 2025 du </w:t>
      </w:r>
      <w:bookmarkStart w:id="8" w:name="_Hlk210664905"/>
      <w:r w:rsidRPr="004E7C2C">
        <w:t>comité permanent des végétaux, des animaux, des denrées alimentaires et des aliments pour animaux</w:t>
      </w:r>
      <w:bookmarkEnd w:id="8"/>
      <w:r w:rsidRPr="004E7C2C">
        <w:t>, visé à l’article 35 du règlement (CE) nº 1829/2003,</w:t>
      </w:r>
      <w:bookmarkEnd w:id="7"/>
      <w:r w:rsidRPr="004E7C2C">
        <w:t xml:space="preserve"> par lequel ledit comité a décidé de ne pas rendre d’avis, </w:t>
      </w:r>
      <w:r w:rsidR="0066756D" w:rsidRPr="0066756D">
        <w:t>et le vote du comité d'appel du 27 janvier 2026, lors duquel aucun avis n'a été rendu,</w:t>
      </w:r>
    </w:p>
    <w:p w14:paraId="4F821C1A" w14:textId="77777777" w:rsidR="0023528B" w:rsidRPr="004E7C2C" w:rsidRDefault="0023528B" w:rsidP="0023528B">
      <w:pPr>
        <w:pStyle w:val="NormalHanging12a"/>
      </w:pPr>
      <w:r w:rsidRPr="004E7C2C">
        <w:t>–</w:t>
      </w:r>
      <w:r w:rsidRPr="004E7C2C">
        <w:tab/>
        <w:t>vu l’article 11 du règlement (UE) n</w:t>
      </w:r>
      <w:r w:rsidRPr="004E7C2C">
        <w:rPr>
          <w:vertAlign w:val="superscript"/>
        </w:rPr>
        <w:t>o</w:t>
      </w:r>
      <w:r w:rsidRPr="004E7C2C">
        <w:t> 182/2011 du Parlement européen et du Conseil du 16 février 2011 établissant les règles et principes généraux relatifs aux modalités de contrôle par les États membres de l’exercice des compétences d’exécution par la Commission</w:t>
      </w:r>
      <w:r w:rsidRPr="004E7C2C">
        <w:rPr>
          <w:vertAlign w:val="superscript"/>
        </w:rPr>
        <w:footnoteReference w:id="2"/>
      </w:r>
      <w:r w:rsidRPr="004E7C2C">
        <w:t>,</w:t>
      </w:r>
    </w:p>
    <w:p w14:paraId="4D7CE07F" w14:textId="77777777" w:rsidR="0023528B" w:rsidRPr="004E7C2C" w:rsidRDefault="0023528B" w:rsidP="0023528B">
      <w:pPr>
        <w:pStyle w:val="NormalHanging12a"/>
      </w:pPr>
      <w:r w:rsidRPr="004E7C2C">
        <w:t>–</w:t>
      </w:r>
      <w:r w:rsidRPr="004E7C2C">
        <w:tab/>
        <w:t xml:space="preserve">vu l’avis adopté par l’Autorité européenne de sécurité des aliments (EFSA) le </w:t>
      </w:r>
      <w:r w:rsidRPr="004E7C2C">
        <w:lastRenderedPageBreak/>
        <w:t>30 juin 2025 et publié le 22 juillet 2025</w:t>
      </w:r>
      <w:r w:rsidRPr="004E7C2C">
        <w:rPr>
          <w:vertAlign w:val="superscript"/>
        </w:rPr>
        <w:footnoteReference w:id="3"/>
      </w:r>
      <w:r w:rsidRPr="004E7C2C">
        <w:t>,</w:t>
      </w:r>
    </w:p>
    <w:p w14:paraId="4ABD33D0" w14:textId="77777777" w:rsidR="0023528B" w:rsidRPr="004E7C2C" w:rsidRDefault="0023528B" w:rsidP="0023528B">
      <w:pPr>
        <w:pStyle w:val="NormalHanging12a"/>
      </w:pPr>
      <w:r w:rsidRPr="004E7C2C">
        <w:t>–</w:t>
      </w:r>
      <w:r w:rsidRPr="004E7C2C">
        <w:tab/>
        <w:t>vu ses résolutions précédentes s’opposant à l’autorisation d’organismes génétiquement modifiés (ci-après «OGM</w:t>
      </w:r>
      <w:bookmarkStart w:id="9" w:name="_Hlk210666451"/>
      <w:r w:rsidRPr="004E7C2C">
        <w:rPr>
          <w:vertAlign w:val="superscript"/>
        </w:rPr>
        <w:footnoteReference w:id="4"/>
      </w:r>
      <w:bookmarkEnd w:id="9"/>
      <w:r w:rsidRPr="004E7C2C">
        <w:t>»),</w:t>
      </w:r>
    </w:p>
    <w:p w14:paraId="57799DEF" w14:textId="77777777" w:rsidR="0023528B" w:rsidRPr="004E7C2C" w:rsidRDefault="0023528B" w:rsidP="0023528B">
      <w:pPr>
        <w:pStyle w:val="NormalHanging12a"/>
      </w:pPr>
      <w:r w:rsidRPr="004E7C2C">
        <w:lastRenderedPageBreak/>
        <w:t>–</w:t>
      </w:r>
      <w:r w:rsidRPr="004E7C2C">
        <w:tab/>
        <w:t>vu l’article 115, paragraphes 2 et 3, de son règlement intérieur,</w:t>
      </w:r>
    </w:p>
    <w:p w14:paraId="6FACBED3" w14:textId="77777777" w:rsidR="0023528B" w:rsidRPr="004E7C2C" w:rsidRDefault="0023528B" w:rsidP="0023528B">
      <w:pPr>
        <w:pStyle w:val="NormalHanging12a"/>
      </w:pPr>
      <w:r w:rsidRPr="004E7C2C">
        <w:t>–</w:t>
      </w:r>
      <w:r w:rsidRPr="004E7C2C">
        <w:tab/>
        <w:t>vu la proposition de résolution de la commission de l’environnement, du climat et de la sécurité alimentaire,</w:t>
      </w:r>
    </w:p>
    <w:p w14:paraId="51219F29" w14:textId="77777777" w:rsidR="0023528B" w:rsidRPr="004E7C2C" w:rsidRDefault="0023528B" w:rsidP="0023528B">
      <w:pPr>
        <w:pStyle w:val="NormalHanging12a"/>
      </w:pPr>
      <w:r w:rsidRPr="004E7C2C">
        <w:t>A.</w:t>
      </w:r>
      <w:r w:rsidRPr="004E7C2C">
        <w:tab/>
        <w:t>considérant que la décision d’exécution (UE) 2015/699 de la Commission</w:t>
      </w:r>
      <w:r w:rsidRPr="004E7C2C">
        <w:rPr>
          <w:vertAlign w:val="superscript"/>
        </w:rPr>
        <w:footnoteReference w:id="5"/>
      </w:r>
      <w:r w:rsidRPr="004E7C2C">
        <w:t>, telle que modifiée par la décision d’exécution (UE) 2019/1195 de la Commission</w:t>
      </w:r>
      <w:r w:rsidRPr="004E7C2C">
        <w:rPr>
          <w:vertAlign w:val="superscript"/>
        </w:rPr>
        <w:footnoteReference w:id="6"/>
      </w:r>
      <w:r w:rsidRPr="004E7C2C">
        <w:t>, a autorisé la mise sur le marché de denrées alimentaires et d’aliments pour animaux contenant du coton génétiquement modifié T304-40 (ci-après le «coton génétiquement modifié»), consistant en ce coton ou produits à partir de celui-ci; que le champ d’application de cette autorisation porte également sur la mise sur le marché de produits autres que des denrées alimentaires et des aliments pour animaux contenant du coton génétiquement modifié ou consistant en celui-ci et destinés aux mêmes utilisations que tout autre coton, à l’exception de la culture;</w:t>
      </w:r>
    </w:p>
    <w:p w14:paraId="11E3C123" w14:textId="77777777" w:rsidR="0023528B" w:rsidRPr="004E7C2C" w:rsidRDefault="0023528B" w:rsidP="0023528B">
      <w:pPr>
        <w:pStyle w:val="NormalHanging12a"/>
      </w:pPr>
      <w:r w:rsidRPr="004E7C2C">
        <w:t>B.</w:t>
      </w:r>
      <w:r w:rsidRPr="004E7C2C">
        <w:tab/>
        <w:t xml:space="preserve">considérant que le 22 mars 2024, BASF SE, établie en Allemagne, a présenté à la Commission, au nom de BASF Agricultural Solutions US LLC, établie aux États-Unis, une demande de renouvellement de cette autorisation, conformément aux articles 11 </w:t>
      </w:r>
      <w:r w:rsidRPr="004E7C2C">
        <w:lastRenderedPageBreak/>
        <w:t xml:space="preserve">et 23 du règlement (CE) nº 1829/2003; </w:t>
      </w:r>
    </w:p>
    <w:p w14:paraId="69751C00" w14:textId="77777777" w:rsidR="0023528B" w:rsidRPr="004E7C2C" w:rsidRDefault="0023528B" w:rsidP="0023528B">
      <w:pPr>
        <w:pStyle w:val="NormalHanging12a"/>
      </w:pPr>
      <w:r w:rsidRPr="004E7C2C">
        <w:t>C.</w:t>
      </w:r>
      <w:r w:rsidRPr="004E7C2C">
        <w:tab/>
        <w:t>considérant que le 22 juillet 2025, l’EFSA a rendu un avis scientifique favorable sur le coton génétiquement modifié</w:t>
      </w:r>
      <w:r w:rsidRPr="004E7C2C">
        <w:rPr>
          <w:vertAlign w:val="superscript"/>
        </w:rPr>
        <w:footnoteReference w:id="7"/>
      </w:r>
      <w:r w:rsidRPr="004E7C2C">
        <w:t xml:space="preserve">, </w:t>
      </w:r>
      <w:bookmarkStart w:id="10" w:name="_Hlk219204313"/>
      <w:r w:rsidRPr="004E7C2C">
        <w:t xml:space="preserve">conformément aux articles 11 et 23 </w:t>
      </w:r>
      <w:bookmarkStart w:id="11" w:name="_Hlk219204327"/>
      <w:bookmarkEnd w:id="10"/>
      <w:r w:rsidRPr="004E7C2C">
        <w:t>du règlement (CE) nº 1829/2003</w:t>
      </w:r>
      <w:bookmarkEnd w:id="11"/>
      <w:r w:rsidRPr="004E7C2C">
        <w:t>, dans lequel elle concluait que la demande de renouvellement ne contenait pas d’éléments attestant de dangers nouveaux, d’exposition modifiée ou d’incertitude scientifique de nature à modifier les conclusions de l’évaluation des risques initiale relative au coton génétiquement modifié, adoptée par l’EFSA en 2013</w:t>
      </w:r>
      <w:r w:rsidRPr="004E7C2C">
        <w:rPr>
          <w:vertAlign w:val="superscript"/>
        </w:rPr>
        <w:footnoteReference w:id="8"/>
      </w:r>
      <w:r w:rsidRPr="004E7C2C">
        <w:t>; que ces avis n’ont tenu aucun compte de plusieurs effets environnementaux, socio-économiques et cumulés plus larges, dont l’EFSA estime qu’ils ne relèvent pas de sa compétence;</w:t>
      </w:r>
    </w:p>
    <w:p w14:paraId="4CC0265C" w14:textId="77777777" w:rsidR="0023528B" w:rsidRPr="004E7C2C" w:rsidRDefault="0023528B" w:rsidP="0023528B">
      <w:pPr>
        <w:pStyle w:val="NormalHanging12a"/>
      </w:pPr>
      <w:r w:rsidRPr="004E7C2C">
        <w:t>D.</w:t>
      </w:r>
      <w:r w:rsidRPr="004E7C2C">
        <w:tab/>
        <w:t xml:space="preserve">considérant que le coton génétiquement modifié a été développé pour résister à certains parasites de l’ordre des lépidoptères en produisant une toxine insecticide et pour être tolérant au glufosinate; </w:t>
      </w:r>
    </w:p>
    <w:p w14:paraId="028C62A7" w14:textId="77777777" w:rsidR="0023528B" w:rsidRPr="004E7C2C" w:rsidRDefault="0023528B" w:rsidP="0023528B">
      <w:pPr>
        <w:pStyle w:val="NormalHanging12a"/>
      </w:pPr>
      <w:r w:rsidRPr="004E7C2C">
        <w:t>E.</w:t>
      </w:r>
      <w:r w:rsidRPr="004E7C2C">
        <w:tab/>
        <w:t>considérant que les évaluations des risques réalisées par l’EFSA ne s’appuient sur aucune étude toxicologique à long terme ni analyse détaillée des effets cumulés et combinés, dont les interactions potentielles avec les résidus de pesticides couramment utilisés dans la culture du coton;</w:t>
      </w:r>
    </w:p>
    <w:p w14:paraId="5EB1623B" w14:textId="77777777" w:rsidR="0023528B" w:rsidRPr="004E7C2C" w:rsidRDefault="0023528B" w:rsidP="0023528B">
      <w:pPr>
        <w:pStyle w:val="NormalHanging12a"/>
      </w:pPr>
      <w:r w:rsidRPr="004E7C2C">
        <w:t>F.</w:t>
      </w:r>
      <w:r w:rsidRPr="004E7C2C">
        <w:tab/>
        <w:t>considérant que la grande majorité des cultures génétiquement modifiées, dont le coton génétiquement modifié, l’ont été de manière à être tolérantes à un ou plusieurs herbicides «complémentaires» qui peuvent être utilisés tout au long de la culture de la plante génétiquement modifiée sans que celle-ci meure, comme ce serait le cas pour une culture non tolérante aux herbicides; qu’il ressort de plusieurs études que les cultures génétiquement modifiées tolérantes aux herbicides entraînent une augmentation de l’utilisation d’herbicides complémentaires, en grande partie du fait de l’apparition de plantes adventices tolérantes aux herbicides</w:t>
      </w:r>
      <w:r w:rsidRPr="004E7C2C">
        <w:rPr>
          <w:vertAlign w:val="superscript"/>
        </w:rPr>
        <w:footnoteReference w:id="9"/>
      </w:r>
      <w:r w:rsidRPr="004E7C2C">
        <w:t>;</w:t>
      </w:r>
    </w:p>
    <w:p w14:paraId="561248CD" w14:textId="77777777" w:rsidR="0023528B" w:rsidRPr="004E7C2C" w:rsidRDefault="0023528B" w:rsidP="0023528B">
      <w:pPr>
        <w:pStyle w:val="NormalHanging12a"/>
      </w:pPr>
      <w:r w:rsidRPr="004E7C2C">
        <w:t>G.</w:t>
      </w:r>
      <w:r w:rsidRPr="004E7C2C">
        <w:tab/>
        <w:t xml:space="preserve">considérant que 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w:t>
      </w:r>
      <w:r w:rsidRPr="004E7C2C">
        <w:lastRenderedPageBreak/>
        <w:t>les agriculteurs qui achètent ces semences pulvérisent également les herbicides complémentaires; qu’une dépendance accrue à l’égard des herbicides complémentaires dans les exploitations qui cultivent du coton génétiquement modifié accélérera l’apparition et la propagation de plantes adventices résistantes à ces herbicides, ce qui rendra nécessaire d’utiliser encore plus d’herbicides, un cercle vicieux appelé «le tapis roulant à herbicides»; qu’en conséquence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r w:rsidRPr="004E7C2C">
        <w:rPr>
          <w:vertAlign w:val="superscript"/>
        </w:rPr>
        <w:footnoteReference w:id="10"/>
      </w:r>
      <w:r w:rsidRPr="004E7C2C">
        <w:t>;</w:t>
      </w:r>
    </w:p>
    <w:p w14:paraId="167FC960" w14:textId="77777777" w:rsidR="0023528B" w:rsidRPr="004E7C2C" w:rsidRDefault="0023528B" w:rsidP="0023528B">
      <w:pPr>
        <w:pStyle w:val="NormalHanging12a"/>
      </w:pPr>
      <w:r w:rsidRPr="004E7C2C">
        <w:t>H.</w:t>
      </w:r>
      <w:r w:rsidRPr="004E7C2C">
        <w:tab/>
        <w:t>considérant que le glufosinate est classé comme toxique pour la reproduction 1B et correspond dès lors aux critères d’exclusion énoncés dans le règlement (CE) nº 1107/2009 du Parlement européen et du Conseil</w:t>
      </w:r>
      <w:r w:rsidRPr="004E7C2C">
        <w:rPr>
          <w:vertAlign w:val="superscript"/>
        </w:rPr>
        <w:footnoteReference w:id="11"/>
      </w:r>
      <w:r w:rsidRPr="004E7C2C">
        <w:t>; que l’autorisation de l’utilisation du glufosinate dans l’Union est arrivée à échéance le 31 juillet 2018;</w:t>
      </w:r>
    </w:p>
    <w:p w14:paraId="3F5D26BD" w14:textId="77777777" w:rsidR="0023528B" w:rsidRPr="004E7C2C" w:rsidRDefault="0023528B" w:rsidP="0023528B">
      <w:pPr>
        <w:pStyle w:val="NormalHanging12a"/>
      </w:pPr>
      <w:r w:rsidRPr="004E7C2C">
        <w:t xml:space="preserve">I. </w:t>
      </w:r>
      <w:r w:rsidRPr="004E7C2C">
        <w:tab/>
        <w:t>considérant que les garanties d’indépendance du suivi et de la surveillance des effets néfastes potentiels sur la biodiversité, la santé des sols, les pollinisateurs et les organismes non ciblés restent insuffisantes;</w:t>
      </w:r>
    </w:p>
    <w:p w14:paraId="73A409B5" w14:textId="77777777" w:rsidR="0023528B" w:rsidRPr="004E7C2C" w:rsidRDefault="0023528B" w:rsidP="0023528B">
      <w:pPr>
        <w:pStyle w:val="NormalHanging12a"/>
      </w:pPr>
      <w:r w:rsidRPr="004E7C2C">
        <w:t>J.</w:t>
      </w:r>
      <w:r w:rsidRPr="004E7C2C">
        <w:tab/>
        <w:t>considérant que le principe de précaution, consacré par l’article 191 du traité sur le fonctionnement de l’Union européenne, devrait s’appliquer en cas d’incertitude scientifique;</w:t>
      </w:r>
    </w:p>
    <w:p w14:paraId="771557EA" w14:textId="77777777" w:rsidR="0023528B" w:rsidRPr="004E7C2C" w:rsidRDefault="0023528B" w:rsidP="0023528B">
      <w:pPr>
        <w:pStyle w:val="NormalHanging12a"/>
      </w:pPr>
      <w:r w:rsidRPr="004E7C2C">
        <w:t>K.</w:t>
      </w:r>
      <w:r w:rsidRPr="004E7C2C">
        <w:tab/>
        <w:t>considérant que le règlement (CE) nº 1829/2003 exige que les denrées alimentaires et les aliments pour animaux génétiquement modifiés n’aient pas d’effets négatifs sur la santé humaine, la santé animale ou l’environnement;</w:t>
      </w:r>
    </w:p>
    <w:p w14:paraId="08DAB342" w14:textId="77777777" w:rsidR="0023528B" w:rsidRPr="004E7C2C" w:rsidRDefault="0023528B" w:rsidP="0023528B">
      <w:pPr>
        <w:pStyle w:val="NormalHanging12a"/>
      </w:pPr>
      <w:r w:rsidRPr="004E7C2C">
        <w:t>L.</w:t>
      </w:r>
      <w:r w:rsidRPr="004E7C2C">
        <w:tab/>
        <w:t>considérant que le renouvellement de l’autorisation par l’Union du coton génétiquement modifié ne serait pas conforme aux engagements internationaux en matière de réduction des pesticides</w:t>
      </w:r>
      <w:r w:rsidRPr="004E7C2C">
        <w:rPr>
          <w:vertAlign w:val="superscript"/>
        </w:rPr>
        <w:footnoteReference w:id="12"/>
      </w:r>
      <w:r w:rsidRPr="004E7C2C">
        <w:t>, compte tenu de l’exposition humaine, animale et environnementale accrue au glyphosate et au glufosinate dans les pays qui cultivent ce produit génétiquement modifié tolérant aux herbicides, ainsi que des effets potentiellement graves sur la santé qui y sont associés;</w:t>
      </w:r>
    </w:p>
    <w:p w14:paraId="491B9935" w14:textId="77777777" w:rsidR="0023528B" w:rsidRPr="004E7C2C" w:rsidRDefault="0023528B" w:rsidP="0023528B">
      <w:pPr>
        <w:pStyle w:val="NormalHanging12a"/>
      </w:pPr>
      <w:r w:rsidRPr="004E7C2C">
        <w:t>M.</w:t>
      </w:r>
      <w:r w:rsidRPr="004E7C2C">
        <w:tab/>
        <w:t>considérant que la décision d’exécution de la Commission continuerait d’autoriser les importations dans l’Union de produits non conformes aux normes observées par les agriculteurs de l’Union, ce qui placerait ces derniers dans une situation de désavantage concurrentiel;</w:t>
      </w:r>
    </w:p>
    <w:p w14:paraId="42D162DE" w14:textId="77777777" w:rsidR="0023528B" w:rsidRPr="004E7C2C" w:rsidRDefault="0023528B" w:rsidP="0023528B">
      <w:pPr>
        <w:pStyle w:val="NormalHanging12a"/>
      </w:pPr>
      <w:r w:rsidRPr="004E7C2C">
        <w:lastRenderedPageBreak/>
        <w:t>N.</w:t>
      </w:r>
      <w:r w:rsidRPr="004E7C2C">
        <w:tab/>
        <w:t>considérant que les conclusions du dialogue stratégique sur l’avenir de l’agriculture dans l’UE</w:t>
      </w:r>
      <w:r w:rsidRPr="004E7C2C">
        <w:rPr>
          <w:vertAlign w:val="superscript"/>
        </w:rPr>
        <w:footnoteReference w:id="13"/>
      </w:r>
      <w:r w:rsidRPr="004E7C2C">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2024 et 2025, l’une des principales revendications des agriculteurs concernait l’instauration, à l’échelle mondiale, de relations commerciales plus équitables et compatibles avec les objectifs d’un environnement sain;</w:t>
      </w:r>
    </w:p>
    <w:p w14:paraId="75CAA59A" w14:textId="77777777" w:rsidR="0023528B" w:rsidRPr="004E7C2C" w:rsidRDefault="0023528B" w:rsidP="0023528B">
      <w:pPr>
        <w:pStyle w:val="NormalHanging12a"/>
      </w:pPr>
      <w:r w:rsidRPr="004E7C2C">
        <w:t>O.</w:t>
      </w:r>
      <w:r w:rsidRPr="004E7C2C">
        <w:tab/>
        <w:t>considérant que, dans la perspective de remédier au déficit démocratique persistant, le Parlement s’est opposé de manière répétée à ce que la Commission autorise des OGM en l’absence de majorité qualifiée parmi les États membres au sein du comité permanent des végétaux, des animaux, des denrées alimentaires et des aliments pour animaux ou du comité d’appel;</w:t>
      </w:r>
    </w:p>
    <w:p w14:paraId="7A4005AB" w14:textId="77777777" w:rsidR="0023528B" w:rsidRPr="004E7C2C" w:rsidRDefault="0023528B" w:rsidP="0023528B">
      <w:pPr>
        <w:pStyle w:val="NormalHanging12a"/>
      </w:pPr>
      <w:r w:rsidRPr="004E7C2C">
        <w:t>P.</w:t>
      </w:r>
      <w:r w:rsidRPr="004E7C2C">
        <w:tab/>
        <w:t>considérant que, bien qu’elle reconnaisse elle-même les lacunes démocratiques, le manque de soutien des États membres et l’opposition du Parlement, la Commission continue d’autoriser des OGM;</w:t>
      </w:r>
    </w:p>
    <w:p w14:paraId="052673BA" w14:textId="77777777" w:rsidR="0023528B" w:rsidRPr="004E7C2C" w:rsidRDefault="0023528B" w:rsidP="0023528B">
      <w:pPr>
        <w:pStyle w:val="NormalHanging12a"/>
      </w:pPr>
      <w:r w:rsidRPr="004E7C2C">
        <w:t>Q.</w:t>
      </w:r>
      <w:r w:rsidRPr="004E7C2C">
        <w:tab/>
        <w:t>considérant que l’approche «Une seule santé» exige de tenir compte de l’interdépendance entre la santé humaine, animale, végétale et environnementale lors de l’évaluation de la durabilité et de l’innocuité à long terme des OGM;</w:t>
      </w:r>
    </w:p>
    <w:p w14:paraId="2F324AC3" w14:textId="77777777" w:rsidR="0023528B" w:rsidRPr="004E7C2C" w:rsidRDefault="0023528B" w:rsidP="0023528B">
      <w:pPr>
        <w:pStyle w:val="NormalHanging12a"/>
      </w:pPr>
      <w:r w:rsidRPr="004E7C2C">
        <w:t>1.</w:t>
      </w:r>
      <w:r w:rsidRPr="004E7C2C">
        <w:tab/>
        <w:t>considère que le projet de décision d’exécution de la Commission excède les compétences d’exécution prévues dans le règlement (CE) nº 1829/2003;</w:t>
      </w:r>
    </w:p>
    <w:p w14:paraId="376AEA6A" w14:textId="77777777" w:rsidR="0023528B" w:rsidRPr="004E7C2C" w:rsidRDefault="0023528B" w:rsidP="0023528B">
      <w:pPr>
        <w:pStyle w:val="NormalHanging12a"/>
      </w:pPr>
      <w:r w:rsidRPr="004E7C2C">
        <w:t>2.</w:t>
      </w:r>
      <w:r w:rsidRPr="004E7C2C">
        <w:tab/>
        <w:t>estime que le projet de décision d’exécution de la Commission n’est pas conforme au droit de l’Union, en ce qu’il est incompatible avec l’objectif du règlement (CE) nº 1829/2003, qui est, dans le respect des principes généraux énoncés par le règlement (CE) nº 178/2002 du Parlement européen et du Conseil</w:t>
      </w:r>
      <w:r w:rsidRPr="004E7C2C">
        <w:rPr>
          <w:vertAlign w:val="superscript"/>
        </w:rPr>
        <w:footnoteReference w:id="14"/>
      </w:r>
      <w:r w:rsidRPr="004E7C2C">
        <w:t xml:space="preserve">,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 </w:t>
      </w:r>
    </w:p>
    <w:p w14:paraId="1BAFBA9A" w14:textId="77777777" w:rsidR="0023528B" w:rsidRPr="004E7C2C" w:rsidRDefault="0023528B" w:rsidP="0023528B">
      <w:pPr>
        <w:pStyle w:val="NormalHanging12a"/>
      </w:pPr>
      <w:r w:rsidRPr="004E7C2C">
        <w:t>3.</w:t>
      </w:r>
      <w:r w:rsidRPr="004E7C2C">
        <w:tab/>
        <w:t>demande à la Commission de retirer son projet de décision d’exécution;</w:t>
      </w:r>
    </w:p>
    <w:p w14:paraId="3F967478" w14:textId="77777777" w:rsidR="0023528B" w:rsidRPr="004E7C2C" w:rsidRDefault="0023528B" w:rsidP="0023528B">
      <w:pPr>
        <w:pStyle w:val="NormalHanging12a"/>
      </w:pPr>
      <w:bookmarkStart w:id="12" w:name="_Hlk218675841"/>
      <w:r w:rsidRPr="004E7C2C">
        <w:t>4.</w:t>
      </w:r>
      <w:r w:rsidRPr="004E7C2C">
        <w:tab/>
        <w:t>invite la Commission à ne pas renouveler l’autorisation du coton génétiquement modifié, en l’absence de preuves suffisantes quant à son incidence à long terme sur la biodiversité, la sécurité alimentaire, les moyens de subsistance des agriculteurs et la santé animale, conformément à l’approche «Une seule santé»;</w:t>
      </w:r>
    </w:p>
    <w:p w14:paraId="09FF0739" w14:textId="77777777" w:rsidR="0023528B" w:rsidRPr="004E7C2C" w:rsidRDefault="0023528B" w:rsidP="0023528B">
      <w:pPr>
        <w:pStyle w:val="NormalHanging12a"/>
      </w:pPr>
      <w:bookmarkStart w:id="13" w:name="_Hlk210900300"/>
      <w:r w:rsidRPr="004E7C2C">
        <w:t>5.</w:t>
      </w:r>
      <w:r w:rsidRPr="004E7C2C">
        <w:tab/>
        <w:t xml:space="preserve">invite la Commission à présenter sans retard une proposition législative visant à </w:t>
      </w:r>
      <w:r w:rsidRPr="004E7C2C">
        <w:lastRenderedPageBreak/>
        <w:t>réformer la procédure décisionnelle relative aux OGM, afin de répondre aux objections constantes du Parlement et à l’absence de soutien d’une majorité qualifiée parmi les États membres</w:t>
      </w:r>
      <w:bookmarkEnd w:id="13"/>
      <w:r w:rsidRPr="004E7C2C">
        <w:t>;</w:t>
      </w:r>
    </w:p>
    <w:p w14:paraId="17C4D134" w14:textId="77777777" w:rsidR="0023528B" w:rsidRPr="004E7C2C" w:rsidRDefault="0023528B" w:rsidP="0023528B">
      <w:pPr>
        <w:pStyle w:val="NormalHanging12a"/>
      </w:pPr>
      <w:bookmarkStart w:id="14" w:name="_Hlk210900241"/>
      <w:r w:rsidRPr="004E7C2C">
        <w:t>6.</w:t>
      </w:r>
      <w:r w:rsidRPr="004E7C2C">
        <w:tab/>
        <w:t>souligne, à cet égard, qu’autoriser l’importation de denrées alimentaires, d’alimentation animale ou de produits de toute plante génétiquement modifiée rendue tolérante à des herbicides interdits dans l’Union, tels que le glufosinate, est incompatible avec les engagements internationaux de l’Union au titre, entre autres, de la convention des Nations unies sur la diversité biologique et des objectifs de développement durable des Nations unies, y compris le cadre de Kunming-Montréal, et crée des conditions de concurrence inégales pour les agriculteurs de l’Union;</w:t>
      </w:r>
    </w:p>
    <w:bookmarkEnd w:id="14"/>
    <w:p w14:paraId="749A73E8" w14:textId="787E1B21" w:rsidR="004E7C2C" w:rsidRPr="004E7C2C" w:rsidRDefault="0023528B" w:rsidP="004E7C2C">
      <w:pPr>
        <w:pStyle w:val="NormalHanging12a"/>
      </w:pPr>
      <w:r w:rsidRPr="004E7C2C">
        <w:t>7.</w:t>
      </w:r>
      <w:r w:rsidRPr="004E7C2C">
        <w:tab/>
      </w:r>
      <w:bookmarkEnd w:id="12"/>
      <w:r w:rsidRPr="004E7C2C">
        <w:t>charge sa Présidente de transmettre la présente résolution au Conseil et à la Commission ainsi qu’aux gouvernements et aux parlements des États membres.</w:t>
      </w:r>
    </w:p>
    <w:p w14:paraId="07AD3C7D" w14:textId="7FC61A33" w:rsidR="00E365E1" w:rsidRPr="004E7C2C" w:rsidRDefault="00E365E1" w:rsidP="00B609A8"/>
    <w:sectPr w:rsidR="00E365E1" w:rsidRPr="004E7C2C" w:rsidSect="004E7C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46DDD" w14:textId="77777777" w:rsidR="00B609A8" w:rsidRPr="004E7C2C" w:rsidRDefault="00B609A8">
      <w:r w:rsidRPr="004E7C2C">
        <w:separator/>
      </w:r>
    </w:p>
  </w:endnote>
  <w:endnote w:type="continuationSeparator" w:id="0">
    <w:p w14:paraId="6C7874B7" w14:textId="77777777" w:rsidR="00B609A8" w:rsidRPr="004E7C2C" w:rsidRDefault="00B609A8">
      <w:r w:rsidRPr="004E7C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33DA0" w14:textId="77777777" w:rsidR="00064002" w:rsidRPr="004E7C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1F585" w14:textId="77777777" w:rsidR="00064002" w:rsidRPr="004E7C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163F" w14:textId="77777777" w:rsidR="00064002" w:rsidRPr="004E7C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7D3DD" w14:textId="77777777" w:rsidR="00B609A8" w:rsidRPr="004E7C2C" w:rsidRDefault="00B609A8">
      <w:r w:rsidRPr="004E7C2C">
        <w:separator/>
      </w:r>
    </w:p>
  </w:footnote>
  <w:footnote w:type="continuationSeparator" w:id="0">
    <w:p w14:paraId="3315FAAE" w14:textId="77777777" w:rsidR="00B609A8" w:rsidRPr="004E7C2C" w:rsidRDefault="00B609A8">
      <w:r w:rsidRPr="004E7C2C">
        <w:continuationSeparator/>
      </w:r>
    </w:p>
  </w:footnote>
  <w:footnote w:id="1">
    <w:p w14:paraId="51F8B0A8" w14:textId="7696FAA1" w:rsidR="0023528B" w:rsidRPr="00225794" w:rsidRDefault="0023528B" w:rsidP="004E7C2C">
      <w:pPr>
        <w:pStyle w:val="FootnoteText"/>
        <w:ind w:left="567" w:hanging="567"/>
        <w:rPr>
          <w:sz w:val="24"/>
          <w:lang w:val="da-DK"/>
        </w:rPr>
      </w:pPr>
      <w:r w:rsidRPr="004E7C2C">
        <w:rPr>
          <w:rStyle w:val="FootnoteReference"/>
          <w:sz w:val="24"/>
        </w:rPr>
        <w:footnoteRef/>
      </w:r>
      <w:r w:rsidR="004E7C2C" w:rsidRPr="00225794">
        <w:rPr>
          <w:sz w:val="24"/>
          <w:lang w:val="da-DK"/>
        </w:rPr>
        <w:t xml:space="preserve"> </w:t>
      </w:r>
      <w:r w:rsidR="004E7C2C" w:rsidRPr="00225794">
        <w:rPr>
          <w:sz w:val="24"/>
          <w:lang w:val="da-DK"/>
        </w:rPr>
        <w:tab/>
      </w:r>
      <w:r w:rsidRPr="00225794">
        <w:rPr>
          <w:sz w:val="24"/>
          <w:lang w:val="da-DK"/>
        </w:rPr>
        <w:t>JO L 268 du 18.10.2003, p. 1, ELI: </w:t>
      </w:r>
      <w:hyperlink r:id="rId1" w:history="1">
        <w:r w:rsidRPr="00225794">
          <w:rPr>
            <w:rStyle w:val="Hyperlink"/>
            <w:sz w:val="24"/>
            <w:lang w:val="da-DK"/>
          </w:rPr>
          <w:t>https://eur-lex.europa.eu/eli/reg/2003/1829/oj</w:t>
        </w:r>
      </w:hyperlink>
      <w:r w:rsidRPr="00225794">
        <w:rPr>
          <w:rStyle w:val="Hyperlink"/>
          <w:sz w:val="24"/>
          <w:lang w:val="da-DK"/>
        </w:rPr>
        <w:t>.</w:t>
      </w:r>
    </w:p>
  </w:footnote>
  <w:footnote w:id="2">
    <w:p w14:paraId="4C9DEE1A" w14:textId="0FFF6A67" w:rsidR="0023528B" w:rsidRPr="00225794" w:rsidRDefault="0023528B" w:rsidP="004E7C2C">
      <w:pPr>
        <w:pStyle w:val="FootnoteText"/>
        <w:ind w:left="567" w:hanging="567"/>
        <w:rPr>
          <w:sz w:val="24"/>
          <w:lang w:val="da-DK"/>
        </w:rPr>
      </w:pPr>
      <w:r w:rsidRPr="004E7C2C">
        <w:rPr>
          <w:rStyle w:val="FootnoteReference"/>
          <w:sz w:val="24"/>
        </w:rPr>
        <w:footnoteRef/>
      </w:r>
      <w:r w:rsidR="004E7C2C" w:rsidRPr="00225794">
        <w:rPr>
          <w:sz w:val="24"/>
          <w:lang w:val="da-DK"/>
        </w:rPr>
        <w:t xml:space="preserve"> </w:t>
      </w:r>
      <w:r w:rsidR="004E7C2C" w:rsidRPr="00225794">
        <w:rPr>
          <w:sz w:val="24"/>
          <w:lang w:val="da-DK"/>
        </w:rPr>
        <w:tab/>
      </w:r>
      <w:r w:rsidRPr="00225794">
        <w:rPr>
          <w:sz w:val="24"/>
          <w:lang w:val="da-DK"/>
        </w:rPr>
        <w:t>JO L 55 du 28.2.2011, p. 13, ELI: </w:t>
      </w:r>
      <w:hyperlink r:id="rId2" w:history="1">
        <w:r w:rsidRPr="00225794">
          <w:rPr>
            <w:rStyle w:val="Hyperlink"/>
            <w:sz w:val="24"/>
            <w:lang w:val="da-DK"/>
          </w:rPr>
          <w:t>http://data.europa.eu/eli/reg/2011/182/oj</w:t>
        </w:r>
      </w:hyperlink>
      <w:r w:rsidRPr="00225794">
        <w:rPr>
          <w:sz w:val="24"/>
          <w:lang w:val="da-DK"/>
        </w:rPr>
        <w:t>.</w:t>
      </w:r>
    </w:p>
  </w:footnote>
  <w:footnote w:id="3">
    <w:p w14:paraId="61C449D0" w14:textId="450E7D47" w:rsidR="0023528B" w:rsidRPr="004E7C2C" w:rsidRDefault="0023528B" w:rsidP="004E7C2C">
      <w:pPr>
        <w:pStyle w:val="FootnoteText"/>
        <w:ind w:left="567" w:hanging="567"/>
        <w:rPr>
          <w:sz w:val="24"/>
        </w:rPr>
      </w:pPr>
      <w:r w:rsidRPr="004E7C2C">
        <w:rPr>
          <w:sz w:val="24"/>
          <w:vertAlign w:val="superscript"/>
        </w:rPr>
        <w:footnoteRef/>
      </w:r>
      <w:r w:rsidR="004E7C2C" w:rsidRPr="004E7C2C">
        <w:rPr>
          <w:sz w:val="24"/>
        </w:rPr>
        <w:t xml:space="preserve"> </w:t>
      </w:r>
      <w:r w:rsidR="004E7C2C" w:rsidRPr="004E7C2C">
        <w:rPr>
          <w:sz w:val="24"/>
        </w:rPr>
        <w:tab/>
      </w:r>
      <w:r w:rsidRPr="004E7C2C">
        <w:rPr>
          <w:sz w:val="24"/>
        </w:rPr>
        <w:t xml:space="preserve">Avis scientifique du groupe scientifique de l’EFSA sur les organismes génétiquement modifiés sur l’évaluation du coton génétiquement modifié T304-40 en vue du renouvellement de l’autorisation au titre du règlement (CE) nº 1829/2003 (dossier GMFF-2024-23010), </w:t>
      </w:r>
      <w:r w:rsidRPr="004E7C2C">
        <w:rPr>
          <w:i/>
          <w:sz w:val="24"/>
        </w:rPr>
        <w:t>EFSA Journal</w:t>
      </w:r>
      <w:r w:rsidRPr="004E7C2C">
        <w:rPr>
          <w:sz w:val="24"/>
        </w:rPr>
        <w:t xml:space="preserve">, 2025, 23(7):e9580, </w:t>
      </w:r>
      <w:hyperlink r:id="rId3" w:history="1">
        <w:r w:rsidRPr="004E7C2C">
          <w:rPr>
            <w:rStyle w:val="Hyperlink"/>
            <w:sz w:val="24"/>
          </w:rPr>
          <w:t>https://doi.org/10.2903/j.efsa.2025.9580</w:t>
        </w:r>
      </w:hyperlink>
      <w:r w:rsidRPr="004E7C2C">
        <w:rPr>
          <w:sz w:val="24"/>
        </w:rPr>
        <w:t xml:space="preserve">. </w:t>
      </w:r>
    </w:p>
  </w:footnote>
  <w:footnote w:id="4">
    <w:p w14:paraId="42509FC2" w14:textId="1D9C9E40" w:rsidR="0023528B" w:rsidRPr="004E7C2C" w:rsidRDefault="0023528B" w:rsidP="004E7C2C">
      <w:pPr>
        <w:pStyle w:val="FootnoteText"/>
        <w:ind w:left="567" w:hanging="567"/>
        <w:rPr>
          <w:color w:val="000000" w:themeColor="text1"/>
          <w:sz w:val="24"/>
          <w:vertAlign w:val="superscript"/>
        </w:rPr>
      </w:pPr>
      <w:r w:rsidRPr="004E7C2C">
        <w:rPr>
          <w:rStyle w:val="FootnoteReference"/>
          <w:sz w:val="24"/>
        </w:rPr>
        <w:footnoteRef/>
      </w:r>
      <w:r w:rsidR="004E7C2C" w:rsidRPr="004E7C2C">
        <w:rPr>
          <w:color w:val="000000" w:themeColor="text1"/>
          <w:sz w:val="24"/>
        </w:rPr>
        <w:t xml:space="preserve"> </w:t>
      </w:r>
      <w:r w:rsidR="004E7C2C" w:rsidRPr="004E7C2C">
        <w:rPr>
          <w:color w:val="000000" w:themeColor="text1"/>
          <w:sz w:val="24"/>
        </w:rPr>
        <w:tab/>
      </w:r>
      <w:r w:rsidRPr="004E7C2C">
        <w:rPr>
          <w:color w:val="000000" w:themeColor="text1"/>
          <w:sz w:val="24"/>
        </w:rPr>
        <w:t>Le Parlement a adopté 36 résolutions par lesquelles il s’opposait à l’autorisation d’OGM au cours de sa huitième législature, et 38 au cours de sa neuvième législature. En outre, depuis le début de sa dixième législature, il a adopté les résolutions suivantes:</w:t>
      </w:r>
    </w:p>
    <w:p w14:paraId="2A0D9E3C" w14:textId="1C6FB513" w:rsidR="0023528B" w:rsidRPr="004E7C2C" w:rsidRDefault="004E7C2C" w:rsidP="004E7C2C">
      <w:pPr>
        <w:pStyle w:val="FootnoteText"/>
        <w:ind w:left="567" w:hanging="567"/>
        <w:rPr>
          <w:color w:val="000000" w:themeColor="text1"/>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t>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sidR="0023528B" w:rsidRPr="004E7C2C">
          <w:rPr>
            <w:rStyle w:val="Hyperlink"/>
            <w:sz w:val="24"/>
          </w:rPr>
          <w:t>http://data.europa.eu/eli/C/2025/1797/oj</w:t>
        </w:r>
      </w:hyperlink>
      <w:r w:rsidR="0023528B" w:rsidRPr="004E7C2C">
        <w:rPr>
          <w:color w:val="000000" w:themeColor="text1"/>
          <w:sz w:val="24"/>
        </w:rPr>
        <w:t>);</w:t>
      </w:r>
    </w:p>
    <w:p w14:paraId="677C2595" w14:textId="048259BF" w:rsidR="0023528B" w:rsidRPr="004E7C2C" w:rsidRDefault="004E7C2C" w:rsidP="004E7C2C">
      <w:pPr>
        <w:pStyle w:val="FootnoteText"/>
        <w:ind w:left="567" w:hanging="567"/>
        <w:rPr>
          <w:color w:val="000000" w:themeColor="text1"/>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t>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sidR="0023528B" w:rsidRPr="004E7C2C">
          <w:rPr>
            <w:rStyle w:val="Hyperlink"/>
            <w:sz w:val="24"/>
          </w:rPr>
          <w:t>http://data.europa.eu/eli/C/2025/1798/oj</w:t>
        </w:r>
      </w:hyperlink>
      <w:r w:rsidR="0023528B" w:rsidRPr="004E7C2C">
        <w:rPr>
          <w:color w:val="000000" w:themeColor="text1"/>
          <w:sz w:val="24"/>
        </w:rPr>
        <w:t>);</w:t>
      </w:r>
    </w:p>
    <w:p w14:paraId="20BAB167" w14:textId="17B99E93" w:rsidR="0023528B" w:rsidRPr="004E7C2C" w:rsidRDefault="004E7C2C" w:rsidP="004E7C2C">
      <w:pPr>
        <w:pStyle w:val="FootnoteText"/>
        <w:ind w:left="567" w:hanging="567"/>
        <w:rPr>
          <w:color w:val="000000" w:themeColor="text1"/>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t>résolution du Parlement européen du 26 novembre 2024 sur la décision d’exécution (UE) 2024/2629 de la Commission renouvelant l’autorisation de mise sur le marché de produits contenant du maïs génétiquement modifié MON 89034 × 1507 × MON 88017 × 59122 et huit de ses sous-combinaisons, consistant en ce maïs et ces sous-combinaisons ou produits à partir de ceux-ci, en application du règlement (CE) nº 1829/2003 du Parlement européen et du Conseil (JO C, C/2025/1799, 4.4.2025, ELI: </w:t>
      </w:r>
      <w:hyperlink r:id="rId6" w:history="1">
        <w:r w:rsidR="0023528B" w:rsidRPr="004E7C2C">
          <w:rPr>
            <w:rStyle w:val="Hyperlink"/>
            <w:sz w:val="24"/>
          </w:rPr>
          <w:t>http://data.europa.eu/eli/C/2025/1799/oj</w:t>
        </w:r>
      </w:hyperlink>
      <w:r w:rsidR="0023528B" w:rsidRPr="004E7C2C">
        <w:rPr>
          <w:color w:val="000000" w:themeColor="text1"/>
          <w:sz w:val="24"/>
        </w:rPr>
        <w:t>);</w:t>
      </w:r>
    </w:p>
    <w:p w14:paraId="353481F4" w14:textId="47052AFE" w:rsidR="0023528B" w:rsidRPr="004E7C2C" w:rsidRDefault="004E7C2C" w:rsidP="004E7C2C">
      <w:pPr>
        <w:pStyle w:val="FootnoteText"/>
        <w:ind w:left="567" w:hanging="567"/>
        <w:rPr>
          <w:color w:val="000000" w:themeColor="text1"/>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t>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0023528B" w:rsidRPr="004E7C2C">
          <w:rPr>
            <w:rStyle w:val="Hyperlink"/>
            <w:sz w:val="24"/>
          </w:rPr>
          <w:t>http://data.europa.eu/eli/C/2025/1800/oj</w:t>
        </w:r>
      </w:hyperlink>
      <w:r w:rsidR="0023528B" w:rsidRPr="004E7C2C">
        <w:rPr>
          <w:color w:val="000000" w:themeColor="text1"/>
          <w:sz w:val="24"/>
        </w:rPr>
        <w:t>);</w:t>
      </w:r>
    </w:p>
    <w:p w14:paraId="3A6A36B2" w14:textId="2C4F37F4" w:rsidR="0023528B" w:rsidRPr="004E7C2C" w:rsidRDefault="004E7C2C" w:rsidP="004E7C2C">
      <w:pPr>
        <w:pStyle w:val="FootnoteText"/>
        <w:ind w:left="567" w:hanging="567"/>
        <w:rPr>
          <w:color w:val="000000" w:themeColor="text1"/>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t>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(JO C, C/2025/1801, 4.4.2025, ELI: </w:t>
      </w:r>
      <w:hyperlink r:id="rId8" w:history="1">
        <w:r w:rsidR="0023528B" w:rsidRPr="004E7C2C">
          <w:rPr>
            <w:rStyle w:val="Hyperlink"/>
            <w:sz w:val="24"/>
          </w:rPr>
          <w:t>http://data.europa.eu/eli/C/2025/1801/oj</w:t>
        </w:r>
      </w:hyperlink>
      <w:r w:rsidR="0023528B" w:rsidRPr="004E7C2C">
        <w:rPr>
          <w:color w:val="000000" w:themeColor="text1"/>
          <w:sz w:val="24"/>
        </w:rPr>
        <w:t>);</w:t>
      </w:r>
    </w:p>
    <w:p w14:paraId="17C12854" w14:textId="762251C5" w:rsidR="0023528B" w:rsidRPr="004E7C2C" w:rsidRDefault="004E7C2C" w:rsidP="004E7C2C">
      <w:pPr>
        <w:pStyle w:val="FootnoteText"/>
        <w:ind w:left="567" w:hanging="567"/>
        <w:rPr>
          <w:color w:val="000000" w:themeColor="text1"/>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t>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ELI: </w:t>
      </w:r>
      <w:hyperlink r:id="rId9" w:history="1">
        <w:r w:rsidR="0023528B" w:rsidRPr="004E7C2C">
          <w:rPr>
            <w:rStyle w:val="Hyperlink"/>
            <w:sz w:val="24"/>
          </w:rPr>
          <w:t>http://data.europa.eu/eli/C/2025/1802/oj</w:t>
        </w:r>
      </w:hyperlink>
      <w:r w:rsidR="0023528B" w:rsidRPr="004E7C2C">
        <w:rPr>
          <w:color w:val="000000" w:themeColor="text1"/>
          <w:sz w:val="24"/>
        </w:rPr>
        <w:t>);</w:t>
      </w:r>
    </w:p>
    <w:p w14:paraId="6834D3F0" w14:textId="1DA7F35F" w:rsidR="0023528B" w:rsidRPr="004E7C2C" w:rsidRDefault="004E7C2C" w:rsidP="004E7C2C">
      <w:pPr>
        <w:pStyle w:val="FootnoteText"/>
        <w:ind w:left="567" w:hanging="567"/>
        <w:rPr>
          <w:color w:val="000000" w:themeColor="text1"/>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t>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sidR="0023528B" w:rsidRPr="004E7C2C">
          <w:rPr>
            <w:rStyle w:val="Hyperlink"/>
            <w:sz w:val="24"/>
          </w:rPr>
          <w:t>http://data.europa.eu/eli/C/2025/1803/oj</w:t>
        </w:r>
      </w:hyperlink>
      <w:r w:rsidR="0023528B" w:rsidRPr="004E7C2C">
        <w:rPr>
          <w:color w:val="000000" w:themeColor="text1"/>
          <w:sz w:val="24"/>
        </w:rPr>
        <w:t>);</w:t>
      </w:r>
    </w:p>
    <w:p w14:paraId="4DB38B95" w14:textId="4F304047" w:rsidR="0023528B" w:rsidRPr="004E7C2C" w:rsidRDefault="004E7C2C" w:rsidP="004E7C2C">
      <w:pPr>
        <w:pStyle w:val="FootnoteText"/>
        <w:ind w:left="567" w:hanging="567"/>
        <w:rPr>
          <w:color w:val="000000" w:themeColor="text1"/>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t>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sidR="0023528B" w:rsidRPr="004E7C2C">
          <w:rPr>
            <w:rStyle w:val="Hyperlink"/>
            <w:sz w:val="24"/>
          </w:rPr>
          <w:t>http://data.europa.eu/eli/C/2025/1804/oj</w:t>
        </w:r>
      </w:hyperlink>
      <w:r w:rsidR="0023528B" w:rsidRPr="004E7C2C">
        <w:rPr>
          <w:color w:val="000000" w:themeColor="text1"/>
          <w:sz w:val="24"/>
        </w:rPr>
        <w:t>);</w:t>
      </w:r>
    </w:p>
    <w:p w14:paraId="7BFEB475" w14:textId="091EC98D" w:rsidR="0023528B" w:rsidRPr="004E7C2C" w:rsidRDefault="004E7C2C" w:rsidP="004E7C2C">
      <w:pPr>
        <w:pStyle w:val="FootnoteText"/>
        <w:ind w:left="567" w:hanging="567"/>
        <w:rPr>
          <w:sz w:val="24"/>
          <w:vertAlign w:val="superscript"/>
        </w:rPr>
      </w:pPr>
      <w:r w:rsidRPr="004E7C2C">
        <w:rPr>
          <w:color w:val="000000" w:themeColor="text1"/>
          <w:sz w:val="24"/>
        </w:rPr>
        <w:t xml:space="preserve"> </w:t>
      </w:r>
      <w:r w:rsidRPr="004E7C2C">
        <w:rPr>
          <w:color w:val="000000" w:themeColor="text1"/>
          <w:sz w:val="24"/>
        </w:rPr>
        <w:tab/>
      </w:r>
      <w:r w:rsidR="0023528B" w:rsidRPr="004E7C2C">
        <w:rPr>
          <w:color w:val="000000" w:themeColor="text1"/>
          <w:sz w:val="24"/>
        </w:rPr>
        <w:t>–</w:t>
      </w:r>
      <w:r w:rsidR="0023528B" w:rsidRPr="004E7C2C">
        <w:rPr>
          <w:color w:val="000000" w:themeColor="text1"/>
          <w:sz w:val="24"/>
        </w:rPr>
        <w:tab/>
      </w:r>
      <w:r w:rsidR="0023528B" w:rsidRPr="004E7C2C">
        <w:rPr>
          <w:sz w:val="24"/>
        </w:rPr>
        <w:t>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2" w:history="1">
        <w:r w:rsidR="0023528B" w:rsidRPr="004E7C2C">
          <w:rPr>
            <w:rStyle w:val="Hyperlink"/>
            <w:sz w:val="24"/>
          </w:rPr>
          <w:t>http://data.europa.eu/eli/C/2025/2246/oj</w:t>
        </w:r>
      </w:hyperlink>
      <w:r w:rsidR="0023528B" w:rsidRPr="004E7C2C">
        <w:rPr>
          <w:sz w:val="24"/>
        </w:rPr>
        <w:t>);</w:t>
      </w:r>
    </w:p>
    <w:p w14:paraId="755DEAD5" w14:textId="7D26CCF5"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w:t>
      </w:r>
      <w:r w:rsidR="0023528B" w:rsidRPr="004E7C2C">
        <w:rPr>
          <w:sz w:val="24"/>
        </w:rPr>
        <w:tab/>
        <w:t>résolution du Parlement européen du 12 février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(JO C, C/2025/2247, 29.4.2025, ELI: </w:t>
      </w:r>
      <w:hyperlink r:id="rId13" w:history="1">
        <w:r w:rsidR="0023528B" w:rsidRPr="004E7C2C">
          <w:rPr>
            <w:rStyle w:val="Hyperlink"/>
            <w:sz w:val="24"/>
          </w:rPr>
          <w:t>http://data.europa.eu/eli/C/2025/2247/oj</w:t>
        </w:r>
      </w:hyperlink>
      <w:r w:rsidR="0023528B" w:rsidRPr="004E7C2C">
        <w:rPr>
          <w:sz w:val="24"/>
        </w:rPr>
        <w:t>);</w:t>
      </w:r>
    </w:p>
    <w:p w14:paraId="2F06D0CF" w14:textId="3DE661E4"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w:t>
      </w:r>
      <w:r w:rsidR="0023528B" w:rsidRPr="004E7C2C">
        <w:rPr>
          <w:sz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w:t>
      </w:r>
      <w:r w:rsidR="00225794">
        <w:rPr>
          <w:sz w:val="24"/>
        </w:rPr>
        <w:t xml:space="preserve">Textes adoptés de cette date, </w:t>
      </w:r>
      <w:r w:rsidR="0023528B" w:rsidRPr="004E7C2C">
        <w:rPr>
          <w:sz w:val="24"/>
        </w:rPr>
        <w:t>P10_TA(2025)0106).</w:t>
      </w:r>
    </w:p>
    <w:p w14:paraId="3385708A" w14:textId="4954C507"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w:t>
      </w:r>
      <w:r w:rsidR="0023528B" w:rsidRPr="004E7C2C">
        <w:rPr>
          <w:sz w:val="24"/>
        </w:rPr>
        <w:tab/>
        <w:t>résolution du Parlement européen du 8 octobre 2025 sur la décision d’exécution (UE) 2025/1898 de la Commission du 22 septembre 2025 autorisant la mise sur le marché de produits contenant du maïs génétiquement modifié DP51291, consistant en ce maïs ou produits à partir de celui-ci, conformément au règlement (CE) nº 1829/2003 du Parlement européen et du Conseil (</w:t>
      </w:r>
      <w:r w:rsidR="00225794">
        <w:rPr>
          <w:sz w:val="24"/>
        </w:rPr>
        <w:t xml:space="preserve">Textes adoptés de cette date, </w:t>
      </w:r>
      <w:r w:rsidR="0023528B" w:rsidRPr="004E7C2C">
        <w:rPr>
          <w:sz w:val="24"/>
        </w:rPr>
        <w:t>P10_TA(2025)0222).</w:t>
      </w:r>
    </w:p>
    <w:p w14:paraId="213B21B8" w14:textId="0D723EC5"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w:t>
      </w:r>
      <w:r w:rsidR="0023528B" w:rsidRPr="004E7C2C">
        <w:rPr>
          <w:sz w:val="24"/>
        </w:rPr>
        <w:tab/>
        <w:t xml:space="preserve">résolution du Parlement européen du 25 novembre 2025 sur le projet de décision d’exécution de la Commission autorisant la mise sur le marché de produits contenant du maïs génétiquement modifié DAS1131, consistant en celui-ci ou produits à partir de celui-ci, en application du règlement (CE) nº 1829/2003 du Parlement européen et du Conseil </w:t>
      </w:r>
      <w:r w:rsidR="00225794">
        <w:rPr>
          <w:sz w:val="24"/>
        </w:rPr>
        <w:t xml:space="preserve">(Textes adoptés de cette date, </w:t>
      </w:r>
      <w:r w:rsidR="0023528B" w:rsidRPr="004E7C2C">
        <w:rPr>
          <w:sz w:val="24"/>
        </w:rPr>
        <w:t>P10_TA(2025)0288</w:t>
      </w:r>
      <w:r w:rsidR="00225794">
        <w:rPr>
          <w:sz w:val="24"/>
        </w:rPr>
        <w:t>)</w:t>
      </w:r>
      <w:r w:rsidR="0023528B" w:rsidRPr="004E7C2C">
        <w:rPr>
          <w:sz w:val="24"/>
        </w:rPr>
        <w:t>;</w:t>
      </w:r>
    </w:p>
    <w:p w14:paraId="74896389" w14:textId="182EB555"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w:t>
      </w:r>
      <w:r w:rsidR="0023528B" w:rsidRPr="004E7C2C">
        <w:rPr>
          <w:sz w:val="24"/>
        </w:rPr>
        <w:tab/>
        <w:t xml:space="preserve">résolution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w:t>
      </w:r>
      <w:r w:rsidR="00225794" w:rsidRPr="004E7C2C">
        <w:rPr>
          <w:sz w:val="24"/>
        </w:rPr>
        <w:t>(</w:t>
      </w:r>
      <w:r w:rsidR="00225794">
        <w:rPr>
          <w:sz w:val="24"/>
        </w:rPr>
        <w:t xml:space="preserve">Textes adoptés de cette date, </w:t>
      </w:r>
      <w:r w:rsidR="0023528B" w:rsidRPr="004E7C2C">
        <w:rPr>
          <w:sz w:val="24"/>
        </w:rPr>
        <w:t>P10_TA(2025)0289</w:t>
      </w:r>
      <w:r w:rsidR="00225794">
        <w:rPr>
          <w:sz w:val="24"/>
        </w:rPr>
        <w:t>)</w:t>
      </w:r>
      <w:r w:rsidR="0023528B" w:rsidRPr="004E7C2C">
        <w:rPr>
          <w:sz w:val="24"/>
        </w:rPr>
        <w:t>;</w:t>
      </w:r>
    </w:p>
    <w:p w14:paraId="55BC7ADA" w14:textId="7756FCA9"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 xml:space="preserve">résolution 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w:t>
      </w:r>
      <w:r w:rsidR="00225794" w:rsidRPr="004E7C2C">
        <w:rPr>
          <w:sz w:val="24"/>
        </w:rPr>
        <w:t>(</w:t>
      </w:r>
      <w:r w:rsidR="00225794">
        <w:rPr>
          <w:sz w:val="24"/>
        </w:rPr>
        <w:t xml:space="preserve">Textes adoptés de cette date, </w:t>
      </w:r>
      <w:r w:rsidR="0023528B" w:rsidRPr="004E7C2C">
        <w:rPr>
          <w:sz w:val="24"/>
        </w:rPr>
        <w:t>P10_TA(2025)0290</w:t>
      </w:r>
      <w:r w:rsidR="00225794">
        <w:rPr>
          <w:sz w:val="24"/>
        </w:rPr>
        <w:t>)</w:t>
      </w:r>
      <w:r w:rsidR="0023528B" w:rsidRPr="004E7C2C">
        <w:rPr>
          <w:sz w:val="24"/>
        </w:rPr>
        <w:t>;</w:t>
      </w:r>
    </w:p>
    <w:p w14:paraId="3AC1CF3E" w14:textId="5DC03DB1"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w:t>
      </w:r>
      <w:r w:rsidR="0023528B" w:rsidRPr="004E7C2C">
        <w:rPr>
          <w:sz w:val="24"/>
        </w:rPr>
        <w:tab/>
        <w:t xml:space="preserve">résolution 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w:t>
      </w:r>
      <w:r w:rsidR="00225794" w:rsidRPr="004E7C2C">
        <w:rPr>
          <w:sz w:val="24"/>
        </w:rPr>
        <w:t>(</w:t>
      </w:r>
      <w:r w:rsidR="00225794">
        <w:rPr>
          <w:sz w:val="24"/>
        </w:rPr>
        <w:t xml:space="preserve">Textes adoptés de cette date, </w:t>
      </w:r>
      <w:r w:rsidR="0023528B" w:rsidRPr="004E7C2C">
        <w:rPr>
          <w:sz w:val="24"/>
        </w:rPr>
        <w:t>P10_TA(2025)0291</w:t>
      </w:r>
      <w:r w:rsidR="00225794">
        <w:rPr>
          <w:sz w:val="24"/>
        </w:rPr>
        <w:t>)</w:t>
      </w:r>
      <w:r w:rsidR="0023528B" w:rsidRPr="004E7C2C">
        <w:rPr>
          <w:sz w:val="24"/>
        </w:rPr>
        <w:t>;</w:t>
      </w:r>
    </w:p>
    <w:p w14:paraId="38385364" w14:textId="0D1189C7"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 xml:space="preserve">résolution 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w:t>
      </w:r>
      <w:r w:rsidR="00225794" w:rsidRPr="004E7C2C">
        <w:rPr>
          <w:sz w:val="24"/>
        </w:rPr>
        <w:t>(</w:t>
      </w:r>
      <w:r w:rsidR="00225794">
        <w:rPr>
          <w:sz w:val="24"/>
        </w:rPr>
        <w:t xml:space="preserve">Textes adoptés de cette date, </w:t>
      </w:r>
      <w:r w:rsidR="0023528B" w:rsidRPr="004E7C2C">
        <w:rPr>
          <w:sz w:val="24"/>
        </w:rPr>
        <w:t>P10_TA(2025)0292</w:t>
      </w:r>
      <w:r w:rsidR="00225794">
        <w:rPr>
          <w:sz w:val="24"/>
        </w:rPr>
        <w:t>)</w:t>
      </w:r>
      <w:r w:rsidR="0023528B" w:rsidRPr="004E7C2C">
        <w:rPr>
          <w:sz w:val="24"/>
        </w:rPr>
        <w:t>;</w:t>
      </w:r>
    </w:p>
    <w:p w14:paraId="63E4034F" w14:textId="3C7FDE0E" w:rsidR="0023528B" w:rsidRPr="004E7C2C" w:rsidRDefault="004E7C2C" w:rsidP="004E7C2C">
      <w:pPr>
        <w:pStyle w:val="FootnoteText"/>
        <w:ind w:left="567" w:hanging="567"/>
        <w:rPr>
          <w:sz w:val="24"/>
          <w:vertAlign w:val="superscript"/>
        </w:rPr>
      </w:pPr>
      <w:r w:rsidRPr="004E7C2C">
        <w:rPr>
          <w:sz w:val="24"/>
        </w:rPr>
        <w:t xml:space="preserve"> </w:t>
      </w:r>
      <w:r w:rsidRPr="004E7C2C">
        <w:rPr>
          <w:sz w:val="24"/>
        </w:rPr>
        <w:tab/>
      </w:r>
      <w:r w:rsidR="0023528B" w:rsidRPr="004E7C2C">
        <w:rPr>
          <w:sz w:val="24"/>
        </w:rPr>
        <w:t xml:space="preserve">résolution du Parlement européen du 16 décembre 2025 sur le projet de décision d’exécution de la Commission renouvelant l’autorisation de mise sur le marché de produits contenant du maïs génétiquement modifié NK603, consistant en ce colza ou produits à partir de celui-ci, en application du règlement (CE) nº 1829/2003 du Parlement européen et du Conseil </w:t>
      </w:r>
      <w:r w:rsidR="00225794" w:rsidRPr="004E7C2C">
        <w:rPr>
          <w:sz w:val="24"/>
        </w:rPr>
        <w:t>(</w:t>
      </w:r>
      <w:r w:rsidR="00225794">
        <w:rPr>
          <w:sz w:val="24"/>
        </w:rPr>
        <w:t xml:space="preserve">Textes adoptés de cette date, </w:t>
      </w:r>
      <w:r w:rsidR="0023528B" w:rsidRPr="004E7C2C">
        <w:rPr>
          <w:sz w:val="24"/>
        </w:rPr>
        <w:t>P10_TA(2025)0327</w:t>
      </w:r>
      <w:r w:rsidR="00225794">
        <w:rPr>
          <w:sz w:val="24"/>
        </w:rPr>
        <w:t>)</w:t>
      </w:r>
      <w:r w:rsidR="0023528B" w:rsidRPr="004E7C2C">
        <w:rPr>
          <w:sz w:val="24"/>
        </w:rPr>
        <w:t>;</w:t>
      </w:r>
    </w:p>
    <w:p w14:paraId="3D5FE1B0" w14:textId="68B176F0" w:rsidR="0023528B" w:rsidRPr="004E7C2C" w:rsidRDefault="004E7C2C" w:rsidP="004E7C2C">
      <w:pPr>
        <w:pStyle w:val="FootnoteText"/>
        <w:ind w:left="567" w:hanging="567"/>
        <w:rPr>
          <w:sz w:val="24"/>
        </w:rPr>
      </w:pPr>
      <w:r w:rsidRPr="004E7C2C">
        <w:rPr>
          <w:sz w:val="24"/>
        </w:rPr>
        <w:t xml:space="preserve"> </w:t>
      </w:r>
      <w:r w:rsidRPr="004E7C2C">
        <w:rPr>
          <w:sz w:val="24"/>
        </w:rPr>
        <w:tab/>
      </w:r>
      <w:r w:rsidR="0023528B" w:rsidRPr="004E7C2C">
        <w:rPr>
          <w:sz w:val="24"/>
        </w:rPr>
        <w:t xml:space="preserve">résolution du Parlement européen du 16 décembre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 </w:t>
      </w:r>
      <w:r w:rsidR="00225794" w:rsidRPr="004E7C2C">
        <w:rPr>
          <w:sz w:val="24"/>
        </w:rPr>
        <w:t>(</w:t>
      </w:r>
      <w:r w:rsidR="00225794">
        <w:rPr>
          <w:sz w:val="24"/>
        </w:rPr>
        <w:t xml:space="preserve">Textes adoptés de cette date, </w:t>
      </w:r>
      <w:r w:rsidR="0023528B" w:rsidRPr="004E7C2C">
        <w:rPr>
          <w:sz w:val="24"/>
        </w:rPr>
        <w:t>P10_TA(2025)0328</w:t>
      </w:r>
      <w:r w:rsidR="00225794">
        <w:rPr>
          <w:sz w:val="24"/>
        </w:rPr>
        <w:t>)</w:t>
      </w:r>
      <w:r w:rsidR="0023528B" w:rsidRPr="004E7C2C">
        <w:rPr>
          <w:sz w:val="24"/>
        </w:rPr>
        <w:t>.</w:t>
      </w:r>
    </w:p>
  </w:footnote>
  <w:footnote w:id="5">
    <w:p w14:paraId="2261FDAC" w14:textId="62999E6E"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sz w:val="24"/>
        </w:rPr>
        <w:t xml:space="preserve"> </w:t>
      </w:r>
      <w:r w:rsidR="004E7C2C" w:rsidRPr="004E7C2C">
        <w:rPr>
          <w:sz w:val="24"/>
        </w:rPr>
        <w:tab/>
      </w:r>
      <w:r w:rsidRPr="004E7C2C">
        <w:rPr>
          <w:sz w:val="24"/>
        </w:rPr>
        <w:t>Décision d’exécution (UE) 2015/699 de la Commission du 24 avril 2015 autorisant la mise sur le marché de produits contenant du coton génétiquement modifié T304-40 (BCS-GHØØ4-7), consistant en ce coton ou produits à partir de celui-ci, en application du règlement (CE) n° 1829/2003 du Parlement européen et du Conseil (JO L 112 du 30.4.2015, p. 77, ELI: </w:t>
      </w:r>
      <w:hyperlink r:id="rId14" w:history="1">
        <w:r w:rsidRPr="004E7C2C">
          <w:rPr>
            <w:rStyle w:val="Hyperlink"/>
            <w:sz w:val="24"/>
          </w:rPr>
          <w:t>http://data.europa.eu/eli/dec_impl/2015/699/oj</w:t>
        </w:r>
      </w:hyperlink>
      <w:r w:rsidRPr="004E7C2C">
        <w:rPr>
          <w:sz w:val="24"/>
        </w:rPr>
        <w:t>).</w:t>
      </w:r>
    </w:p>
  </w:footnote>
  <w:footnote w:id="6">
    <w:p w14:paraId="244D7612" w14:textId="0A0FD26F"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sz w:val="24"/>
        </w:rPr>
        <w:t xml:space="preserve"> </w:t>
      </w:r>
      <w:r w:rsidR="004E7C2C" w:rsidRPr="004E7C2C">
        <w:rPr>
          <w:sz w:val="24"/>
        </w:rPr>
        <w:tab/>
      </w:r>
      <w:r w:rsidRPr="004E7C2C">
        <w:rPr>
          <w:sz w:val="24"/>
        </w:rPr>
        <w:t>Décision d’exécution (UE) 2019/1195 de la Commission du 10 juillet 2019 modifiant les décisions 2008/730/CE, 2008/837/CE, 2009/184/CE et 2011/354/UE, ainsi que les décisions d’exécution 2012/81/UE, 2013/327/UE, (UE) 2015/690, (UE) 2015/697, (UE) 2015/699, (UE) 2016/1215, (UE) 2017/1208 et (UE) 2017/2451 en ce qui concerne le titulaire de l’autorisation et le représentant pour la mise sur le marché de soja, de coton, de colza et de maïs génétiquement modifiés (JO L 187 du 12.7.2019, p. 43, ELI: </w:t>
      </w:r>
      <w:hyperlink r:id="rId15" w:tooltip="Donne accès à ce document par l’intermédiaire des identifiants URI et ELI." w:history="1">
        <w:r w:rsidRPr="004E7C2C">
          <w:rPr>
            <w:rStyle w:val="Hyperlink"/>
            <w:sz w:val="24"/>
          </w:rPr>
          <w:t>http://data.europa.eu/eli/dec_impl/2019/1195/oj</w:t>
        </w:r>
      </w:hyperlink>
      <w:r w:rsidRPr="004E7C2C">
        <w:rPr>
          <w:sz w:val="24"/>
        </w:rPr>
        <w:t xml:space="preserve">). </w:t>
      </w:r>
    </w:p>
  </w:footnote>
  <w:footnote w:id="7">
    <w:p w14:paraId="4AB74810" w14:textId="698E7641"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sz w:val="24"/>
        </w:rPr>
        <w:t xml:space="preserve"> </w:t>
      </w:r>
      <w:r w:rsidR="004E7C2C" w:rsidRPr="004E7C2C">
        <w:rPr>
          <w:sz w:val="24"/>
        </w:rPr>
        <w:tab/>
      </w:r>
      <w:r w:rsidRPr="004E7C2C">
        <w:rPr>
          <w:sz w:val="24"/>
        </w:rPr>
        <w:t xml:space="preserve">Avis scientifique du groupe scientifique de l’EFSA sur les organismes génétiquement modifiés sur l’évaluation du coton génétiquement modifié T304-40 en vue du renouvellement de l’autorisation au titre du règlement (CE) nº 1829/2003 (dossier GMFF-2024-23010), </w:t>
      </w:r>
      <w:r w:rsidRPr="004E7C2C">
        <w:rPr>
          <w:i/>
          <w:sz w:val="24"/>
        </w:rPr>
        <w:t>EFSA Journal</w:t>
      </w:r>
      <w:r w:rsidRPr="004E7C2C">
        <w:rPr>
          <w:sz w:val="24"/>
        </w:rPr>
        <w:t xml:space="preserve">, 2025, 23(7):e9580, </w:t>
      </w:r>
      <w:hyperlink r:id="rId16" w:history="1">
        <w:r w:rsidRPr="004E7C2C">
          <w:rPr>
            <w:sz w:val="24"/>
          </w:rPr>
          <w:t>https://doi.org/10.2903/j.efsa.2025.9580</w:t>
        </w:r>
      </w:hyperlink>
      <w:r w:rsidRPr="004E7C2C">
        <w:rPr>
          <w:sz w:val="24"/>
        </w:rPr>
        <w:t>.</w:t>
      </w:r>
    </w:p>
  </w:footnote>
  <w:footnote w:id="8">
    <w:p w14:paraId="74545823" w14:textId="65D527E1"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sz w:val="24"/>
        </w:rPr>
        <w:t xml:space="preserve"> </w:t>
      </w:r>
      <w:r w:rsidR="004E7C2C" w:rsidRPr="004E7C2C">
        <w:rPr>
          <w:sz w:val="24"/>
        </w:rPr>
        <w:tab/>
      </w:r>
      <w:r w:rsidRPr="004E7C2C">
        <w:rPr>
          <w:sz w:val="24"/>
        </w:rPr>
        <w:t xml:space="preserve">Avis scientifique du groupe scientifique de l’EFSA sur les organismes génétiquement modifiés relatif à la demande EFSA-GMO-NL-2011-97 d’autorisation de mise sur le marché du coton génétiquement modifié tolérant aux herbicides et résistant aux insectes T304-40, en vue de l’alimentation humaine et animale, de l’importation et de la transformation, déposée au titre du règlement (CE) nº 1829/2003 par Bayer </w:t>
      </w:r>
      <w:proofErr w:type="spellStart"/>
      <w:r w:rsidRPr="004E7C2C">
        <w:rPr>
          <w:sz w:val="24"/>
        </w:rPr>
        <w:t>CropScience</w:t>
      </w:r>
      <w:proofErr w:type="spellEnd"/>
      <w:r w:rsidRPr="004E7C2C">
        <w:rPr>
          <w:sz w:val="24"/>
        </w:rPr>
        <w:t xml:space="preserve"> AG, </w:t>
      </w:r>
      <w:r w:rsidRPr="004E7C2C">
        <w:rPr>
          <w:i/>
          <w:sz w:val="24"/>
        </w:rPr>
        <w:t>EFSA Journal</w:t>
      </w:r>
      <w:r w:rsidRPr="004E7C2C">
        <w:rPr>
          <w:sz w:val="24"/>
        </w:rPr>
        <w:t xml:space="preserve">, 2013, 11(6):3251, </w:t>
      </w:r>
      <w:hyperlink r:id="rId17" w:history="1">
        <w:r w:rsidRPr="004E7C2C">
          <w:rPr>
            <w:sz w:val="24"/>
          </w:rPr>
          <w:t>https://doi.org/10.2903/j.efsa.2013.3251</w:t>
        </w:r>
      </w:hyperlink>
      <w:r w:rsidRPr="004E7C2C">
        <w:rPr>
          <w:sz w:val="24"/>
        </w:rPr>
        <w:t>.</w:t>
      </w:r>
    </w:p>
  </w:footnote>
  <w:footnote w:id="9">
    <w:p w14:paraId="62C63E1C" w14:textId="7F94FF4C"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sz w:val="24"/>
          <w:shd w:val="clear" w:color="auto" w:fill="FFFFFF"/>
        </w:rPr>
        <w:t xml:space="preserve"> </w:t>
      </w:r>
      <w:r w:rsidR="004E7C2C" w:rsidRPr="004E7C2C">
        <w:rPr>
          <w:sz w:val="24"/>
          <w:shd w:val="clear" w:color="auto" w:fill="FFFFFF"/>
        </w:rPr>
        <w:tab/>
      </w:r>
      <w:r w:rsidRPr="004E7C2C">
        <w:rPr>
          <w:sz w:val="24"/>
          <w:shd w:val="clear" w:color="auto" w:fill="FFFFFF"/>
        </w:rPr>
        <w:t>Voir, par exemple, Bonny, S., «</w:t>
      </w:r>
      <w:proofErr w:type="spellStart"/>
      <w:r w:rsidRPr="004E7C2C">
        <w:rPr>
          <w:sz w:val="24"/>
          <w:shd w:val="clear" w:color="auto" w:fill="FFFFFF"/>
        </w:rPr>
        <w:t>Genetically</w:t>
      </w:r>
      <w:proofErr w:type="spellEnd"/>
      <w:r w:rsidRPr="004E7C2C">
        <w:rPr>
          <w:sz w:val="24"/>
          <w:shd w:val="clear" w:color="auto" w:fill="FFFFFF"/>
        </w:rPr>
        <w:t xml:space="preserve"> </w:t>
      </w:r>
      <w:proofErr w:type="spellStart"/>
      <w:r w:rsidRPr="004E7C2C">
        <w:rPr>
          <w:sz w:val="24"/>
          <w:shd w:val="clear" w:color="auto" w:fill="FFFFFF"/>
        </w:rPr>
        <w:t>Modified</w:t>
      </w:r>
      <w:proofErr w:type="spellEnd"/>
      <w:r w:rsidRPr="004E7C2C">
        <w:rPr>
          <w:sz w:val="24"/>
          <w:shd w:val="clear" w:color="auto" w:fill="FFFFFF"/>
        </w:rPr>
        <w:t xml:space="preserve"> Herbicide-</w:t>
      </w:r>
      <w:proofErr w:type="spellStart"/>
      <w:r w:rsidRPr="004E7C2C">
        <w:rPr>
          <w:sz w:val="24"/>
          <w:shd w:val="clear" w:color="auto" w:fill="FFFFFF"/>
        </w:rPr>
        <w:t>Tolerant</w:t>
      </w:r>
      <w:proofErr w:type="spellEnd"/>
      <w:r w:rsidRPr="004E7C2C">
        <w:rPr>
          <w:sz w:val="24"/>
          <w:shd w:val="clear" w:color="auto" w:fill="FFFFFF"/>
        </w:rPr>
        <w:t xml:space="preserve"> </w:t>
      </w:r>
      <w:proofErr w:type="spellStart"/>
      <w:r w:rsidRPr="004E7C2C">
        <w:rPr>
          <w:sz w:val="24"/>
          <w:shd w:val="clear" w:color="auto" w:fill="FFFFFF"/>
        </w:rPr>
        <w:t>Crops</w:t>
      </w:r>
      <w:proofErr w:type="spellEnd"/>
      <w:r w:rsidRPr="004E7C2C">
        <w:rPr>
          <w:sz w:val="24"/>
          <w:shd w:val="clear" w:color="auto" w:fill="FFFFFF"/>
        </w:rPr>
        <w:t xml:space="preserve">, </w:t>
      </w:r>
      <w:proofErr w:type="spellStart"/>
      <w:r w:rsidRPr="004E7C2C">
        <w:rPr>
          <w:sz w:val="24"/>
          <w:shd w:val="clear" w:color="auto" w:fill="FFFFFF"/>
        </w:rPr>
        <w:t>Weeds</w:t>
      </w:r>
      <w:proofErr w:type="spellEnd"/>
      <w:r w:rsidRPr="004E7C2C">
        <w:rPr>
          <w:sz w:val="24"/>
          <w:shd w:val="clear" w:color="auto" w:fill="FFFFFF"/>
        </w:rPr>
        <w:t xml:space="preserve">, and Herbicides: </w:t>
      </w:r>
      <w:proofErr w:type="spellStart"/>
      <w:r w:rsidRPr="004E7C2C">
        <w:rPr>
          <w:sz w:val="24"/>
        </w:rPr>
        <w:t>Overview</w:t>
      </w:r>
      <w:proofErr w:type="spellEnd"/>
      <w:r w:rsidRPr="004E7C2C">
        <w:rPr>
          <w:sz w:val="24"/>
        </w:rPr>
        <w:t xml:space="preserve"> and Impact», </w:t>
      </w:r>
      <w:proofErr w:type="spellStart"/>
      <w:r w:rsidRPr="004E7C2C">
        <w:rPr>
          <w:i/>
          <w:sz w:val="24"/>
        </w:rPr>
        <w:t>Environmental</w:t>
      </w:r>
      <w:proofErr w:type="spellEnd"/>
      <w:r w:rsidRPr="004E7C2C">
        <w:rPr>
          <w:i/>
          <w:sz w:val="24"/>
        </w:rPr>
        <w:t xml:space="preserve"> Management</w:t>
      </w:r>
      <w:r w:rsidRPr="004E7C2C">
        <w:rPr>
          <w:sz w:val="24"/>
        </w:rPr>
        <w:t xml:space="preserve">, janvier 2016, 57(1), p. 31-48, </w:t>
      </w:r>
      <w:hyperlink r:id="rId18" w:history="1">
        <w:r w:rsidRPr="004E7C2C">
          <w:rPr>
            <w:rStyle w:val="Hyperlink"/>
            <w:sz w:val="24"/>
            <w:shd w:val="clear" w:color="auto" w:fill="FFFFFF"/>
          </w:rPr>
          <w:t>https://doi.org/10.1007/s00267-015-0589-7</w:t>
        </w:r>
      </w:hyperlink>
      <w:r w:rsidRPr="004E7C2C">
        <w:rPr>
          <w:sz w:val="24"/>
        </w:rPr>
        <w:t xml:space="preserve">, et </w:t>
      </w:r>
      <w:proofErr w:type="spellStart"/>
      <w:r w:rsidRPr="004E7C2C">
        <w:rPr>
          <w:sz w:val="24"/>
        </w:rPr>
        <w:t>Benbrook</w:t>
      </w:r>
      <w:proofErr w:type="spellEnd"/>
      <w:r w:rsidRPr="004E7C2C">
        <w:rPr>
          <w:sz w:val="24"/>
        </w:rPr>
        <w:t xml:space="preserve">, C.M., «Impacts of </w:t>
      </w:r>
      <w:proofErr w:type="spellStart"/>
      <w:r w:rsidRPr="004E7C2C">
        <w:rPr>
          <w:sz w:val="24"/>
        </w:rPr>
        <w:t>genetically</w:t>
      </w:r>
      <w:proofErr w:type="spellEnd"/>
      <w:r w:rsidRPr="004E7C2C">
        <w:rPr>
          <w:sz w:val="24"/>
        </w:rPr>
        <w:t xml:space="preserve"> </w:t>
      </w:r>
      <w:proofErr w:type="spellStart"/>
      <w:r w:rsidRPr="004E7C2C">
        <w:rPr>
          <w:sz w:val="24"/>
        </w:rPr>
        <w:t>engineered</w:t>
      </w:r>
      <w:proofErr w:type="spellEnd"/>
      <w:r w:rsidRPr="004E7C2C">
        <w:rPr>
          <w:sz w:val="24"/>
        </w:rPr>
        <w:t xml:space="preserve"> </w:t>
      </w:r>
      <w:proofErr w:type="spellStart"/>
      <w:r w:rsidRPr="004E7C2C">
        <w:rPr>
          <w:sz w:val="24"/>
        </w:rPr>
        <w:t>crops</w:t>
      </w:r>
      <w:proofErr w:type="spellEnd"/>
      <w:r w:rsidRPr="004E7C2C">
        <w:rPr>
          <w:sz w:val="24"/>
        </w:rPr>
        <w:t xml:space="preserve"> on pesticide use in the U.S. – the first </w:t>
      </w:r>
      <w:proofErr w:type="spellStart"/>
      <w:r w:rsidRPr="004E7C2C">
        <w:rPr>
          <w:sz w:val="24"/>
        </w:rPr>
        <w:t>sixteen</w:t>
      </w:r>
      <w:proofErr w:type="spellEnd"/>
      <w:r w:rsidRPr="004E7C2C">
        <w:rPr>
          <w:sz w:val="24"/>
        </w:rPr>
        <w:t xml:space="preserve"> </w:t>
      </w:r>
      <w:proofErr w:type="spellStart"/>
      <w:r w:rsidRPr="004E7C2C">
        <w:rPr>
          <w:sz w:val="24"/>
        </w:rPr>
        <w:t>years</w:t>
      </w:r>
      <w:proofErr w:type="spellEnd"/>
      <w:r w:rsidRPr="004E7C2C">
        <w:rPr>
          <w:sz w:val="24"/>
        </w:rPr>
        <w:t xml:space="preserve">», </w:t>
      </w:r>
      <w:proofErr w:type="spellStart"/>
      <w:r w:rsidRPr="004E7C2C">
        <w:rPr>
          <w:i/>
          <w:sz w:val="24"/>
        </w:rPr>
        <w:t>Environmental</w:t>
      </w:r>
      <w:proofErr w:type="spellEnd"/>
      <w:r w:rsidRPr="004E7C2C">
        <w:rPr>
          <w:i/>
          <w:sz w:val="24"/>
        </w:rPr>
        <w:t xml:space="preserve"> Sciences Europe</w:t>
      </w:r>
      <w:r w:rsidRPr="004E7C2C">
        <w:rPr>
          <w:sz w:val="24"/>
        </w:rPr>
        <w:t xml:space="preserve">, 28 septembre 2012, Vol. 24(1), </w:t>
      </w:r>
      <w:hyperlink r:id="rId19" w:history="1">
        <w:r w:rsidRPr="004E7C2C">
          <w:rPr>
            <w:rStyle w:val="Hyperlink"/>
            <w:sz w:val="24"/>
            <w:shd w:val="clear" w:color="auto" w:fill="FFFFFF"/>
          </w:rPr>
          <w:t>https://doi.org/10.1186/2190-4715-24-24</w:t>
        </w:r>
      </w:hyperlink>
      <w:r w:rsidRPr="004E7C2C">
        <w:rPr>
          <w:sz w:val="24"/>
        </w:rPr>
        <w:t>.</w:t>
      </w:r>
      <w:r w:rsidRPr="004E7C2C">
        <w:rPr>
          <w:sz w:val="24"/>
          <w:shd w:val="clear" w:color="auto" w:fill="FFFFFF"/>
        </w:rPr>
        <w:t xml:space="preserve"> </w:t>
      </w:r>
    </w:p>
  </w:footnote>
  <w:footnote w:id="10">
    <w:p w14:paraId="6A499AB3" w14:textId="47D4E7F9" w:rsidR="0023528B" w:rsidRPr="004E7C2C" w:rsidRDefault="0023528B" w:rsidP="004E7C2C">
      <w:pPr>
        <w:pStyle w:val="FootnoteText"/>
        <w:ind w:left="567" w:hanging="567"/>
        <w:rPr>
          <w:sz w:val="24"/>
          <w:vertAlign w:val="superscript"/>
        </w:rPr>
      </w:pPr>
      <w:r w:rsidRPr="004E7C2C">
        <w:rPr>
          <w:rStyle w:val="FootnoteReference"/>
          <w:sz w:val="24"/>
        </w:rPr>
        <w:footnoteRef/>
      </w:r>
      <w:r w:rsidR="004E7C2C" w:rsidRPr="004E7C2C">
        <w:rPr>
          <w:sz w:val="24"/>
        </w:rPr>
        <w:t xml:space="preserve"> </w:t>
      </w:r>
      <w:r w:rsidR="004E7C2C" w:rsidRPr="004E7C2C">
        <w:rPr>
          <w:sz w:val="24"/>
        </w:rPr>
        <w:tab/>
      </w:r>
      <w:r w:rsidRPr="004E7C2C">
        <w:rPr>
          <w:sz w:val="24"/>
        </w:rPr>
        <w:t xml:space="preserve">Voir, par exemple: </w:t>
      </w:r>
    </w:p>
    <w:p w14:paraId="24C0BFC3" w14:textId="4DD41A17" w:rsidR="0023528B" w:rsidRPr="004E7C2C" w:rsidRDefault="004E7C2C" w:rsidP="004E7C2C">
      <w:pPr>
        <w:pStyle w:val="FootnoteText"/>
        <w:ind w:left="567" w:hanging="567"/>
        <w:rPr>
          <w:rStyle w:val="Hyperlink"/>
          <w:sz w:val="24"/>
          <w:vertAlign w:val="superscript"/>
        </w:rPr>
      </w:pPr>
      <w:r w:rsidRPr="004E7C2C">
        <w:rPr>
          <w:sz w:val="24"/>
        </w:rPr>
        <w:t xml:space="preserve"> </w:t>
      </w:r>
      <w:r w:rsidRPr="004E7C2C">
        <w:rPr>
          <w:sz w:val="24"/>
        </w:rPr>
        <w:tab/>
      </w:r>
      <w:hyperlink r:id="rId20" w:history="1">
        <w:r w:rsidR="0023528B" w:rsidRPr="004E7C2C">
          <w:rPr>
            <w:rStyle w:val="Hyperlink"/>
            <w:sz w:val="24"/>
          </w:rPr>
          <w:t>https://doi.org/10.1002/ps.8105</w:t>
        </w:r>
      </w:hyperlink>
      <w:r w:rsidR="0023528B" w:rsidRPr="004E7C2C">
        <w:rPr>
          <w:sz w:val="24"/>
        </w:rPr>
        <w:t>, et</w:t>
      </w:r>
    </w:p>
    <w:p w14:paraId="1189638D" w14:textId="5CF9CE01" w:rsidR="0023528B" w:rsidRPr="004E7C2C" w:rsidRDefault="004E7C2C" w:rsidP="004E7C2C">
      <w:pPr>
        <w:pStyle w:val="FootnoteText"/>
        <w:ind w:left="567" w:hanging="567"/>
        <w:rPr>
          <w:sz w:val="24"/>
        </w:rPr>
      </w:pPr>
      <w:r w:rsidRPr="004E7C2C">
        <w:rPr>
          <w:sz w:val="24"/>
        </w:rPr>
        <w:t xml:space="preserve"> </w:t>
      </w:r>
      <w:r w:rsidRPr="004E7C2C">
        <w:rPr>
          <w:sz w:val="24"/>
        </w:rPr>
        <w:tab/>
      </w:r>
      <w:hyperlink r:id="rId21" w:history="1">
        <w:r w:rsidR="0023528B" w:rsidRPr="004E7C2C">
          <w:rPr>
            <w:rStyle w:val="Hyperlink"/>
            <w:sz w:val="24"/>
          </w:rPr>
          <w:t>https://doi.org/10.1016/j.geoforum.2009.03.009</w:t>
        </w:r>
      </w:hyperlink>
      <w:r w:rsidR="0023528B" w:rsidRPr="004E7C2C">
        <w:rPr>
          <w:sz w:val="24"/>
        </w:rPr>
        <w:t>.</w:t>
      </w:r>
    </w:p>
  </w:footnote>
  <w:footnote w:id="11">
    <w:p w14:paraId="5EBCC52E" w14:textId="16C11D5D"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sz w:val="24"/>
        </w:rPr>
        <w:t xml:space="preserve"> </w:t>
      </w:r>
      <w:r w:rsidR="004E7C2C" w:rsidRPr="004E7C2C">
        <w:rPr>
          <w:sz w:val="24"/>
        </w:rPr>
        <w:tab/>
      </w:r>
      <w:r w:rsidRPr="004E7C2C">
        <w:rPr>
          <w:sz w:val="24"/>
        </w:rPr>
        <w:t>Règlement (CE) nº 1107/2009 du Parlement européen et du Conseil du 21 octobre 2009 concernant la mise sur le marché des produits phytopharmaceutiques et abrogeant les directives 79/117/CEE et 91/414/CEE du Conseil (JO L 309 du 24.11.2009, p. 1, ELI: </w:t>
      </w:r>
      <w:hyperlink r:id="rId22" w:history="1">
        <w:r w:rsidRPr="004E7C2C">
          <w:rPr>
            <w:rStyle w:val="Hyperlink"/>
            <w:sz w:val="24"/>
          </w:rPr>
          <w:t>http://data.europa.eu/eli/reg/2009/1107/oj</w:t>
        </w:r>
      </w:hyperlink>
      <w:r w:rsidRPr="004E7C2C">
        <w:rPr>
          <w:sz w:val="24"/>
        </w:rPr>
        <w:t>).</w:t>
      </w:r>
    </w:p>
  </w:footnote>
  <w:footnote w:id="12">
    <w:p w14:paraId="0AE54EF4" w14:textId="331A059C"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color w:val="000000" w:themeColor="text1"/>
          <w:sz w:val="24"/>
        </w:rPr>
        <w:t xml:space="preserve"> </w:t>
      </w:r>
      <w:r w:rsidR="004E7C2C" w:rsidRPr="004E7C2C">
        <w:rPr>
          <w:color w:val="000000" w:themeColor="text1"/>
          <w:sz w:val="24"/>
        </w:rPr>
        <w:tab/>
      </w:r>
      <w:r w:rsidRPr="004E7C2C">
        <w:rPr>
          <w:color w:val="000000" w:themeColor="text1"/>
          <w:sz w:val="24"/>
        </w:rPr>
        <w:t>En décembre 2022, un cadre mondial sur la biodiversité a été adopté lors de la COP15 de la convention des Nations unies sur la diversité biologique, qui prévoit un objectif mondial de réduction du risque lié aux pesticides d’au moins 50</w:t>
      </w:r>
      <w:r w:rsidRPr="004E7C2C">
        <w:rPr>
          <w:sz w:val="24"/>
        </w:rPr>
        <w:t> </w:t>
      </w:r>
      <w:r w:rsidRPr="004E7C2C">
        <w:rPr>
          <w:color w:val="000000" w:themeColor="text1"/>
          <w:sz w:val="24"/>
        </w:rPr>
        <w:t xml:space="preserve">% d’ici 2030 (voir: </w:t>
      </w:r>
      <w:hyperlink r:id="rId23" w:history="1">
        <w:r w:rsidRPr="004E7C2C">
          <w:rPr>
            <w:rStyle w:val="Hyperlink"/>
            <w:sz w:val="24"/>
          </w:rPr>
          <w:t>https://ec.europa.eu/commission/presscorner/detail/fr/ip_22_7834</w:t>
        </w:r>
      </w:hyperlink>
      <w:r w:rsidRPr="004E7C2C">
        <w:rPr>
          <w:sz w:val="24"/>
        </w:rPr>
        <w:t xml:space="preserve">). </w:t>
      </w:r>
    </w:p>
  </w:footnote>
  <w:footnote w:id="13">
    <w:p w14:paraId="1A12A6EF" w14:textId="682CB073"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sz w:val="24"/>
        </w:rPr>
        <w:t xml:space="preserve"> </w:t>
      </w:r>
      <w:r w:rsidR="004E7C2C" w:rsidRPr="004E7C2C">
        <w:rPr>
          <w:sz w:val="24"/>
        </w:rPr>
        <w:tab/>
      </w:r>
      <w:hyperlink r:id="rId24" w:history="1">
        <w:r w:rsidRPr="004E7C2C">
          <w:rPr>
            <w:rStyle w:val="Hyperlink"/>
            <w:sz w:val="24"/>
          </w:rPr>
          <w:t>https://commission.europa.eu/strategy-and-policy/priorities-2019-2024/european-green-deal/agriculture-and-green-deal/strategic-dialogue-future-eu-agriculture_fr</w:t>
        </w:r>
      </w:hyperlink>
      <w:r w:rsidRPr="004E7C2C">
        <w:rPr>
          <w:sz w:val="24"/>
        </w:rPr>
        <w:t xml:space="preserve">. </w:t>
      </w:r>
    </w:p>
  </w:footnote>
  <w:footnote w:id="14">
    <w:p w14:paraId="589ACC74" w14:textId="07FF3000" w:rsidR="0023528B" w:rsidRPr="004E7C2C" w:rsidRDefault="0023528B" w:rsidP="004E7C2C">
      <w:pPr>
        <w:pStyle w:val="FootnoteText"/>
        <w:ind w:left="567" w:hanging="567"/>
        <w:rPr>
          <w:sz w:val="24"/>
        </w:rPr>
      </w:pPr>
      <w:r w:rsidRPr="004E7C2C">
        <w:rPr>
          <w:rStyle w:val="FootnoteReference"/>
          <w:sz w:val="24"/>
        </w:rPr>
        <w:footnoteRef/>
      </w:r>
      <w:r w:rsidR="004E7C2C" w:rsidRPr="004E7C2C">
        <w:rPr>
          <w:sz w:val="24"/>
        </w:rPr>
        <w:t xml:space="preserve"> </w:t>
      </w:r>
      <w:r w:rsidR="004E7C2C" w:rsidRPr="004E7C2C">
        <w:rPr>
          <w:sz w:val="24"/>
        </w:rPr>
        <w:tab/>
      </w:r>
      <w:r w:rsidRPr="004E7C2C">
        <w:rPr>
          <w:sz w:val="24"/>
        </w:rPr>
        <w:t xml:space="preserve">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w:t>
      </w:r>
      <w:r w:rsidRPr="004E7C2C">
        <w:rPr>
          <w:color w:val="000000" w:themeColor="text1"/>
          <w:sz w:val="24"/>
        </w:rPr>
        <w:t>ELI: </w:t>
      </w:r>
      <w:hyperlink r:id="rId25" w:tgtFrame="Gives access to this document through its ELI URI." w:history="1">
        <w:r w:rsidRPr="004E7C2C">
          <w:rPr>
            <w:rStyle w:val="Hyperlink"/>
            <w:color w:val="0070C0"/>
            <w:sz w:val="24"/>
          </w:rPr>
          <w:t>http://data.europa.eu/eli/reg/2002/178/oj</w:t>
        </w:r>
      </w:hyperlink>
      <w:r w:rsidRPr="004E7C2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D4ECC" w14:textId="77777777" w:rsidR="00064002" w:rsidRPr="004E7C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8036" w14:textId="77777777" w:rsidR="00064002" w:rsidRPr="004E7C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E2B6" w14:textId="77777777" w:rsidR="00064002" w:rsidRPr="004E7C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8228391">
    <w:abstractNumId w:val="9"/>
  </w:num>
  <w:num w:numId="2" w16cid:durableId="1938826011">
    <w:abstractNumId w:val="9"/>
  </w:num>
  <w:num w:numId="3" w16cid:durableId="772629908">
    <w:abstractNumId w:val="7"/>
  </w:num>
  <w:num w:numId="4" w16cid:durableId="1954822867">
    <w:abstractNumId w:val="7"/>
  </w:num>
  <w:num w:numId="5" w16cid:durableId="1226722678">
    <w:abstractNumId w:val="6"/>
  </w:num>
  <w:num w:numId="6" w16cid:durableId="1770807889">
    <w:abstractNumId w:val="6"/>
  </w:num>
  <w:num w:numId="7" w16cid:durableId="101267009">
    <w:abstractNumId w:val="5"/>
  </w:num>
  <w:num w:numId="8" w16cid:durableId="149834160">
    <w:abstractNumId w:val="5"/>
  </w:num>
  <w:num w:numId="9" w16cid:durableId="1748571149">
    <w:abstractNumId w:val="4"/>
  </w:num>
  <w:num w:numId="10" w16cid:durableId="1086919985">
    <w:abstractNumId w:val="4"/>
  </w:num>
  <w:num w:numId="11" w16cid:durableId="246429616">
    <w:abstractNumId w:val="8"/>
  </w:num>
  <w:num w:numId="12" w16cid:durableId="363143636">
    <w:abstractNumId w:val="8"/>
  </w:num>
  <w:num w:numId="13" w16cid:durableId="2041512420">
    <w:abstractNumId w:val="3"/>
  </w:num>
  <w:num w:numId="14" w16cid:durableId="548297615">
    <w:abstractNumId w:val="3"/>
  </w:num>
  <w:num w:numId="15" w16cid:durableId="1479686271">
    <w:abstractNumId w:val="2"/>
  </w:num>
  <w:num w:numId="16" w16cid:durableId="698167951">
    <w:abstractNumId w:val="2"/>
  </w:num>
  <w:num w:numId="17" w16cid:durableId="682172609">
    <w:abstractNumId w:val="1"/>
  </w:num>
  <w:num w:numId="18" w16cid:durableId="837578807">
    <w:abstractNumId w:val="1"/>
  </w:num>
  <w:num w:numId="19" w16cid:durableId="723218126">
    <w:abstractNumId w:val="0"/>
  </w:num>
  <w:num w:numId="20" w16cid:durableId="1800029107">
    <w:abstractNumId w:val="0"/>
  </w:num>
  <w:num w:numId="21" w16cid:durableId="626860769">
    <w:abstractNumId w:val="9"/>
  </w:num>
  <w:num w:numId="22" w16cid:durableId="1659459014">
    <w:abstractNumId w:val="7"/>
  </w:num>
  <w:num w:numId="23" w16cid:durableId="2096054360">
    <w:abstractNumId w:val="6"/>
  </w:num>
  <w:num w:numId="24" w16cid:durableId="1143736718">
    <w:abstractNumId w:val="5"/>
  </w:num>
  <w:num w:numId="25" w16cid:durableId="1942957414">
    <w:abstractNumId w:val="4"/>
  </w:num>
  <w:num w:numId="26" w16cid:durableId="1557739210">
    <w:abstractNumId w:val="8"/>
  </w:num>
  <w:num w:numId="27" w16cid:durableId="924454064">
    <w:abstractNumId w:val="3"/>
  </w:num>
  <w:num w:numId="28" w16cid:durableId="1461652052">
    <w:abstractNumId w:val="2"/>
  </w:num>
  <w:num w:numId="29" w16cid:durableId="1848251029">
    <w:abstractNumId w:val="1"/>
  </w:num>
  <w:num w:numId="30" w16cid:durableId="2022393036">
    <w:abstractNumId w:val="0"/>
  </w:num>
  <w:num w:numId="31" w16cid:durableId="175461952">
    <w:abstractNumId w:val="9"/>
  </w:num>
  <w:num w:numId="32" w16cid:durableId="833692357">
    <w:abstractNumId w:val="7"/>
  </w:num>
  <w:num w:numId="33" w16cid:durableId="1346400792">
    <w:abstractNumId w:val="6"/>
  </w:num>
  <w:num w:numId="34" w16cid:durableId="492572471">
    <w:abstractNumId w:val="5"/>
  </w:num>
  <w:num w:numId="35" w16cid:durableId="624046331">
    <w:abstractNumId w:val="4"/>
  </w:num>
  <w:num w:numId="36" w16cid:durableId="1508329554">
    <w:abstractNumId w:val="8"/>
  </w:num>
  <w:num w:numId="37" w16cid:durableId="532349154">
    <w:abstractNumId w:val="3"/>
  </w:num>
  <w:num w:numId="38" w16cid:durableId="1141272250">
    <w:abstractNumId w:val="2"/>
  </w:num>
  <w:num w:numId="39" w16cid:durableId="481703342">
    <w:abstractNumId w:val="1"/>
  </w:num>
  <w:num w:numId="40" w16cid:durableId="1765104773">
    <w:abstractNumId w:val="0"/>
  </w:num>
  <w:num w:numId="41" w16cid:durableId="748623518">
    <w:abstractNumId w:val="10"/>
  </w:num>
  <w:num w:numId="42" w16cid:durableId="990906337">
    <w:abstractNumId w:val="10"/>
  </w:num>
  <w:num w:numId="43" w16cid:durableId="1463226729">
    <w:abstractNumId w:val="10"/>
  </w:num>
  <w:num w:numId="44" w16cid:durableId="17668081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FR"/>
    <w:docVar w:name="dvnumam" w:val="0"/>
    <w:docVar w:name="dvpe" w:val="782.164"/>
    <w:docVar w:name="dvtitre" w:val="Résolution du Parlement européen du ... 2026 sur le projet de décision d’exécution de la Commission renouvelant l’autorisation de mise sur le marché de produits contenant du coton génétiquement modifié T304-40, consistant en ce coton ou produits à partir de celui-ci, en application du règlement (CE) nº 1829/2003 du Parlement européen et du Conseil(D111477/02 – 2026/2518(RSP))"/>
  </w:docVars>
  <w:rsids>
    <w:rsidRoot w:val="00B609A8"/>
    <w:rsid w:val="00002272"/>
    <w:rsid w:val="00064002"/>
    <w:rsid w:val="000677B9"/>
    <w:rsid w:val="000831BA"/>
    <w:rsid w:val="000A42CC"/>
    <w:rsid w:val="000E7DD9"/>
    <w:rsid w:val="0010095E"/>
    <w:rsid w:val="00125B37"/>
    <w:rsid w:val="00187494"/>
    <w:rsid w:val="001F32AE"/>
    <w:rsid w:val="00225794"/>
    <w:rsid w:val="0023528B"/>
    <w:rsid w:val="002767FF"/>
    <w:rsid w:val="002B18FE"/>
    <w:rsid w:val="002B5493"/>
    <w:rsid w:val="00343214"/>
    <w:rsid w:val="00361C00"/>
    <w:rsid w:val="00395FA1"/>
    <w:rsid w:val="003E15D4"/>
    <w:rsid w:val="00411CCE"/>
    <w:rsid w:val="0041666E"/>
    <w:rsid w:val="00421060"/>
    <w:rsid w:val="004421E4"/>
    <w:rsid w:val="00471C19"/>
    <w:rsid w:val="004867E3"/>
    <w:rsid w:val="00494A28"/>
    <w:rsid w:val="004C0004"/>
    <w:rsid w:val="004C5D52"/>
    <w:rsid w:val="004E7C2C"/>
    <w:rsid w:val="0050519A"/>
    <w:rsid w:val="005072A1"/>
    <w:rsid w:val="00514517"/>
    <w:rsid w:val="00545827"/>
    <w:rsid w:val="00560270"/>
    <w:rsid w:val="005C2568"/>
    <w:rsid w:val="005F1B17"/>
    <w:rsid w:val="006037C0"/>
    <w:rsid w:val="006631B6"/>
    <w:rsid w:val="0066756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6D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9A8"/>
    <w:rsid w:val="00BD48FE"/>
    <w:rsid w:val="00BD7BD8"/>
    <w:rsid w:val="00BE6ADC"/>
    <w:rsid w:val="00C05BFE"/>
    <w:rsid w:val="00C23CD4"/>
    <w:rsid w:val="00C2417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E5F"/>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47407"/>
  <w15:chartTrackingRefBased/>
  <w15:docId w15:val="{4548C54C-E341-4C6E-B248-9FA4B52F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528B"/>
    <w:pPr>
      <w:spacing w:before="480" w:after="240"/>
    </w:pPr>
  </w:style>
  <w:style w:type="paragraph" w:customStyle="1" w:styleId="NormalHanging12a">
    <w:name w:val="NormalHanging12a"/>
    <w:basedOn w:val="Normal"/>
    <w:rsid w:val="0023528B"/>
    <w:pPr>
      <w:spacing w:after="240"/>
      <w:ind w:left="567" w:hanging="567"/>
    </w:pPr>
  </w:style>
  <w:style w:type="character" w:styleId="Hyperlink">
    <w:name w:val="Hyperlink"/>
    <w:basedOn w:val="DefaultParagraphFont"/>
    <w:uiPriority w:val="99"/>
    <w:rsid w:val="002352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fr"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fr/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1687</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3</cp:revision>
  <cp:lastPrinted>2004-11-19T15:42:00Z</cp:lastPrinted>
  <dcterms:created xsi:type="dcterms:W3CDTF">2026-02-10T11:16:00Z</dcterms:created>
  <dcterms:modified xsi:type="dcterms:W3CDTF">2026-02-11T11:53:00Z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B10-0108/2026</vt:lpwstr>
  </property>
  <property fmtid="{D5CDD505-2E9C-101B-9397-08002B2CF9AE}" pid="4" name="&lt;Type&gt;">
    <vt:lpwstr>RR</vt:lpwstr>
  </property>
</Properties>
</file>