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02B6" w14:paraId="7737237B" w14:textId="77777777" w:rsidTr="0010095E">
        <w:trPr>
          <w:trHeight w:hRule="exact" w:val="1418"/>
        </w:trPr>
        <w:tc>
          <w:tcPr>
            <w:tcW w:w="6804" w:type="dxa"/>
            <w:shd w:val="clear" w:color="auto" w:fill="auto"/>
            <w:vAlign w:val="center"/>
          </w:tcPr>
          <w:p w14:paraId="07F1637A" w14:textId="77777777" w:rsidR="00751A4A" w:rsidRPr="00F802B6" w:rsidRDefault="00AF06CB" w:rsidP="0010095E">
            <w:pPr>
              <w:pStyle w:val="EPName"/>
            </w:pPr>
            <w:r w:rsidRPr="00F802B6">
              <w:t>Parlamento europeo</w:t>
            </w:r>
          </w:p>
          <w:p w14:paraId="5281F27F" w14:textId="77777777" w:rsidR="00751A4A" w:rsidRPr="00F802B6" w:rsidRDefault="005F1B17" w:rsidP="005F1B17">
            <w:pPr>
              <w:pStyle w:val="EPTerm"/>
              <w:rPr>
                <w:rStyle w:val="HideTWBExt"/>
                <w:noProof w:val="0"/>
                <w:vanish w:val="0"/>
                <w:color w:val="auto"/>
              </w:rPr>
            </w:pPr>
            <w:r w:rsidRPr="00F802B6">
              <w:t>2024</w:t>
            </w:r>
            <w:r w:rsidR="00817416" w:rsidRPr="00F802B6">
              <w:t>-202</w:t>
            </w:r>
            <w:r w:rsidRPr="00F802B6">
              <w:t>9</w:t>
            </w:r>
          </w:p>
        </w:tc>
        <w:tc>
          <w:tcPr>
            <w:tcW w:w="2268" w:type="dxa"/>
            <w:shd w:val="clear" w:color="auto" w:fill="auto"/>
          </w:tcPr>
          <w:p w14:paraId="5E40CE4C" w14:textId="77777777" w:rsidR="00751A4A" w:rsidRPr="00F802B6" w:rsidRDefault="00187494" w:rsidP="0010095E">
            <w:pPr>
              <w:pStyle w:val="EPLogo"/>
            </w:pPr>
            <w:r w:rsidRPr="00F802B6">
              <w:rPr>
                <w:noProof/>
                <w:lang w:eastAsia="ja-JP"/>
              </w:rPr>
              <w:drawing>
                <wp:inline distT="0" distB="0" distL="0" distR="0" wp14:anchorId="74B24BFF" wp14:editId="771A63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5918C7" w14:textId="77777777" w:rsidR="00D058B8" w:rsidRPr="00F802B6" w:rsidRDefault="00D058B8" w:rsidP="004C5D52">
      <w:pPr>
        <w:pStyle w:val="LineTop"/>
      </w:pPr>
    </w:p>
    <w:p w14:paraId="0A183DC6" w14:textId="77777777" w:rsidR="00680577" w:rsidRPr="00F802B6" w:rsidRDefault="00AF06CB" w:rsidP="00680577">
      <w:pPr>
        <w:pStyle w:val="EPBodyTA1"/>
      </w:pPr>
      <w:r w:rsidRPr="00F802B6">
        <w:t>TESTI APPROVATI</w:t>
      </w:r>
    </w:p>
    <w:p w14:paraId="5F06803D" w14:textId="77777777" w:rsidR="00D058B8" w:rsidRPr="00F802B6" w:rsidRDefault="00D058B8" w:rsidP="00D058B8">
      <w:pPr>
        <w:pStyle w:val="LineBottom"/>
      </w:pPr>
    </w:p>
    <w:p w14:paraId="17727D8D" w14:textId="5C8FAC22" w:rsidR="00AF06CB" w:rsidRPr="00F802B6" w:rsidRDefault="00AF06CB" w:rsidP="00AF06CB">
      <w:pPr>
        <w:pStyle w:val="ATHeading1"/>
      </w:pPr>
      <w:bookmarkStart w:id="0" w:name="TANumber"/>
      <w:r w:rsidRPr="00F802B6">
        <w:t>P10_</w:t>
      </w:r>
      <w:proofErr w:type="gramStart"/>
      <w:r w:rsidRPr="00F802B6">
        <w:t>TA(</w:t>
      </w:r>
      <w:proofErr w:type="gramEnd"/>
      <w:r w:rsidRPr="00F802B6">
        <w:t>2026)00</w:t>
      </w:r>
      <w:r w:rsidR="00681706">
        <w:t>44</w:t>
      </w:r>
      <w:bookmarkEnd w:id="0"/>
    </w:p>
    <w:p w14:paraId="1E475873" w14:textId="60B46007" w:rsidR="00AF06CB" w:rsidRPr="00F802B6" w:rsidRDefault="00AF30D3" w:rsidP="00AF06CB">
      <w:pPr>
        <w:pStyle w:val="ATHeading2"/>
      </w:pPr>
      <w:bookmarkStart w:id="1" w:name="title"/>
      <w:r>
        <w:t>C</w:t>
      </w:r>
      <w:r w:rsidR="00AF06CB" w:rsidRPr="00F802B6">
        <w:t>otone geneticamente modificato T304-40</w:t>
      </w:r>
      <w:bookmarkEnd w:id="1"/>
    </w:p>
    <w:p w14:paraId="3218FF88" w14:textId="77777777" w:rsidR="00AF06CB" w:rsidRPr="00F802B6" w:rsidRDefault="00AF06CB" w:rsidP="00AF06CB">
      <w:pPr>
        <w:rPr>
          <w:i/>
          <w:vanish/>
        </w:rPr>
      </w:pPr>
      <w:r w:rsidRPr="00F802B6">
        <w:rPr>
          <w:i/>
        </w:rPr>
        <w:fldChar w:fldCharType="begin"/>
      </w:r>
      <w:r w:rsidRPr="00F802B6">
        <w:rPr>
          <w:i/>
        </w:rPr>
        <w:instrText xml:space="preserve"> TC"(</w:instrText>
      </w:r>
      <w:bookmarkStart w:id="2" w:name="DocNumber"/>
      <w:r w:rsidRPr="00F802B6">
        <w:rPr>
          <w:i/>
        </w:rPr>
        <w:instrText>B10-0108/2026</w:instrText>
      </w:r>
      <w:bookmarkEnd w:id="2"/>
      <w:r w:rsidRPr="00F802B6">
        <w:rPr>
          <w:i/>
        </w:rPr>
        <w:instrText xml:space="preserve">)"\l3 \n&gt; \* MERGEFORMAT </w:instrText>
      </w:r>
      <w:r w:rsidRPr="00F802B6">
        <w:rPr>
          <w:i/>
        </w:rPr>
        <w:fldChar w:fldCharType="end"/>
      </w:r>
    </w:p>
    <w:p w14:paraId="040FD063" w14:textId="77777777" w:rsidR="00AF06CB" w:rsidRPr="00F802B6" w:rsidRDefault="00AF06CB" w:rsidP="00AF06CB">
      <w:pPr>
        <w:rPr>
          <w:vanish/>
        </w:rPr>
      </w:pPr>
      <w:bookmarkStart w:id="3" w:name="PE"/>
      <w:r w:rsidRPr="00F802B6">
        <w:rPr>
          <w:vanish/>
        </w:rPr>
        <w:t>PE782.164</w:t>
      </w:r>
      <w:bookmarkEnd w:id="3"/>
    </w:p>
    <w:p w14:paraId="6DBA207B" w14:textId="77777777" w:rsidR="00AF06CB" w:rsidRPr="00F802B6" w:rsidRDefault="00AF06CB" w:rsidP="00AF06CB">
      <w:pPr>
        <w:pStyle w:val="ATHeading3"/>
      </w:pPr>
      <w:bookmarkStart w:id="4" w:name="Sujet"/>
      <w:r w:rsidRPr="00F802B6">
        <w:t>Risoluzione del Parlamento europeo dell'11 febbraio 2026 sul progetto di decisione di esecuzione della Commissione che rinnova l'autorizzazione all'immissione in commercio di prodotti contenenti, costituiti o derivati da cotone geneticamente modificato T304-40 a norma del regolamento (CE) n. 1829/2003 del Parlamento europeo e del Consiglio</w:t>
      </w:r>
      <w:bookmarkEnd w:id="4"/>
      <w:r w:rsidRPr="00F802B6">
        <w:t xml:space="preserve"> </w:t>
      </w:r>
      <w:bookmarkStart w:id="5" w:name="References"/>
      <w:r w:rsidRPr="00F802B6">
        <w:t>(D111477/02 – 2026/2518(RSP))</w:t>
      </w:r>
      <w:bookmarkEnd w:id="5"/>
    </w:p>
    <w:p w14:paraId="14FC8A8A" w14:textId="77777777" w:rsidR="001C2EFD" w:rsidRPr="00F802B6" w:rsidRDefault="001C2EFD" w:rsidP="001C2EFD">
      <w:pPr>
        <w:pStyle w:val="EPComma"/>
      </w:pPr>
      <w:bookmarkStart w:id="6" w:name="TextBodyBegin"/>
      <w:bookmarkEnd w:id="6"/>
      <w:r w:rsidRPr="00F802B6">
        <w:rPr>
          <w:i/>
          <w:iCs/>
        </w:rPr>
        <w:t>Il Parlamento europeo,</w:t>
      </w:r>
    </w:p>
    <w:p w14:paraId="375B8F13" w14:textId="77777777" w:rsidR="001C2EFD" w:rsidRPr="00F802B6" w:rsidRDefault="001C2EFD" w:rsidP="001C2EFD">
      <w:pPr>
        <w:pStyle w:val="NormalHanging12a"/>
      </w:pPr>
      <w:r w:rsidRPr="00F802B6">
        <w:t>–</w:t>
      </w:r>
      <w:r w:rsidRPr="00F802B6">
        <w:tab/>
        <w:t>visto il progetto di decisione di esecuzione della Commissione che rinnova l'autorizzazione all'immissione in commercio di prodotti contenenti, costituiti o derivati da cotone geneticamente modificato T304-40 a norma del regolamento (CE) n. 1829/2003 del Parlamento europeo e del Consiglio (D111477/02),</w:t>
      </w:r>
    </w:p>
    <w:p w14:paraId="4E8C958E" w14:textId="77777777" w:rsidR="001C2EFD" w:rsidRPr="00F802B6" w:rsidRDefault="001C2EFD" w:rsidP="001C2EFD">
      <w:pPr>
        <w:pStyle w:val="NormalHanging12a"/>
      </w:pPr>
      <w:r w:rsidRPr="00F802B6">
        <w:t>–</w:t>
      </w:r>
      <w:r w:rsidRPr="00F802B6">
        <w:tab/>
        <w:t>visto il regolamento (CE) n. 1829/2003 del Parlamento europeo e del Consiglio, del 22 settembre 2003, relativo agli alimenti e ai mangimi geneticamente modificati</w:t>
      </w:r>
      <w:r w:rsidRPr="00F802B6">
        <w:rPr>
          <w:vertAlign w:val="superscript"/>
        </w:rPr>
        <w:footnoteReference w:id="1"/>
      </w:r>
      <w:r w:rsidRPr="00F802B6">
        <w:t>, in particolare l'articolo 11, paragrafo 3, e l'articolo 23, paragrafo 3,</w:t>
      </w:r>
    </w:p>
    <w:p w14:paraId="025257A2" w14:textId="12BB0E5C" w:rsidR="001C2EFD" w:rsidRPr="00F802B6" w:rsidRDefault="001C2EFD" w:rsidP="001C2EFD">
      <w:pPr>
        <w:pStyle w:val="NormalHanging12a"/>
      </w:pPr>
      <w:bookmarkStart w:id="7" w:name="_Hlk210666078"/>
      <w:r w:rsidRPr="00F802B6">
        <w:t>–</w:t>
      </w:r>
      <w:r w:rsidRPr="00F802B6">
        <w:tab/>
        <w:t>vist</w:t>
      </w:r>
      <w:r w:rsidR="00AC3DB3">
        <w:t>e</w:t>
      </w:r>
      <w:r w:rsidRPr="00F802B6">
        <w:t xml:space="preserve"> la votazione tenutasi il 12 dicembre 2025 in seno al</w:t>
      </w:r>
      <w:bookmarkStart w:id="8" w:name="_Hlk210664905"/>
      <w:r w:rsidRPr="00F802B6">
        <w:t xml:space="preserve"> comitato permanente per le piante, gli animali, gli alimenti e i mangimi</w:t>
      </w:r>
      <w:bookmarkEnd w:id="8"/>
      <w:r w:rsidRPr="00F802B6">
        <w:t xml:space="preserve"> di cui all'articolo 35 del regolamento (CE) n. 1829/2003, durante la quale non sono stati espressi pareri,</w:t>
      </w:r>
      <w:bookmarkEnd w:id="7"/>
      <w:r w:rsidR="00AC3DB3">
        <w:t xml:space="preserve"> e la votazione tenutasi il 27 gennaio 2026, durante la quale, ancora una volta, non sono stati espressi pareri,</w:t>
      </w:r>
    </w:p>
    <w:p w14:paraId="2BF89CAC" w14:textId="77777777" w:rsidR="001C2EFD" w:rsidRPr="00F802B6" w:rsidRDefault="001C2EFD" w:rsidP="001C2EFD">
      <w:pPr>
        <w:pStyle w:val="NormalHanging12a"/>
      </w:pPr>
      <w:r w:rsidRPr="00F802B6">
        <w:t>–</w:t>
      </w:r>
      <w:r w:rsidRPr="00F802B6">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F802B6">
        <w:rPr>
          <w:vertAlign w:val="superscript"/>
        </w:rPr>
        <w:footnoteReference w:id="2"/>
      </w:r>
      <w:r w:rsidRPr="00F802B6">
        <w:t>,</w:t>
      </w:r>
    </w:p>
    <w:p w14:paraId="7B9F3C83" w14:textId="77777777" w:rsidR="001C2EFD" w:rsidRPr="00F802B6" w:rsidRDefault="001C2EFD" w:rsidP="001C2EFD">
      <w:pPr>
        <w:pStyle w:val="NormalHanging12a"/>
      </w:pPr>
      <w:r w:rsidRPr="00F802B6">
        <w:t>–</w:t>
      </w:r>
      <w:r w:rsidRPr="00F802B6">
        <w:tab/>
        <w:t xml:space="preserve">visto il parere adottato dall'Autorità europea per la sicurezza alimentare (EFSA) il 30 </w:t>
      </w:r>
      <w:r w:rsidRPr="00F802B6">
        <w:lastRenderedPageBreak/>
        <w:t>giugno 2025 e pubblicato il 22 luglio 2025</w:t>
      </w:r>
      <w:r w:rsidRPr="00F802B6">
        <w:rPr>
          <w:vertAlign w:val="superscript"/>
        </w:rPr>
        <w:footnoteReference w:id="3"/>
      </w:r>
      <w:r w:rsidRPr="00F802B6">
        <w:t>,</w:t>
      </w:r>
    </w:p>
    <w:p w14:paraId="26E1701E" w14:textId="77777777" w:rsidR="001C2EFD" w:rsidRPr="00F802B6" w:rsidRDefault="001C2EFD" w:rsidP="001C2EFD">
      <w:pPr>
        <w:pStyle w:val="NormalHanging12a"/>
      </w:pPr>
      <w:r w:rsidRPr="00F802B6">
        <w:t>–</w:t>
      </w:r>
      <w:r w:rsidRPr="00F802B6">
        <w:tab/>
        <w:t>viste le sue precedenti risoluzioni che sollevano obiezioni all'autorizzazione di organismi geneticamente modificati ("OGM")</w:t>
      </w:r>
      <w:bookmarkStart w:id="9" w:name="_Hlk210666451"/>
      <w:r w:rsidRPr="00F802B6">
        <w:rPr>
          <w:vertAlign w:val="superscript"/>
        </w:rPr>
        <w:footnoteReference w:id="4"/>
      </w:r>
      <w:bookmarkEnd w:id="9"/>
      <w:r w:rsidRPr="00F802B6">
        <w:t>,</w:t>
      </w:r>
    </w:p>
    <w:p w14:paraId="3196F28F" w14:textId="77777777" w:rsidR="001C2EFD" w:rsidRPr="00F802B6" w:rsidRDefault="001C2EFD" w:rsidP="001C2EFD">
      <w:pPr>
        <w:pStyle w:val="NormalHanging12a"/>
      </w:pPr>
      <w:r w:rsidRPr="00F802B6">
        <w:lastRenderedPageBreak/>
        <w:t>–</w:t>
      </w:r>
      <w:r w:rsidRPr="00F802B6">
        <w:tab/>
        <w:t>visto l'articolo 115, paragrafi 2 e 3, del suo regolamento,</w:t>
      </w:r>
    </w:p>
    <w:p w14:paraId="06E4329E" w14:textId="77777777" w:rsidR="001C2EFD" w:rsidRPr="00F802B6" w:rsidRDefault="001C2EFD" w:rsidP="001C2EFD">
      <w:pPr>
        <w:pStyle w:val="NormalHanging12a"/>
      </w:pPr>
      <w:r w:rsidRPr="00F802B6">
        <w:t>–</w:t>
      </w:r>
      <w:r w:rsidRPr="00F802B6">
        <w:tab/>
        <w:t>vista la proposta di risoluzione della commissione per l'ambiente, il clima e la sicurezza alimentare,</w:t>
      </w:r>
    </w:p>
    <w:p w14:paraId="7B7682A1" w14:textId="77777777" w:rsidR="001C2EFD" w:rsidRPr="00F802B6" w:rsidRDefault="001C2EFD" w:rsidP="001C2EFD">
      <w:pPr>
        <w:pStyle w:val="NormalHanging12a"/>
      </w:pPr>
      <w:r w:rsidRPr="00F802B6">
        <w:t>A.</w:t>
      </w:r>
      <w:r w:rsidRPr="00F802B6">
        <w:tab/>
        <w:t>considerando che la decisione di esecuzione (UE) 2015/699 della Commissione</w:t>
      </w:r>
      <w:r w:rsidRPr="00F802B6">
        <w:rPr>
          <w:vertAlign w:val="superscript"/>
        </w:rPr>
        <w:footnoteReference w:id="5"/>
      </w:r>
      <w:r w:rsidRPr="00F802B6">
        <w:t>, quale modificata dalla decisione di esecuzione (UE) 2019/1195 della Commissione</w:t>
      </w:r>
      <w:r w:rsidRPr="00F802B6">
        <w:rPr>
          <w:vertAlign w:val="superscript"/>
        </w:rPr>
        <w:footnoteReference w:id="6"/>
      </w:r>
      <w:r w:rsidRPr="00F802B6">
        <w:t>, ha autorizzato l'immissione in commercio di alimenti e mangimi contenenti, costituiti od ottenuti a partire da cotone geneticamente modificato T304-40 ("cotone geneticamente modificato"); che l'ambito di applicazione di tale autorizzazione riguarda anche l'immissione in commercio di prodotti, diversi da alimenti e mangimi, contenenti o costituiti da cotone geneticamente modificato per lo stesso uso di tutti gli altri tipi di cotone, ad eccezione della coltivazione;</w:t>
      </w:r>
    </w:p>
    <w:p w14:paraId="0C7E5347" w14:textId="77777777" w:rsidR="001C2EFD" w:rsidRPr="00F802B6" w:rsidRDefault="001C2EFD" w:rsidP="001C2EFD">
      <w:pPr>
        <w:pStyle w:val="NormalHanging12a"/>
      </w:pPr>
      <w:r w:rsidRPr="00F802B6">
        <w:t>B.</w:t>
      </w:r>
      <w:r w:rsidRPr="00F802B6">
        <w:tab/>
        <w:t xml:space="preserve">considerando che il 22 marzo 2024 BASF SE, con sede in Germania, a nome di BASF </w:t>
      </w:r>
      <w:proofErr w:type="spellStart"/>
      <w:r w:rsidRPr="00F802B6">
        <w:t>Agricultural</w:t>
      </w:r>
      <w:proofErr w:type="spellEnd"/>
      <w:r w:rsidRPr="00F802B6">
        <w:t xml:space="preserve"> Solutions US LLC, con sede negli Stati Uniti, ha presentato alla </w:t>
      </w:r>
      <w:r w:rsidRPr="00F802B6">
        <w:lastRenderedPageBreak/>
        <w:t xml:space="preserve">Commissione, a norma degli articoli 11 e 23 del regolamento (CE) n. 1829/2003, una domanda di rinnovo dell'autorizzazione; </w:t>
      </w:r>
    </w:p>
    <w:p w14:paraId="654D76C6" w14:textId="77777777" w:rsidR="001C2EFD" w:rsidRPr="00F802B6" w:rsidRDefault="001C2EFD" w:rsidP="001C2EFD">
      <w:pPr>
        <w:pStyle w:val="NormalHanging12a"/>
      </w:pPr>
      <w:r w:rsidRPr="00F802B6">
        <w:t>C.</w:t>
      </w:r>
      <w:r w:rsidRPr="00F802B6">
        <w:tab/>
        <w:t>considerando che il 22 luglio 2025 l'EFSA ha espresso un parere scientifico favorevole sul cotone geneticamente modificato</w:t>
      </w:r>
      <w:r w:rsidRPr="00F802B6">
        <w:rPr>
          <w:vertAlign w:val="superscript"/>
        </w:rPr>
        <w:footnoteReference w:id="7"/>
      </w:r>
      <w:r w:rsidRPr="00F802B6">
        <w:t xml:space="preserve"> </w:t>
      </w:r>
      <w:bookmarkStart w:id="10" w:name="_Hlk219204313"/>
      <w:r w:rsidRPr="00F802B6">
        <w:t>conformemente agli articoli 11 e 23</w:t>
      </w:r>
      <w:bookmarkStart w:id="11" w:name="_Hlk219204327"/>
      <w:bookmarkEnd w:id="10"/>
      <w:r w:rsidRPr="00F802B6">
        <w:t xml:space="preserve"> del regolamento (CE) n. 1829/2003</w:t>
      </w:r>
      <w:bookmarkEnd w:id="11"/>
      <w:r w:rsidRPr="00F802B6">
        <w:t>, in cui ha concluso che la domanda di rinnovo non conteneva prove di nuovi pericoli, modifiche dell'esposizione o incertezze scientifiche che potessero modificare le conclusioni della valutazione iniziale del rischio sul cotone geneticamente modificato, adottata dall'EFSA nel 2013</w:t>
      </w:r>
      <w:r w:rsidRPr="00F802B6">
        <w:rPr>
          <w:vertAlign w:val="superscript"/>
        </w:rPr>
        <w:footnoteReference w:id="8"/>
      </w:r>
      <w:r w:rsidRPr="00F802B6">
        <w:t>; che tali pareri non hanno preso in considerazione diversi effetti ambientali, socioeconomici e cumulativi più ampi che l'EFSA ritiene esulino dalle sue competenze;</w:t>
      </w:r>
    </w:p>
    <w:p w14:paraId="67D27BAB" w14:textId="2D228D0E" w:rsidR="001C2EFD" w:rsidRPr="00F802B6" w:rsidRDefault="001C2EFD" w:rsidP="001C2EFD">
      <w:pPr>
        <w:pStyle w:val="NormalHanging12a"/>
      </w:pPr>
      <w:r w:rsidRPr="00F802B6">
        <w:t>D.</w:t>
      </w:r>
      <w:r w:rsidRPr="00F802B6">
        <w:tab/>
        <w:t xml:space="preserve">considerando che il cotone geneticamente modificato è stato sviluppato per essere resistente a determinati lepidotteri nocivi, grazie alla produzione di una tossina insetticida, e per conferire tolleranza al </w:t>
      </w:r>
      <w:proofErr w:type="spellStart"/>
      <w:r w:rsidRPr="00F802B6">
        <w:t>glufosinato</w:t>
      </w:r>
      <w:proofErr w:type="spellEnd"/>
      <w:r w:rsidRPr="00F802B6">
        <w:t>;</w:t>
      </w:r>
    </w:p>
    <w:p w14:paraId="10DF44FD" w14:textId="77777777" w:rsidR="001C2EFD" w:rsidRPr="00F802B6" w:rsidRDefault="001C2EFD" w:rsidP="001C2EFD">
      <w:pPr>
        <w:pStyle w:val="NormalHanging12a"/>
      </w:pPr>
      <w:r w:rsidRPr="00F802B6">
        <w:t>E.</w:t>
      </w:r>
      <w:r w:rsidRPr="00F802B6">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 cotone;</w:t>
      </w:r>
    </w:p>
    <w:p w14:paraId="606646AB" w14:textId="77777777" w:rsidR="001C2EFD" w:rsidRPr="00F802B6" w:rsidRDefault="001C2EFD" w:rsidP="001C2EFD">
      <w:pPr>
        <w:pStyle w:val="NormalHanging12a"/>
      </w:pPr>
      <w:r w:rsidRPr="00F802B6">
        <w:t>F.</w:t>
      </w:r>
      <w:r w:rsidRPr="00F802B6">
        <w:tab/>
        <w:t>considerando che la maggior parte delle colture geneticamente modificate, compreso il cotone geneticamente modificato,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che una serie di studi dimostra che le colture geneticamente modificate resistenti agli erbicidi determinano un maggiore ricorso agli erbicidi complementari, dovuto principalmente alla comparsa di piante infestanti resistenti agli erbicidi</w:t>
      </w:r>
      <w:r w:rsidRPr="00F802B6">
        <w:rPr>
          <w:vertAlign w:val="superscript"/>
        </w:rPr>
        <w:footnoteReference w:id="9"/>
      </w:r>
      <w:r w:rsidRPr="00F802B6">
        <w:t>;</w:t>
      </w:r>
    </w:p>
    <w:p w14:paraId="4EB20721" w14:textId="77777777" w:rsidR="001C2EFD" w:rsidRPr="00F802B6" w:rsidRDefault="001C2EFD" w:rsidP="001C2EFD">
      <w:pPr>
        <w:pStyle w:val="NormalHanging12a"/>
      </w:pPr>
      <w:r w:rsidRPr="00F802B6">
        <w:t>G.</w:t>
      </w:r>
      <w:r w:rsidRPr="00F802B6">
        <w:tab/>
        <w:t xml:space="preserve">considerando che le colture geneticamente modificate resistenti agli erbicidi vincolano gli agricoltori a un sistema di gestione delle piante infestanti che dipende in gran parte o </w:t>
      </w:r>
      <w:r w:rsidRPr="00F802B6">
        <w:lastRenderedPageBreak/>
        <w:t>del tutto dagli erbicidi, e questo mediante l'imposizione di un prezzo maggiorato per le sementi geneticamente modificate che può essere giustificato solo se gli agricoltori che acquistano tali sementi irrorano anche con erbicidi complementari; che la sempre maggiore dipendenza dagli erbicidi complementari da parte delle aziende agricole che coltivano cotone geneticamente modificato accelererà la comparsa e la diffusione di erbe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sidRPr="00F802B6">
        <w:rPr>
          <w:vertAlign w:val="superscript"/>
        </w:rPr>
        <w:footnoteReference w:id="10"/>
      </w:r>
      <w:r w:rsidRPr="00F802B6">
        <w:t>;</w:t>
      </w:r>
    </w:p>
    <w:p w14:paraId="1EC8643E" w14:textId="77777777" w:rsidR="001C2EFD" w:rsidRPr="00F802B6" w:rsidRDefault="001C2EFD" w:rsidP="001C2EFD">
      <w:pPr>
        <w:pStyle w:val="NormalHanging12a"/>
      </w:pPr>
      <w:r w:rsidRPr="00F802B6">
        <w:t>H.</w:t>
      </w:r>
      <w:r w:rsidRPr="00F802B6">
        <w:tab/>
        <w:t xml:space="preserve">considerando che il </w:t>
      </w:r>
      <w:proofErr w:type="spellStart"/>
      <w:r w:rsidRPr="00F802B6">
        <w:t>glufosinato</w:t>
      </w:r>
      <w:proofErr w:type="spellEnd"/>
      <w:r w:rsidRPr="00F802B6">
        <w:t xml:space="preserve"> è classificato come tossico ai fini della riproduzione 1B e rientra pertanto fra i criteri di esclusione del regolamento (CE) n. 1107/2009 del Parlamento europeo e del Consiglio</w:t>
      </w:r>
      <w:r w:rsidRPr="00F802B6">
        <w:rPr>
          <w:vertAlign w:val="superscript"/>
        </w:rPr>
        <w:footnoteReference w:id="11"/>
      </w:r>
      <w:r w:rsidRPr="00F802B6">
        <w:t xml:space="preserve">; che l'approvazione all'uso del </w:t>
      </w:r>
      <w:proofErr w:type="spellStart"/>
      <w:r w:rsidRPr="00F802B6">
        <w:t>glufosinato</w:t>
      </w:r>
      <w:proofErr w:type="spellEnd"/>
      <w:r w:rsidRPr="00F802B6">
        <w:t xml:space="preserve"> nell'Unione è giunta a scadenza il 31 luglio 2018;</w:t>
      </w:r>
    </w:p>
    <w:p w14:paraId="08BA5D8B" w14:textId="218A1D51" w:rsidR="001C2EFD" w:rsidRPr="00F802B6" w:rsidRDefault="001C2EFD" w:rsidP="001C2EFD">
      <w:pPr>
        <w:pStyle w:val="NormalHanging12a"/>
      </w:pPr>
      <w:r w:rsidRPr="00F802B6">
        <w:t>I.</w:t>
      </w:r>
      <w:r w:rsidRPr="00F802B6">
        <w:tab/>
        <w:t>considerando che il monitoraggio e la sorveglianza indipendenti dei potenziali effetti negativi sulla biodiversità, sulla salute del suolo, sugli impollinatori e sugli organismi non bersaglio continuano a non essere sufficientemente garantiti;</w:t>
      </w:r>
    </w:p>
    <w:p w14:paraId="70A347C1" w14:textId="77777777" w:rsidR="001C2EFD" w:rsidRPr="00F802B6" w:rsidRDefault="001C2EFD" w:rsidP="001C2EFD">
      <w:pPr>
        <w:pStyle w:val="NormalHanging12a"/>
      </w:pPr>
      <w:r w:rsidRPr="00F802B6">
        <w:t>J.</w:t>
      </w:r>
      <w:r w:rsidRPr="00F802B6">
        <w:tab/>
        <w:t>considerando che nei casi di incertezza scientifica dovrebbe applicarsi il principio di precauzione, sancito dall'articolo 191 del trattato sul funzionamento dell'Unione europea;</w:t>
      </w:r>
    </w:p>
    <w:p w14:paraId="4304A209" w14:textId="77777777" w:rsidR="001C2EFD" w:rsidRPr="00F802B6" w:rsidRDefault="001C2EFD" w:rsidP="001C2EFD">
      <w:pPr>
        <w:pStyle w:val="NormalHanging12a"/>
      </w:pPr>
      <w:r w:rsidRPr="00F802B6">
        <w:t>K.</w:t>
      </w:r>
      <w:r w:rsidRPr="00F802B6">
        <w:tab/>
        <w:t>considerando che il regolamento (CE) n. 1829/2003 prevede che gli alimenti e i mangimi geneticamente modificati non debbano avere effetti nocivi sulla salute umana, sulla salute degli animali o sull'ambiente;</w:t>
      </w:r>
    </w:p>
    <w:p w14:paraId="23C914E7" w14:textId="77777777" w:rsidR="001C2EFD" w:rsidRPr="00F802B6" w:rsidRDefault="001C2EFD" w:rsidP="001C2EFD">
      <w:pPr>
        <w:pStyle w:val="NormalHanging12a"/>
      </w:pPr>
      <w:r w:rsidRPr="00F802B6">
        <w:t>L.</w:t>
      </w:r>
      <w:r w:rsidRPr="00F802B6">
        <w:tab/>
        <w:t>considerando che il rinnovo dell'autorizzazione da parte dell'Unione del cotone geneticamente modificato non sarebbe coerente con gli impegni internazionali in materia di riduzione dei pesticidi</w:t>
      </w:r>
      <w:r w:rsidRPr="00F802B6">
        <w:rPr>
          <w:vertAlign w:val="superscript"/>
        </w:rPr>
        <w:footnoteReference w:id="12"/>
      </w:r>
      <w:r w:rsidRPr="00F802B6">
        <w:t xml:space="preserve">, alla luce della maggiore esposizione umana, animale e ambientale al glifosato e al </w:t>
      </w:r>
      <w:proofErr w:type="spellStart"/>
      <w:r w:rsidRPr="00F802B6">
        <w:t>glufosinato</w:t>
      </w:r>
      <w:proofErr w:type="spellEnd"/>
      <w:r w:rsidRPr="00F802B6">
        <w:t xml:space="preserve"> nei paesi che coltivano tale coltura geneticamente modificata resistente agli erbicidi, nonché dei potenziali effetti gravi associati sulla salute;</w:t>
      </w:r>
    </w:p>
    <w:p w14:paraId="7433AF64" w14:textId="77777777" w:rsidR="001C2EFD" w:rsidRPr="00F802B6" w:rsidRDefault="001C2EFD" w:rsidP="001C2EFD">
      <w:pPr>
        <w:pStyle w:val="NormalHanging12a"/>
      </w:pPr>
      <w:r w:rsidRPr="00F802B6">
        <w:t>M.</w:t>
      </w:r>
      <w:r w:rsidRPr="00F802B6">
        <w:tab/>
        <w:t xml:space="preserve">considerando che la decisione di esecuzione della Commissione continuerebbe a consentire di importare nell'Unione prodotti non conformi alle norme osservate dagli agricoltori dell'Unione, determinando così per questi ultimi una situazione di svantaggio </w:t>
      </w:r>
      <w:r w:rsidRPr="00F802B6">
        <w:lastRenderedPageBreak/>
        <w:t>competitivo;</w:t>
      </w:r>
    </w:p>
    <w:p w14:paraId="7DDC887C" w14:textId="77777777" w:rsidR="001C2EFD" w:rsidRPr="00F802B6" w:rsidRDefault="001C2EFD" w:rsidP="001C2EFD">
      <w:pPr>
        <w:pStyle w:val="NormalHanging12a"/>
      </w:pPr>
      <w:r w:rsidRPr="00F802B6">
        <w:t>N.</w:t>
      </w:r>
      <w:r w:rsidRPr="00F802B6">
        <w:tab/>
        <w:t>considerando che nelle conclusioni del dialogo strategico sul futuro dell'agricoltura nell'UE</w:t>
      </w:r>
      <w:r w:rsidRPr="00F802B6">
        <w:rPr>
          <w:vertAlign w:val="superscript"/>
        </w:rPr>
        <w:footnoteReference w:id="13"/>
      </w:r>
      <w:r w:rsidRPr="00F802B6">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del 2024 e del 2025 riguardava l'instaurazione, a livello globale, di relazioni commerciali più eque e coerenti con gli obiettivi relativi a un ambiente sano;</w:t>
      </w:r>
    </w:p>
    <w:p w14:paraId="106CF250" w14:textId="77777777" w:rsidR="001C2EFD" w:rsidRPr="00F802B6" w:rsidRDefault="001C2EFD" w:rsidP="001C2EFD">
      <w:pPr>
        <w:pStyle w:val="NormalHanging12a"/>
      </w:pPr>
      <w:r w:rsidRPr="00F802B6">
        <w:t>O.</w:t>
      </w:r>
      <w:r w:rsidRPr="00F802B6">
        <w:tab/>
        <w:t>considerando che il Parlamento ha ripetutamente sottolineato che la Commissione non 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14:paraId="3E98A4E1" w14:textId="77777777" w:rsidR="001C2EFD" w:rsidRPr="00F802B6" w:rsidRDefault="001C2EFD" w:rsidP="001C2EFD">
      <w:pPr>
        <w:pStyle w:val="NormalHanging12a"/>
      </w:pPr>
      <w:r w:rsidRPr="00F802B6">
        <w:t>P.</w:t>
      </w:r>
      <w:r w:rsidRPr="00F802B6">
        <w:tab/>
        <w:t>considerando che, nonostante abbia riconosciuto l'esistenza di lacune sul piano democratico e malgrado la mancanza di sostegno da parte degli Stati membri e le obiezioni sollevate dal Parlamento, la Commissione continua ad autorizzare gli OGM;</w:t>
      </w:r>
    </w:p>
    <w:p w14:paraId="00FA1FF6" w14:textId="77777777" w:rsidR="001C2EFD" w:rsidRPr="00F802B6" w:rsidRDefault="001C2EFD" w:rsidP="001C2EFD">
      <w:pPr>
        <w:pStyle w:val="NormalHanging12a"/>
      </w:pPr>
      <w:r w:rsidRPr="00F802B6">
        <w:t>Q.</w:t>
      </w:r>
      <w:r w:rsidRPr="00F802B6">
        <w:tab/>
        <w:t>considerando che l'approccio "One Health" richiede di tenere conto dell'interdipendenza tra salute umana, animale, vegetale e ambientale nel valutare la sostenibilità e la sicurezza a lungo termine degli OGM;</w:t>
      </w:r>
    </w:p>
    <w:p w14:paraId="16A8DA24" w14:textId="77777777" w:rsidR="001C2EFD" w:rsidRPr="00F802B6" w:rsidRDefault="001C2EFD" w:rsidP="001C2EFD">
      <w:pPr>
        <w:pStyle w:val="NormalHanging12a"/>
      </w:pPr>
      <w:r w:rsidRPr="00F802B6">
        <w:t>1.</w:t>
      </w:r>
      <w:r w:rsidRPr="00F802B6">
        <w:tab/>
        <w:t>ritiene che il progetto di decisione di esecuzione della Commissione ecceda le competenze di esecuzione previste dal regolamento (CE) n. 1829/2003;</w:t>
      </w:r>
    </w:p>
    <w:p w14:paraId="66C54C47" w14:textId="396A793C" w:rsidR="001C2EFD" w:rsidRPr="00F802B6" w:rsidRDefault="001C2EFD" w:rsidP="001C2EFD">
      <w:pPr>
        <w:pStyle w:val="NormalHanging12a"/>
      </w:pPr>
      <w:r w:rsidRPr="00F802B6">
        <w:t>2.</w:t>
      </w:r>
      <w:r w:rsidRPr="00F802B6">
        <w:tab/>
        <w:t>ritiene che il progetto di decisione di esecuzione della Commissione non sia co</w:t>
      </w:r>
      <w:r w:rsidR="00BA59F9">
        <w:t>nforme</w:t>
      </w:r>
      <w:r w:rsidRPr="00F802B6">
        <w:t xml:space="preserve"> </w:t>
      </w:r>
      <w:r w:rsidR="00BA59F9">
        <w:t>a</w:t>
      </w:r>
      <w:r w:rsidRPr="00F802B6">
        <w:t xml:space="preserve">l diritto dell'Unione, </w:t>
      </w:r>
      <w:r w:rsidR="00BA59F9">
        <w:t>in quanto</w:t>
      </w:r>
      <w:r w:rsidRPr="00F802B6">
        <w:t xml:space="preserve"> è incompatibile con l'obiettivo del regolamento (CE) n. 1829/2003, che consiste, in conformità dei principi generali sanciti dal regolamento (CE) n. 178/2002 del Parlamento europeo e del Consiglio</w:t>
      </w:r>
      <w:r w:rsidRPr="00F802B6">
        <w:rPr>
          <w:vertAlign w:val="superscript"/>
        </w:rPr>
        <w:footnoteReference w:id="14"/>
      </w:r>
      <w:r w:rsidRPr="00F802B6">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14:paraId="3A0C23C9" w14:textId="77777777" w:rsidR="001C2EFD" w:rsidRPr="00F802B6" w:rsidRDefault="001C2EFD" w:rsidP="001C2EFD">
      <w:pPr>
        <w:pStyle w:val="NormalHanging12a"/>
      </w:pPr>
      <w:r w:rsidRPr="00F802B6">
        <w:t>3.</w:t>
      </w:r>
      <w:r w:rsidRPr="00F802B6">
        <w:tab/>
        <w:t>chiede alla Commissione di ritirare il progetto di decisione di esecuzione;</w:t>
      </w:r>
    </w:p>
    <w:p w14:paraId="7EC5AC09" w14:textId="77777777" w:rsidR="001C2EFD" w:rsidRPr="00F802B6" w:rsidRDefault="001C2EFD" w:rsidP="001C2EFD">
      <w:pPr>
        <w:pStyle w:val="NormalHanging12a"/>
      </w:pPr>
      <w:bookmarkStart w:id="12" w:name="_Hlk218675841"/>
      <w:r w:rsidRPr="00F802B6">
        <w:t>4.</w:t>
      </w:r>
      <w:r w:rsidRPr="00F802B6">
        <w:tab/>
        <w:t>invita la Commissione a non rinnovare l'autorizzazione del cotone geneticamente modificato a causa della mancanza di sufficienti elementi di prova per quanto riguarda gli effetti a lungo termine sulla biodiversità, sulla sicurezza alimentare, sui mezzi di sussistenza degli agricoltori e sulla salute degli animali, in conformità all'approccio "One Health";</w:t>
      </w:r>
    </w:p>
    <w:p w14:paraId="0065C332" w14:textId="23548446" w:rsidR="001C2EFD" w:rsidRPr="00F802B6" w:rsidRDefault="001C2EFD" w:rsidP="001C2EFD">
      <w:pPr>
        <w:pStyle w:val="NormalHanging12a"/>
      </w:pPr>
      <w:bookmarkStart w:id="13" w:name="_Hlk210900300"/>
      <w:r w:rsidRPr="00F802B6">
        <w:lastRenderedPageBreak/>
        <w:t>5.</w:t>
      </w:r>
      <w:r w:rsidRPr="00F802B6">
        <w:tab/>
      </w:r>
      <w:r w:rsidR="00BA59F9">
        <w:t>chiede</w:t>
      </w:r>
      <w:r w:rsidRPr="00F802B6">
        <w:t xml:space="preserve"> </w:t>
      </w:r>
      <w:r w:rsidR="00BA59F9">
        <w:t>al</w:t>
      </w:r>
      <w:r w:rsidRPr="00F802B6">
        <w:t xml:space="preserve">la Commissione </w:t>
      </w:r>
      <w:r w:rsidR="00BA59F9">
        <w:t>di</w:t>
      </w:r>
      <w:r w:rsidRPr="00F802B6">
        <w:t xml:space="preserve"> presentare senza indugio una proposta legislativa per riformare la procedura decisionale sugli OGM al fine di rispondere alle obiezioni coerenti del Parlamento e alla mancanza di un sostegno a maggioranza qualificata tra gli Stati membri</w:t>
      </w:r>
      <w:bookmarkEnd w:id="13"/>
      <w:r w:rsidRPr="00F802B6">
        <w:t>;</w:t>
      </w:r>
    </w:p>
    <w:p w14:paraId="5AFDF442" w14:textId="77777777" w:rsidR="001C2EFD" w:rsidRPr="00F802B6" w:rsidRDefault="001C2EFD" w:rsidP="001C2EFD">
      <w:pPr>
        <w:pStyle w:val="NormalHanging12a"/>
      </w:pPr>
      <w:bookmarkStart w:id="14" w:name="_Hlk210900241"/>
      <w:r w:rsidRPr="00F802B6">
        <w:t>6.</w:t>
      </w:r>
      <w:r w:rsidRPr="00F802B6">
        <w:tab/>
        <w:t xml:space="preserve">sottolinea, a tale proposito, che autorizzare l'importazione per l'uso in alimenti, mangimi o prodotti di qualsiasi pianta geneticamente modificata che sia stata resa resistente agli erbicidi vietati nell'Unione, come il </w:t>
      </w:r>
      <w:proofErr w:type="spellStart"/>
      <w:r w:rsidRPr="00F802B6">
        <w:t>glufosinato</w:t>
      </w:r>
      <w:proofErr w:type="spellEnd"/>
      <w:r w:rsidRPr="00F802B6">
        <w:t>, è incoerente con gli impegni internazionali dell'Unione nel quadro, tra l'altro, della Convenzione delle Nazioni Unite sulla diversità biologica e degli obiettivi di sviluppo sostenibile delle Nazioni Unite, compreso il quadro di Kunming-Montreal, e crea condizioni di disparità per gli agricoltori dell'Unione;</w:t>
      </w:r>
    </w:p>
    <w:bookmarkEnd w:id="14"/>
    <w:p w14:paraId="5B90706D" w14:textId="7318D607" w:rsidR="00F802B6" w:rsidRPr="00F802B6" w:rsidRDefault="001C2EFD" w:rsidP="00F802B6">
      <w:pPr>
        <w:pStyle w:val="NormalHanging12a"/>
      </w:pPr>
      <w:r w:rsidRPr="00F802B6">
        <w:t>7.</w:t>
      </w:r>
      <w:r w:rsidRPr="00F802B6">
        <w:tab/>
      </w:r>
      <w:bookmarkEnd w:id="12"/>
      <w:r w:rsidRPr="00F802B6">
        <w:t>incarica la sua Presidente di trasmettere la presente risoluzione al Consiglio e alla Commissione nonché ai governi e ai parlamenti degli Stati membri.</w:t>
      </w:r>
    </w:p>
    <w:p w14:paraId="58D875DE" w14:textId="3CF1F33B" w:rsidR="00E365E1" w:rsidRPr="00F802B6" w:rsidRDefault="00E365E1" w:rsidP="00AF06CB"/>
    <w:sectPr w:rsidR="00E365E1" w:rsidRPr="00F802B6" w:rsidSect="00F802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C5373" w14:textId="77777777" w:rsidR="00AF06CB" w:rsidRPr="00F802B6" w:rsidRDefault="00AF06CB">
      <w:r w:rsidRPr="00F802B6">
        <w:separator/>
      </w:r>
    </w:p>
  </w:endnote>
  <w:endnote w:type="continuationSeparator" w:id="0">
    <w:p w14:paraId="5C8362DD" w14:textId="77777777" w:rsidR="00AF06CB" w:rsidRPr="00F802B6" w:rsidRDefault="00AF06CB">
      <w:r w:rsidRPr="00F802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9E83" w14:textId="77777777" w:rsidR="00064002" w:rsidRPr="00F802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C66D" w14:textId="77777777" w:rsidR="00064002" w:rsidRPr="00F802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45CF" w14:textId="77777777" w:rsidR="00064002" w:rsidRPr="00F802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A2A68" w14:textId="77777777" w:rsidR="00AF06CB" w:rsidRPr="00F802B6" w:rsidRDefault="00AF06CB">
      <w:r w:rsidRPr="00F802B6">
        <w:separator/>
      </w:r>
    </w:p>
  </w:footnote>
  <w:footnote w:type="continuationSeparator" w:id="0">
    <w:p w14:paraId="53835916" w14:textId="77777777" w:rsidR="00AF06CB" w:rsidRPr="00F802B6" w:rsidRDefault="00AF06CB">
      <w:r w:rsidRPr="00F802B6">
        <w:continuationSeparator/>
      </w:r>
    </w:p>
  </w:footnote>
  <w:footnote w:id="1">
    <w:p w14:paraId="38EF7536" w14:textId="56A8C3A7"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GU L 268 del 18.10.2003, pag. 1, ELI: </w:t>
      </w:r>
      <w:hyperlink r:id="rId1" w:history="1">
        <w:r w:rsidRPr="00F802B6">
          <w:rPr>
            <w:rStyle w:val="Hyperlink"/>
            <w:sz w:val="24"/>
            <w:lang w:val="it-IT"/>
          </w:rPr>
          <w:t>https://eur-lex.europa.eu/eli/reg/2003/1829/</w:t>
        </w:r>
        <w:proofErr w:type="spellStart"/>
        <w:r w:rsidRPr="00F802B6">
          <w:rPr>
            <w:rStyle w:val="Hyperlink"/>
            <w:sz w:val="24"/>
            <w:lang w:val="it-IT"/>
          </w:rPr>
          <w:t>oj</w:t>
        </w:r>
        <w:proofErr w:type="spellEnd"/>
      </w:hyperlink>
      <w:r w:rsidRPr="00F802B6">
        <w:rPr>
          <w:sz w:val="24"/>
          <w:lang w:val="it-IT"/>
        </w:rPr>
        <w:t>.</w:t>
      </w:r>
    </w:p>
  </w:footnote>
  <w:footnote w:id="2">
    <w:p w14:paraId="55707D18" w14:textId="3FA6A542"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GU L 55 del 28.2.2011, pag. 13, ELI: </w:t>
      </w:r>
      <w:hyperlink r:id="rId2" w:history="1">
        <w:r w:rsidRPr="00F802B6">
          <w:rPr>
            <w:rStyle w:val="Hyperlink"/>
            <w:sz w:val="24"/>
            <w:lang w:val="it-IT"/>
          </w:rPr>
          <w:t>http://data.europa.eu/eli/reg/2011/182/</w:t>
        </w:r>
        <w:proofErr w:type="spellStart"/>
        <w:r w:rsidRPr="00F802B6">
          <w:rPr>
            <w:rStyle w:val="Hyperlink"/>
            <w:sz w:val="24"/>
            <w:lang w:val="it-IT"/>
          </w:rPr>
          <w:t>oj</w:t>
        </w:r>
        <w:proofErr w:type="spellEnd"/>
      </w:hyperlink>
      <w:r w:rsidRPr="00F802B6">
        <w:rPr>
          <w:sz w:val="24"/>
          <w:lang w:val="it-IT"/>
        </w:rPr>
        <w:t>.</w:t>
      </w:r>
    </w:p>
  </w:footnote>
  <w:footnote w:id="3">
    <w:p w14:paraId="577BF1CF" w14:textId="69C82D8D" w:rsidR="001C2EFD" w:rsidRPr="00F802B6" w:rsidRDefault="001C2EFD" w:rsidP="00F802B6">
      <w:pPr>
        <w:pStyle w:val="FootnoteText"/>
        <w:ind w:left="567" w:hanging="567"/>
        <w:rPr>
          <w:sz w:val="24"/>
          <w:lang w:val="it-IT"/>
        </w:rPr>
      </w:pPr>
      <w:r w:rsidRPr="00F802B6">
        <w:rPr>
          <w:sz w:val="24"/>
          <w:vertAlign w:val="superscript"/>
          <w:lang w:val="it-IT"/>
        </w:rPr>
        <w:footnoteRef/>
      </w:r>
      <w:r w:rsidR="00F802B6" w:rsidRPr="00F802B6">
        <w:rPr>
          <w:sz w:val="24"/>
          <w:lang w:val="it-IT"/>
        </w:rPr>
        <w:t xml:space="preserve"> </w:t>
      </w:r>
      <w:r w:rsidR="00F802B6" w:rsidRPr="00F802B6">
        <w:rPr>
          <w:sz w:val="24"/>
          <w:lang w:val="it-IT"/>
        </w:rPr>
        <w:tab/>
      </w:r>
      <w:r w:rsidRPr="00F802B6">
        <w:rPr>
          <w:sz w:val="24"/>
          <w:lang w:val="it-IT"/>
        </w:rPr>
        <w:t xml:space="preserve">Parere del gruppo di esperti scientifici dell'EFSA sugli organismi geneticamente modificati relativo alla valutazione del cotone geneticamente modificato T304-40 per il rinnovo dell'autorizzazione a norma del regolamento (CE) n. 1829/2003 (dossier GMFF-2024-23010), </w:t>
      </w:r>
      <w:r w:rsidRPr="00F802B6">
        <w:rPr>
          <w:i/>
          <w:sz w:val="24"/>
          <w:lang w:val="it-IT"/>
        </w:rPr>
        <w:t>EFSA Journal</w:t>
      </w:r>
      <w:r w:rsidRPr="00F802B6">
        <w:rPr>
          <w:sz w:val="24"/>
          <w:lang w:val="it-IT"/>
        </w:rPr>
        <w:t xml:space="preserve"> 2025, 23(7</w:t>
      </w:r>
      <w:proofErr w:type="gramStart"/>
      <w:r w:rsidRPr="00F802B6">
        <w:rPr>
          <w:sz w:val="24"/>
          <w:lang w:val="it-IT"/>
        </w:rPr>
        <w:t>):e</w:t>
      </w:r>
      <w:proofErr w:type="gramEnd"/>
      <w:r w:rsidRPr="00F802B6">
        <w:rPr>
          <w:sz w:val="24"/>
          <w:lang w:val="it-IT"/>
        </w:rPr>
        <w:t xml:space="preserve">9580, </w:t>
      </w:r>
      <w:hyperlink r:id="rId3" w:history="1">
        <w:r w:rsidRPr="00F802B6">
          <w:rPr>
            <w:rStyle w:val="Hyperlink"/>
            <w:sz w:val="24"/>
            <w:lang w:val="it-IT"/>
          </w:rPr>
          <w:t>https://doi.org/10.2903/j.efsa.2025.9580</w:t>
        </w:r>
      </w:hyperlink>
      <w:r w:rsidRPr="00F802B6">
        <w:rPr>
          <w:sz w:val="24"/>
          <w:lang w:val="it-IT"/>
        </w:rPr>
        <w:t xml:space="preserve">. </w:t>
      </w:r>
    </w:p>
  </w:footnote>
  <w:footnote w:id="4">
    <w:p w14:paraId="48F88836" w14:textId="33E3D1B4" w:rsidR="001C2EFD" w:rsidRPr="00F802B6" w:rsidRDefault="001C2EFD" w:rsidP="00F802B6">
      <w:pPr>
        <w:pStyle w:val="FootnoteText"/>
        <w:ind w:left="567" w:hanging="567"/>
        <w:rPr>
          <w:color w:val="000000" w:themeColor="text1"/>
          <w:sz w:val="24"/>
          <w:vertAlign w:val="superscript"/>
          <w:lang w:val="it-IT"/>
        </w:rPr>
      </w:pPr>
      <w:r w:rsidRPr="00F802B6">
        <w:rPr>
          <w:rStyle w:val="FootnoteReference"/>
          <w:sz w:val="24"/>
          <w:lang w:val="it-IT"/>
        </w:rPr>
        <w:footnoteRef/>
      </w:r>
      <w:r w:rsidR="00F802B6" w:rsidRPr="00F802B6">
        <w:rPr>
          <w:color w:val="000000" w:themeColor="text1"/>
          <w:sz w:val="24"/>
          <w:lang w:val="it-IT"/>
        </w:rPr>
        <w:t xml:space="preserve"> </w:t>
      </w:r>
      <w:r w:rsidR="00F802B6" w:rsidRPr="00F802B6">
        <w:rPr>
          <w:color w:val="000000" w:themeColor="text1"/>
          <w:sz w:val="24"/>
          <w:lang w:val="it-IT"/>
        </w:rPr>
        <w:tab/>
      </w:r>
      <w:r w:rsidRPr="00F802B6">
        <w:rPr>
          <w:color w:val="000000" w:themeColor="text1"/>
          <w:sz w:val="24"/>
          <w:lang w:val="it-IT"/>
        </w:rPr>
        <w:t xml:space="preserve">Nel corso dell'ottava e della nona legislatura il Parlamento ha approvato rispettivamente 36 e 38 risoluzioni che sollevano obiezioni all'autorizzazione di OGM. </w:t>
      </w:r>
      <w:proofErr w:type="gramStart"/>
      <w:r w:rsidRPr="00F802B6">
        <w:rPr>
          <w:color w:val="000000" w:themeColor="text1"/>
          <w:sz w:val="24"/>
          <w:lang w:val="it-IT"/>
        </w:rPr>
        <w:t>Inoltre</w:t>
      </w:r>
      <w:proofErr w:type="gramEnd"/>
      <w:r w:rsidRPr="00F802B6">
        <w:rPr>
          <w:color w:val="000000" w:themeColor="text1"/>
          <w:sz w:val="24"/>
          <w:lang w:val="it-IT"/>
        </w:rPr>
        <w:t xml:space="preserve"> nel corso della decima legislatura il Parlamento ha approvato le risoluzioni seguenti:</w:t>
      </w:r>
    </w:p>
    <w:p w14:paraId="018E5CAF" w14:textId="7C6332D7"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4" w:history="1">
        <w:r w:rsidRPr="00F802B6">
          <w:rPr>
            <w:rStyle w:val="Hyperlink"/>
            <w:sz w:val="24"/>
            <w:lang w:val="it-IT"/>
          </w:rPr>
          <w:t>http://data.europa.eu/eli/C/2025/1797/</w:t>
        </w:r>
        <w:proofErr w:type="spellStart"/>
        <w:r w:rsidRPr="00F802B6">
          <w:rPr>
            <w:rStyle w:val="Hyperlink"/>
            <w:sz w:val="24"/>
            <w:lang w:val="it-IT"/>
          </w:rPr>
          <w:t>oj</w:t>
        </w:r>
        <w:proofErr w:type="spellEnd"/>
      </w:hyperlink>
      <w:r w:rsidRPr="00F802B6">
        <w:rPr>
          <w:color w:val="000000" w:themeColor="text1"/>
          <w:sz w:val="24"/>
          <w:lang w:val="it-IT"/>
        </w:rPr>
        <w:t>);</w:t>
      </w:r>
    </w:p>
    <w:p w14:paraId="4D86499D" w14:textId="04A251E7"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5" w:history="1">
        <w:r w:rsidRPr="00F802B6">
          <w:rPr>
            <w:rStyle w:val="Hyperlink"/>
            <w:sz w:val="24"/>
            <w:lang w:val="it-IT"/>
          </w:rPr>
          <w:t>http://data.europa.eu/eli/C/2025/1798/</w:t>
        </w:r>
        <w:proofErr w:type="spellStart"/>
        <w:r w:rsidRPr="00F802B6">
          <w:rPr>
            <w:rStyle w:val="Hyperlink"/>
            <w:sz w:val="24"/>
            <w:lang w:val="it-IT"/>
          </w:rPr>
          <w:t>oj</w:t>
        </w:r>
        <w:proofErr w:type="spellEnd"/>
      </w:hyperlink>
      <w:r w:rsidRPr="00F802B6">
        <w:rPr>
          <w:color w:val="000000" w:themeColor="text1"/>
          <w:sz w:val="24"/>
          <w:lang w:val="it-IT"/>
        </w:rPr>
        <w:t>);</w:t>
      </w:r>
    </w:p>
    <w:p w14:paraId="33C2F40A" w14:textId="622CBEB1"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F802B6">
        <w:rPr>
          <w:color w:val="000000" w:themeColor="text1"/>
          <w:sz w:val="24"/>
          <w:lang w:val="it-IT"/>
        </w:rPr>
        <w:t>sottocombinazioni</w:t>
      </w:r>
      <w:proofErr w:type="spellEnd"/>
      <w:r w:rsidRPr="00F802B6">
        <w:rPr>
          <w:color w:val="000000" w:themeColor="text1"/>
          <w:sz w:val="24"/>
          <w:lang w:val="it-IT"/>
        </w:rPr>
        <w:t xml:space="preserve"> in conformità al regolamento (CE) n. 1829/2003 del Parlamento europeo e del Consiglio (GU C, C/2025/1799, 4.4.2025, ELI: </w:t>
      </w:r>
      <w:hyperlink r:id="rId6" w:history="1">
        <w:r w:rsidRPr="00F802B6">
          <w:rPr>
            <w:rStyle w:val="Hyperlink"/>
            <w:sz w:val="24"/>
            <w:lang w:val="it-IT"/>
          </w:rPr>
          <w:t>http://data.europa.eu/eli/C/2025/1799/</w:t>
        </w:r>
        <w:proofErr w:type="spellStart"/>
        <w:r w:rsidRPr="00F802B6">
          <w:rPr>
            <w:rStyle w:val="Hyperlink"/>
            <w:sz w:val="24"/>
            <w:lang w:val="it-IT"/>
          </w:rPr>
          <w:t>oj</w:t>
        </w:r>
        <w:proofErr w:type="spellEnd"/>
      </w:hyperlink>
      <w:r w:rsidRPr="00F802B6">
        <w:rPr>
          <w:color w:val="000000" w:themeColor="text1"/>
          <w:sz w:val="24"/>
          <w:lang w:val="it-IT"/>
        </w:rPr>
        <w:t>);</w:t>
      </w:r>
    </w:p>
    <w:p w14:paraId="5918E711" w14:textId="699C79D8"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7" w:history="1">
        <w:r w:rsidRPr="00F802B6">
          <w:rPr>
            <w:rStyle w:val="Hyperlink"/>
            <w:sz w:val="24"/>
            <w:lang w:val="it-IT"/>
          </w:rPr>
          <w:t>http://data.europa.eu/eli/C/2025/1800/</w:t>
        </w:r>
        <w:proofErr w:type="spellStart"/>
        <w:r w:rsidRPr="00F802B6">
          <w:rPr>
            <w:rStyle w:val="Hyperlink"/>
            <w:sz w:val="24"/>
            <w:lang w:val="it-IT"/>
          </w:rPr>
          <w:t>oj</w:t>
        </w:r>
        <w:proofErr w:type="spellEnd"/>
      </w:hyperlink>
      <w:r w:rsidRPr="00F802B6">
        <w:rPr>
          <w:color w:val="000000" w:themeColor="text1"/>
          <w:sz w:val="24"/>
          <w:lang w:val="it-IT"/>
        </w:rPr>
        <w:t>);</w:t>
      </w:r>
    </w:p>
    <w:p w14:paraId="2B65634D" w14:textId="32FB42BD"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8" w:history="1">
        <w:r w:rsidRPr="00F802B6">
          <w:rPr>
            <w:rStyle w:val="Hyperlink"/>
            <w:sz w:val="24"/>
            <w:lang w:val="it-IT"/>
          </w:rPr>
          <w:t>http://data.europa.eu/eli/C/2025/1801/</w:t>
        </w:r>
        <w:proofErr w:type="spellStart"/>
        <w:r w:rsidRPr="00F802B6">
          <w:rPr>
            <w:rStyle w:val="Hyperlink"/>
            <w:sz w:val="24"/>
            <w:lang w:val="it-IT"/>
          </w:rPr>
          <w:t>oj</w:t>
        </w:r>
        <w:proofErr w:type="spellEnd"/>
      </w:hyperlink>
      <w:r w:rsidRPr="00F802B6">
        <w:rPr>
          <w:color w:val="000000" w:themeColor="text1"/>
          <w:sz w:val="24"/>
          <w:lang w:val="it-IT"/>
        </w:rPr>
        <w:t>);</w:t>
      </w:r>
    </w:p>
    <w:p w14:paraId="6B9F3891" w14:textId="6C3C1C62"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9" w:history="1">
        <w:r w:rsidRPr="00F802B6">
          <w:rPr>
            <w:rStyle w:val="Hyperlink"/>
            <w:sz w:val="24"/>
            <w:lang w:val="it-IT"/>
          </w:rPr>
          <w:t>http://data.europa.eu/eli/C/2025/1802/</w:t>
        </w:r>
        <w:proofErr w:type="spellStart"/>
        <w:r w:rsidRPr="00F802B6">
          <w:rPr>
            <w:rStyle w:val="Hyperlink"/>
            <w:sz w:val="24"/>
            <w:lang w:val="it-IT"/>
          </w:rPr>
          <w:t>oj</w:t>
        </w:r>
        <w:proofErr w:type="spellEnd"/>
      </w:hyperlink>
      <w:r w:rsidRPr="00F802B6">
        <w:rPr>
          <w:color w:val="000000" w:themeColor="text1"/>
          <w:sz w:val="24"/>
          <w:lang w:val="it-IT"/>
        </w:rPr>
        <w:t>);</w:t>
      </w:r>
    </w:p>
    <w:p w14:paraId="564A0A56" w14:textId="5919BFA1"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10" w:history="1">
        <w:r w:rsidRPr="00F802B6">
          <w:rPr>
            <w:rStyle w:val="Hyperlink"/>
            <w:sz w:val="24"/>
            <w:lang w:val="it-IT"/>
          </w:rPr>
          <w:t>http://data.europa.eu/eli/C/2025/1803/</w:t>
        </w:r>
        <w:proofErr w:type="spellStart"/>
        <w:r w:rsidRPr="00F802B6">
          <w:rPr>
            <w:rStyle w:val="Hyperlink"/>
            <w:sz w:val="24"/>
            <w:lang w:val="it-IT"/>
          </w:rPr>
          <w:t>oj</w:t>
        </w:r>
        <w:proofErr w:type="spellEnd"/>
      </w:hyperlink>
      <w:r w:rsidRPr="00F802B6">
        <w:rPr>
          <w:color w:val="000000" w:themeColor="text1"/>
          <w:sz w:val="24"/>
          <w:lang w:val="it-IT"/>
        </w:rPr>
        <w:t>);</w:t>
      </w:r>
    </w:p>
    <w:p w14:paraId="717B623A" w14:textId="4BD97035" w:rsidR="001C2EFD" w:rsidRPr="00F802B6" w:rsidRDefault="001C2EFD" w:rsidP="00681706">
      <w:pPr>
        <w:pStyle w:val="FootnoteText"/>
        <w:ind w:left="1134" w:hanging="567"/>
        <w:rPr>
          <w:color w:val="000000" w:themeColor="text1"/>
          <w:sz w:val="24"/>
          <w:vertAlign w:val="superscript"/>
          <w:lang w:val="it-IT"/>
        </w:rPr>
      </w:pPr>
      <w:r w:rsidRPr="00F802B6">
        <w:rPr>
          <w:color w:val="000000" w:themeColor="text1"/>
          <w:sz w:val="24"/>
          <w:lang w:val="it-IT"/>
        </w:rPr>
        <w:t>–</w:t>
      </w:r>
      <w:r w:rsidRPr="00F802B6">
        <w:rPr>
          <w:color w:val="000000" w:themeColor="text1"/>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1" w:history="1">
        <w:r w:rsidRPr="00F802B6">
          <w:rPr>
            <w:rStyle w:val="Hyperlink"/>
            <w:sz w:val="24"/>
            <w:lang w:val="it-IT"/>
          </w:rPr>
          <w:t>http://data.europa.eu/eli/C/2025/1804/</w:t>
        </w:r>
        <w:proofErr w:type="spellStart"/>
        <w:r w:rsidRPr="00F802B6">
          <w:rPr>
            <w:rStyle w:val="Hyperlink"/>
            <w:sz w:val="24"/>
            <w:lang w:val="it-IT"/>
          </w:rPr>
          <w:t>oj</w:t>
        </w:r>
        <w:proofErr w:type="spellEnd"/>
      </w:hyperlink>
      <w:r w:rsidRPr="00F802B6">
        <w:rPr>
          <w:color w:val="000000" w:themeColor="text1"/>
          <w:sz w:val="24"/>
          <w:lang w:val="it-IT"/>
        </w:rPr>
        <w:t>);</w:t>
      </w:r>
    </w:p>
    <w:p w14:paraId="257434DF" w14:textId="6FB29098" w:rsidR="001C2EFD" w:rsidRPr="00F802B6" w:rsidRDefault="001C2EFD" w:rsidP="00681706">
      <w:pPr>
        <w:pStyle w:val="FootnoteText"/>
        <w:ind w:left="1134" w:hanging="567"/>
        <w:rPr>
          <w:sz w:val="24"/>
          <w:vertAlign w:val="superscript"/>
          <w:lang w:val="it-IT"/>
        </w:rPr>
      </w:pPr>
      <w:r w:rsidRPr="00F802B6">
        <w:rPr>
          <w:color w:val="000000" w:themeColor="text1"/>
          <w:sz w:val="24"/>
          <w:lang w:val="it-IT"/>
        </w:rPr>
        <w:t>–</w:t>
      </w:r>
      <w:r w:rsidRPr="00F802B6">
        <w:rPr>
          <w:color w:val="000000" w:themeColor="text1"/>
          <w:sz w:val="24"/>
          <w:lang w:val="it-IT"/>
        </w:rPr>
        <w:tab/>
      </w:r>
      <w:r w:rsidRPr="00F802B6">
        <w:rPr>
          <w:sz w:val="24"/>
          <w:lang w:val="it-IT"/>
        </w:rPr>
        <w:t>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2" w:history="1">
        <w:r w:rsidRPr="00F802B6">
          <w:rPr>
            <w:rStyle w:val="Hyperlink"/>
            <w:sz w:val="24"/>
            <w:lang w:val="it-IT"/>
          </w:rPr>
          <w:t>http://data.europa.eu/eli/C/2025/2246/</w:t>
        </w:r>
        <w:proofErr w:type="spellStart"/>
        <w:r w:rsidRPr="00F802B6">
          <w:rPr>
            <w:rStyle w:val="Hyperlink"/>
            <w:sz w:val="24"/>
            <w:lang w:val="it-IT"/>
          </w:rPr>
          <w:t>oj</w:t>
        </w:r>
        <w:proofErr w:type="spellEnd"/>
      </w:hyperlink>
      <w:r w:rsidRPr="00F802B6">
        <w:rPr>
          <w:sz w:val="24"/>
          <w:lang w:val="it-IT"/>
        </w:rPr>
        <w:t>);</w:t>
      </w:r>
    </w:p>
    <w:p w14:paraId="761D14C4" w14:textId="30621446" w:rsidR="001C2EFD" w:rsidRPr="00F802B6" w:rsidRDefault="001C2EFD" w:rsidP="00681706">
      <w:pPr>
        <w:pStyle w:val="FootnoteText"/>
        <w:ind w:left="1134" w:hanging="567"/>
        <w:rPr>
          <w:sz w:val="24"/>
          <w:vertAlign w:val="superscript"/>
          <w:lang w:val="it-IT"/>
        </w:rPr>
      </w:pPr>
      <w:r w:rsidRPr="00F802B6">
        <w:rPr>
          <w:sz w:val="24"/>
          <w:lang w:val="it-IT"/>
        </w:rPr>
        <w:t>–</w:t>
      </w:r>
      <w:r w:rsidRPr="00F802B6">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3" w:history="1">
        <w:r w:rsidRPr="00F802B6">
          <w:rPr>
            <w:rStyle w:val="Hyperlink"/>
            <w:sz w:val="24"/>
            <w:lang w:val="it-IT"/>
          </w:rPr>
          <w:t>http://data.europa.eu/eli/C/2025/2247/</w:t>
        </w:r>
        <w:proofErr w:type="spellStart"/>
        <w:r w:rsidRPr="00F802B6">
          <w:rPr>
            <w:rStyle w:val="Hyperlink"/>
            <w:sz w:val="24"/>
            <w:lang w:val="it-IT"/>
          </w:rPr>
          <w:t>oj</w:t>
        </w:r>
        <w:proofErr w:type="spellEnd"/>
      </w:hyperlink>
      <w:r w:rsidRPr="00F802B6">
        <w:rPr>
          <w:sz w:val="24"/>
          <w:lang w:val="it-IT"/>
        </w:rPr>
        <w:t>);</w:t>
      </w:r>
    </w:p>
    <w:p w14:paraId="54B2A787" w14:textId="3C2D2D22" w:rsidR="001C2EFD" w:rsidRPr="00F802B6" w:rsidRDefault="001C2EFD" w:rsidP="00681706">
      <w:pPr>
        <w:pStyle w:val="FootnoteText"/>
        <w:ind w:left="1134" w:hanging="567"/>
        <w:rPr>
          <w:sz w:val="24"/>
          <w:vertAlign w:val="superscript"/>
          <w:lang w:val="it-IT"/>
        </w:rPr>
      </w:pPr>
      <w:r w:rsidRPr="00F802B6">
        <w:rPr>
          <w:sz w:val="24"/>
          <w:lang w:val="it-IT"/>
        </w:rPr>
        <w:t>–</w:t>
      </w:r>
      <w:r w:rsidRPr="00F802B6">
        <w:rPr>
          <w:sz w:val="24"/>
          <w:lang w:val="it-IT"/>
        </w:rPr>
        <w:tab/>
        <w:t xml:space="preserve">risoluzione del Parlamento europeo dell'8 maggio 2025 sul progetto di decisione di esecuzione della Commissione che autorizza l'immissione in commercio di prodotti contenenti, </w:t>
      </w:r>
      <w:r w:rsidRPr="00AC3DB3">
        <w:rPr>
          <w:sz w:val="24"/>
          <w:lang w:val="it-IT"/>
        </w:rPr>
        <w:t>costituiti o</w:t>
      </w:r>
      <w:r w:rsidR="00AC3DB3" w:rsidRPr="00AC3DB3">
        <w:rPr>
          <w:sz w:val="24"/>
          <w:lang w:val="it-IT"/>
        </w:rPr>
        <w:t>d</w:t>
      </w:r>
      <w:r w:rsidRPr="00AC3DB3">
        <w:rPr>
          <w:sz w:val="24"/>
          <w:lang w:val="it-IT"/>
        </w:rPr>
        <w:t xml:space="preserve"> </w:t>
      </w:r>
      <w:r w:rsidR="00AC3DB3" w:rsidRPr="00681706">
        <w:rPr>
          <w:sz w:val="24"/>
          <w:lang w:val="it-IT"/>
        </w:rPr>
        <w:t>ottenuti</w:t>
      </w:r>
      <w:r w:rsidRPr="00AC3DB3">
        <w:rPr>
          <w:sz w:val="24"/>
          <w:lang w:val="it-IT"/>
        </w:rPr>
        <w:t xml:space="preserve"> da</w:t>
      </w:r>
      <w:r w:rsidRPr="00F802B6">
        <w:rPr>
          <w:sz w:val="24"/>
          <w:lang w:val="it-IT"/>
        </w:rPr>
        <w:t xml:space="preserve"> soia geneticamente modificata MON 87705 × MON 87708 × MON 89788,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Pr="00F802B6">
        <w:rPr>
          <w:sz w:val="24"/>
          <w:lang w:val="it-IT"/>
        </w:rPr>
        <w:t>P10_</w:t>
      </w:r>
      <w:proofErr w:type="gramStart"/>
      <w:r w:rsidRPr="00F802B6">
        <w:rPr>
          <w:sz w:val="24"/>
          <w:lang w:val="it-IT"/>
        </w:rPr>
        <w:t>TA(</w:t>
      </w:r>
      <w:proofErr w:type="gramEnd"/>
      <w:r w:rsidRPr="00F802B6">
        <w:rPr>
          <w:sz w:val="24"/>
          <w:lang w:val="it-IT"/>
        </w:rPr>
        <w:t>2025)0106);</w:t>
      </w:r>
    </w:p>
    <w:p w14:paraId="64D1B77D" w14:textId="2C295216" w:rsidR="001C2EFD" w:rsidRPr="00F802B6" w:rsidRDefault="001C2EFD" w:rsidP="00681706">
      <w:pPr>
        <w:pStyle w:val="FootnoteText"/>
        <w:ind w:left="1134" w:hanging="567"/>
        <w:rPr>
          <w:sz w:val="24"/>
          <w:vertAlign w:val="superscript"/>
          <w:lang w:val="it-IT"/>
        </w:rPr>
      </w:pPr>
      <w:r w:rsidRPr="00F802B6">
        <w:rPr>
          <w:sz w:val="24"/>
          <w:lang w:val="it-IT"/>
        </w:rPr>
        <w:t>–</w:t>
      </w:r>
      <w:r w:rsidRPr="00F802B6">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Pr="00F802B6">
        <w:rPr>
          <w:sz w:val="24"/>
          <w:lang w:val="it-IT"/>
        </w:rPr>
        <w:t>P10_</w:t>
      </w:r>
      <w:proofErr w:type="gramStart"/>
      <w:r w:rsidRPr="00F802B6">
        <w:rPr>
          <w:sz w:val="24"/>
          <w:lang w:val="it-IT"/>
        </w:rPr>
        <w:t>TA(</w:t>
      </w:r>
      <w:proofErr w:type="gramEnd"/>
      <w:r w:rsidRPr="00F802B6">
        <w:rPr>
          <w:sz w:val="24"/>
          <w:lang w:val="it-IT"/>
        </w:rPr>
        <w:t>2025)0222);</w:t>
      </w:r>
    </w:p>
    <w:p w14:paraId="5C792142" w14:textId="483EDC93" w:rsidR="001C2EFD" w:rsidRPr="00F802B6" w:rsidRDefault="001C2EFD" w:rsidP="00681706">
      <w:pPr>
        <w:pStyle w:val="FootnoteText"/>
        <w:ind w:left="1134" w:hanging="567"/>
        <w:rPr>
          <w:sz w:val="24"/>
          <w:vertAlign w:val="superscript"/>
          <w:lang w:val="it-IT"/>
        </w:rPr>
      </w:pPr>
      <w:r w:rsidRPr="00F802B6">
        <w:rPr>
          <w:sz w:val="24"/>
          <w:lang w:val="it-IT"/>
        </w:rPr>
        <w:t>–</w:t>
      </w:r>
      <w:r w:rsidRPr="00F802B6">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Pr="00F802B6">
        <w:rPr>
          <w:sz w:val="24"/>
          <w:lang w:val="it-IT"/>
        </w:rPr>
        <w:t>P10_</w:t>
      </w:r>
      <w:proofErr w:type="gramStart"/>
      <w:r w:rsidRPr="00F802B6">
        <w:rPr>
          <w:sz w:val="24"/>
          <w:lang w:val="it-IT"/>
        </w:rPr>
        <w:t>TA(</w:t>
      </w:r>
      <w:proofErr w:type="gramEnd"/>
      <w:r w:rsidRPr="00F802B6">
        <w:rPr>
          <w:sz w:val="24"/>
          <w:lang w:val="it-IT"/>
        </w:rPr>
        <w:t>2025)0288);</w:t>
      </w:r>
    </w:p>
    <w:p w14:paraId="2DFDBB91" w14:textId="2EA0D14A" w:rsidR="001C2EFD" w:rsidRPr="00F802B6" w:rsidRDefault="001C2EFD" w:rsidP="00681706">
      <w:pPr>
        <w:pStyle w:val="FootnoteText"/>
        <w:ind w:left="1134" w:hanging="567"/>
        <w:rPr>
          <w:sz w:val="24"/>
          <w:vertAlign w:val="superscript"/>
          <w:lang w:val="it-IT"/>
        </w:rPr>
      </w:pPr>
      <w:r w:rsidRPr="00F802B6">
        <w:rPr>
          <w:sz w:val="24"/>
          <w:lang w:val="it-IT"/>
        </w:rPr>
        <w:t>–</w:t>
      </w:r>
      <w:r w:rsidRPr="00F802B6">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Pr="00F802B6">
        <w:rPr>
          <w:sz w:val="24"/>
          <w:lang w:val="it-IT"/>
        </w:rPr>
        <w:t>P10_</w:t>
      </w:r>
      <w:proofErr w:type="gramStart"/>
      <w:r w:rsidRPr="00F802B6">
        <w:rPr>
          <w:sz w:val="24"/>
          <w:lang w:val="it-IT"/>
        </w:rPr>
        <w:t>TA(</w:t>
      </w:r>
      <w:proofErr w:type="gramEnd"/>
      <w:r w:rsidRPr="00F802B6">
        <w:rPr>
          <w:sz w:val="24"/>
          <w:lang w:val="it-IT"/>
        </w:rPr>
        <w:t>2025)0289);</w:t>
      </w:r>
    </w:p>
    <w:p w14:paraId="7A11744D" w14:textId="6A89CE36" w:rsidR="001C2EFD" w:rsidRPr="00F802B6" w:rsidRDefault="00AC3DB3" w:rsidP="00681706">
      <w:pPr>
        <w:pStyle w:val="FootnoteText"/>
        <w:ind w:left="1134" w:hanging="567"/>
        <w:rPr>
          <w:sz w:val="24"/>
          <w:vertAlign w:val="superscript"/>
          <w:lang w:val="it-IT"/>
        </w:rPr>
      </w:pPr>
      <w:r w:rsidRPr="00F802B6">
        <w:rPr>
          <w:color w:val="000000" w:themeColor="text1"/>
          <w:sz w:val="24"/>
          <w:lang w:val="it-IT"/>
        </w:rPr>
        <w:t>–</w:t>
      </w:r>
      <w:r w:rsidRPr="00F802B6">
        <w:rPr>
          <w:color w:val="000000" w:themeColor="text1"/>
          <w:sz w:val="24"/>
          <w:lang w:val="it-IT"/>
        </w:rPr>
        <w:tab/>
      </w:r>
      <w:r w:rsidR="001C2EFD" w:rsidRPr="00F802B6">
        <w:rPr>
          <w:sz w:val="24"/>
          <w:lang w:val="it-IT"/>
        </w:rPr>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001C2EFD" w:rsidRPr="00F802B6">
        <w:rPr>
          <w:sz w:val="24"/>
          <w:lang w:val="it-IT"/>
        </w:rPr>
        <w:t>P10_</w:t>
      </w:r>
      <w:proofErr w:type="gramStart"/>
      <w:r w:rsidR="001C2EFD" w:rsidRPr="00F802B6">
        <w:rPr>
          <w:sz w:val="24"/>
          <w:lang w:val="it-IT"/>
        </w:rPr>
        <w:t>TA(</w:t>
      </w:r>
      <w:proofErr w:type="gramEnd"/>
      <w:r w:rsidR="001C2EFD" w:rsidRPr="00F802B6">
        <w:rPr>
          <w:sz w:val="24"/>
          <w:lang w:val="it-IT"/>
        </w:rPr>
        <w:t>2025)0290);</w:t>
      </w:r>
    </w:p>
    <w:p w14:paraId="0AA7AAE2" w14:textId="43B8CEA6" w:rsidR="001C2EFD" w:rsidRPr="00F802B6" w:rsidRDefault="001C2EFD" w:rsidP="00681706">
      <w:pPr>
        <w:pStyle w:val="FootnoteText"/>
        <w:ind w:left="1134" w:hanging="567"/>
        <w:rPr>
          <w:sz w:val="24"/>
          <w:vertAlign w:val="superscript"/>
          <w:lang w:val="it-IT"/>
        </w:rPr>
      </w:pPr>
      <w:r w:rsidRPr="00F802B6">
        <w:rPr>
          <w:sz w:val="24"/>
          <w:lang w:val="it-IT"/>
        </w:rPr>
        <w:t>–</w:t>
      </w:r>
      <w:r w:rsidRPr="00F802B6">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Pr="00F802B6">
        <w:rPr>
          <w:sz w:val="24"/>
          <w:lang w:val="it-IT"/>
        </w:rPr>
        <w:t>P10_</w:t>
      </w:r>
      <w:proofErr w:type="gramStart"/>
      <w:r w:rsidRPr="00F802B6">
        <w:rPr>
          <w:sz w:val="24"/>
          <w:lang w:val="it-IT"/>
        </w:rPr>
        <w:t>TA(</w:t>
      </w:r>
      <w:proofErr w:type="gramEnd"/>
      <w:r w:rsidRPr="00F802B6">
        <w:rPr>
          <w:sz w:val="24"/>
          <w:lang w:val="it-IT"/>
        </w:rPr>
        <w:t>2025)0291);</w:t>
      </w:r>
    </w:p>
    <w:p w14:paraId="5D534BC9" w14:textId="23DC98C3" w:rsidR="001C2EFD" w:rsidRPr="00F802B6" w:rsidRDefault="00AC3DB3" w:rsidP="00681706">
      <w:pPr>
        <w:pStyle w:val="FootnoteText"/>
        <w:ind w:left="1134" w:hanging="567"/>
        <w:rPr>
          <w:sz w:val="24"/>
          <w:vertAlign w:val="superscript"/>
          <w:lang w:val="it-IT"/>
        </w:rPr>
      </w:pPr>
      <w:r w:rsidRPr="00F802B6">
        <w:rPr>
          <w:color w:val="000000" w:themeColor="text1"/>
          <w:sz w:val="24"/>
          <w:lang w:val="it-IT"/>
        </w:rPr>
        <w:t>–</w:t>
      </w:r>
      <w:r w:rsidRPr="00F802B6">
        <w:rPr>
          <w:color w:val="000000" w:themeColor="text1"/>
          <w:sz w:val="24"/>
          <w:lang w:val="it-IT"/>
        </w:rPr>
        <w:tab/>
      </w:r>
      <w:r w:rsidR="001C2EFD" w:rsidRPr="00F802B6">
        <w:rPr>
          <w:sz w:val="24"/>
          <w:lang w:val="it-IT"/>
        </w:rPr>
        <w:t>risoluzione del Parlamento europeo del 25 novembre 2025 sul progetto di decisione di esecuzione della Commissione che rinnova l'autorizzazione all'immissione in commercio di prodotti contenenti, costituiti da o derivati da granturco geneticamente modificato MON 87427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001C2EFD" w:rsidRPr="00F802B6">
        <w:rPr>
          <w:sz w:val="24"/>
          <w:lang w:val="it-IT"/>
        </w:rPr>
        <w:t>P10_</w:t>
      </w:r>
      <w:proofErr w:type="gramStart"/>
      <w:r w:rsidR="001C2EFD" w:rsidRPr="00F802B6">
        <w:rPr>
          <w:sz w:val="24"/>
          <w:lang w:val="it-IT"/>
        </w:rPr>
        <w:t>TA(</w:t>
      </w:r>
      <w:proofErr w:type="gramEnd"/>
      <w:r w:rsidR="001C2EFD" w:rsidRPr="00F802B6">
        <w:rPr>
          <w:sz w:val="24"/>
          <w:lang w:val="it-IT"/>
        </w:rPr>
        <w:t>2025)0292);</w:t>
      </w:r>
    </w:p>
    <w:p w14:paraId="5F8F33E3" w14:textId="60DD3E3D" w:rsidR="001C2EFD" w:rsidRPr="00F802B6" w:rsidRDefault="00AC3DB3" w:rsidP="00681706">
      <w:pPr>
        <w:pStyle w:val="FootnoteText"/>
        <w:ind w:left="1134" w:hanging="567"/>
        <w:rPr>
          <w:sz w:val="24"/>
          <w:vertAlign w:val="superscript"/>
          <w:lang w:val="it-IT"/>
        </w:rPr>
      </w:pPr>
      <w:r w:rsidRPr="00F802B6">
        <w:rPr>
          <w:color w:val="000000" w:themeColor="text1"/>
          <w:sz w:val="24"/>
          <w:lang w:val="it-IT"/>
        </w:rPr>
        <w:t>–</w:t>
      </w:r>
      <w:r w:rsidRPr="00F802B6">
        <w:rPr>
          <w:color w:val="000000" w:themeColor="text1"/>
          <w:sz w:val="24"/>
          <w:lang w:val="it-IT"/>
        </w:rPr>
        <w:tab/>
      </w:r>
      <w:r w:rsidR="001C2EFD" w:rsidRPr="00F802B6">
        <w:rPr>
          <w:sz w:val="24"/>
          <w:lang w:val="it-IT"/>
        </w:rPr>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001C2EFD" w:rsidRPr="00F802B6">
        <w:rPr>
          <w:sz w:val="24"/>
          <w:lang w:val="it-IT"/>
        </w:rPr>
        <w:t>P10_</w:t>
      </w:r>
      <w:proofErr w:type="gramStart"/>
      <w:r w:rsidR="001C2EFD" w:rsidRPr="00F802B6">
        <w:rPr>
          <w:sz w:val="24"/>
          <w:lang w:val="it-IT"/>
        </w:rPr>
        <w:t>TA(</w:t>
      </w:r>
      <w:proofErr w:type="gramEnd"/>
      <w:r w:rsidR="001C2EFD" w:rsidRPr="00F802B6">
        <w:rPr>
          <w:sz w:val="24"/>
          <w:lang w:val="it-IT"/>
        </w:rPr>
        <w:t>2025)0327);</w:t>
      </w:r>
    </w:p>
    <w:p w14:paraId="13C66B73" w14:textId="22A99C5A" w:rsidR="001C2EFD" w:rsidRPr="00F802B6" w:rsidRDefault="00AC3DB3" w:rsidP="00681706">
      <w:pPr>
        <w:pStyle w:val="FootnoteText"/>
        <w:ind w:left="1134" w:hanging="567"/>
        <w:rPr>
          <w:sz w:val="24"/>
          <w:lang w:val="it-IT"/>
        </w:rPr>
      </w:pPr>
      <w:r w:rsidRPr="00F802B6">
        <w:rPr>
          <w:color w:val="000000" w:themeColor="text1"/>
          <w:sz w:val="24"/>
          <w:lang w:val="it-IT"/>
        </w:rPr>
        <w:t>–</w:t>
      </w:r>
      <w:r w:rsidRPr="00F802B6">
        <w:rPr>
          <w:color w:val="000000" w:themeColor="text1"/>
          <w:sz w:val="24"/>
          <w:lang w:val="it-IT"/>
        </w:rPr>
        <w:tab/>
      </w:r>
      <w:r w:rsidR="001C2EFD" w:rsidRPr="00F802B6">
        <w:rPr>
          <w:sz w:val="24"/>
          <w:lang w:val="it-IT"/>
        </w:rPr>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w:t>
      </w:r>
      <w:r w:rsidR="002A6576" w:rsidRPr="007E7EAD">
        <w:rPr>
          <w:sz w:val="24"/>
          <w:szCs w:val="24"/>
          <w:lang w:val="it-IT"/>
        </w:rPr>
        <w:t>Testi approvati</w:t>
      </w:r>
      <w:r w:rsidR="002A6576">
        <w:rPr>
          <w:sz w:val="24"/>
          <w:szCs w:val="24"/>
          <w:lang w:val="it-IT"/>
        </w:rPr>
        <w:t xml:space="preserve">, </w:t>
      </w:r>
      <w:r w:rsidR="001C2EFD" w:rsidRPr="00F802B6">
        <w:rPr>
          <w:sz w:val="24"/>
          <w:lang w:val="it-IT"/>
        </w:rPr>
        <w:t>P10_</w:t>
      </w:r>
      <w:proofErr w:type="gramStart"/>
      <w:r w:rsidR="001C2EFD" w:rsidRPr="00F802B6">
        <w:rPr>
          <w:sz w:val="24"/>
          <w:lang w:val="it-IT"/>
        </w:rPr>
        <w:t>TA(</w:t>
      </w:r>
      <w:proofErr w:type="gramEnd"/>
      <w:r w:rsidR="001C2EFD" w:rsidRPr="00F802B6">
        <w:rPr>
          <w:sz w:val="24"/>
          <w:lang w:val="it-IT"/>
        </w:rPr>
        <w:t>2025)0328).</w:t>
      </w:r>
    </w:p>
  </w:footnote>
  <w:footnote w:id="5">
    <w:p w14:paraId="3E14E867" w14:textId="1CE0DC8C"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Decisione di esecuzione (UE) 2015/699 della Commissione, del 24 aprile 2015, che autorizza l'immissione in commercio di prodotti contenenti, costituiti od ottenuti a partire da cotone geneticamente modificato T304-40 (BCS-GHØØ4-7) in virtù del regolamento (CE) n. 1829/2003 del Parlamento europeo e del Consiglio (GU L 112 del 30.4.2015, pag. 77, ELI: </w:t>
      </w:r>
      <w:hyperlink r:id="rId14" w:tooltip="Il link dà accesso al documento tramite il relativo URI ELI." w:history="1">
        <w:r w:rsidRPr="00F802B6">
          <w:rPr>
            <w:rStyle w:val="Hyperlink"/>
            <w:sz w:val="24"/>
            <w:lang w:val="it-IT"/>
          </w:rPr>
          <w:t>http://data.europa.eu/eli/</w:t>
        </w:r>
        <w:proofErr w:type="spellStart"/>
        <w:r w:rsidRPr="00F802B6">
          <w:rPr>
            <w:rStyle w:val="Hyperlink"/>
            <w:sz w:val="24"/>
            <w:lang w:val="it-IT"/>
          </w:rPr>
          <w:t>dec_impl</w:t>
        </w:r>
        <w:proofErr w:type="spellEnd"/>
        <w:r w:rsidRPr="00F802B6">
          <w:rPr>
            <w:rStyle w:val="Hyperlink"/>
            <w:sz w:val="24"/>
            <w:lang w:val="it-IT"/>
          </w:rPr>
          <w:t>/2015/699/</w:t>
        </w:r>
        <w:proofErr w:type="spellStart"/>
        <w:r w:rsidRPr="00F802B6">
          <w:rPr>
            <w:rStyle w:val="Hyperlink"/>
            <w:sz w:val="24"/>
            <w:lang w:val="it-IT"/>
          </w:rPr>
          <w:t>oj</w:t>
        </w:r>
        <w:proofErr w:type="spellEnd"/>
      </w:hyperlink>
      <w:r w:rsidRPr="00F802B6">
        <w:rPr>
          <w:sz w:val="24"/>
          <w:lang w:val="it-IT"/>
        </w:rPr>
        <w:t>).</w:t>
      </w:r>
    </w:p>
  </w:footnote>
  <w:footnote w:id="6">
    <w:p w14:paraId="43249827" w14:textId="5ACD8FAF"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Decisione di esecuzione (UE) 2019/1195 della Commissione, del 10 luglio 2019, che modifica le decisioni 2008/730/CE, 2008/837/CE, 2009/184/CE, 2011/354/UE e le decisioni di esecuzione 2012/81/UE, 2013/327/UE, (UE) 2015/690, (UE) 2015/697, (UE) 2015/699, (UE) 2016/1215, (UE) 2017/1208 e (UE) 2017/2451 per quanto riguarda il titolare dell'autorizzazione e il rappresentante per l'immissione in commercio di soia, cotone, colza e granturco geneticamente modificati (GU L 187 del 12.7.2019, pag. 43, ELI: </w:t>
      </w:r>
      <w:hyperlink r:id="rId15" w:tooltip="Il link dà accesso al documento tramite il relativo URI ELI." w:history="1">
        <w:r w:rsidRPr="00F802B6">
          <w:rPr>
            <w:rStyle w:val="Hyperlink"/>
            <w:sz w:val="24"/>
            <w:lang w:val="it-IT"/>
          </w:rPr>
          <w:t>http://data.europa.eu/eli/</w:t>
        </w:r>
        <w:proofErr w:type="spellStart"/>
        <w:r w:rsidRPr="00F802B6">
          <w:rPr>
            <w:rStyle w:val="Hyperlink"/>
            <w:sz w:val="24"/>
            <w:lang w:val="it-IT"/>
          </w:rPr>
          <w:t>dec_impl</w:t>
        </w:r>
        <w:proofErr w:type="spellEnd"/>
        <w:r w:rsidRPr="00F802B6">
          <w:rPr>
            <w:rStyle w:val="Hyperlink"/>
            <w:sz w:val="24"/>
            <w:lang w:val="it-IT"/>
          </w:rPr>
          <w:t>/2019/1195/</w:t>
        </w:r>
        <w:proofErr w:type="spellStart"/>
        <w:r w:rsidRPr="00F802B6">
          <w:rPr>
            <w:rStyle w:val="Hyperlink"/>
            <w:sz w:val="24"/>
            <w:lang w:val="it-IT"/>
          </w:rPr>
          <w:t>oj</w:t>
        </w:r>
        <w:proofErr w:type="spellEnd"/>
      </w:hyperlink>
      <w:r w:rsidRPr="00F802B6">
        <w:rPr>
          <w:sz w:val="24"/>
          <w:lang w:val="it-IT"/>
        </w:rPr>
        <w:t xml:space="preserve">). </w:t>
      </w:r>
    </w:p>
  </w:footnote>
  <w:footnote w:id="7">
    <w:p w14:paraId="6DEDD6BF" w14:textId="05A87035"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 xml:space="preserve">Parere del gruppo di esperti scientifici dell'EFSA sugli organismi geneticamente modificati relativo alla valutazione del cotone geneticamente modificato T304-40 per il rinnovo dell'autorizzazione a norma del regolamento (CE) n. 1829/2003 (dossier GMFF-2024-23010), </w:t>
      </w:r>
      <w:r w:rsidRPr="00F802B6">
        <w:rPr>
          <w:i/>
          <w:sz w:val="24"/>
          <w:lang w:val="it-IT"/>
        </w:rPr>
        <w:t>EFSA Journal</w:t>
      </w:r>
      <w:r w:rsidRPr="00F802B6">
        <w:rPr>
          <w:sz w:val="24"/>
          <w:lang w:val="it-IT"/>
        </w:rPr>
        <w:t>, 2025,23(7</w:t>
      </w:r>
      <w:proofErr w:type="gramStart"/>
      <w:r w:rsidRPr="00F802B6">
        <w:rPr>
          <w:sz w:val="24"/>
          <w:lang w:val="it-IT"/>
        </w:rPr>
        <w:t>):e</w:t>
      </w:r>
      <w:proofErr w:type="gramEnd"/>
      <w:r w:rsidRPr="00F802B6">
        <w:rPr>
          <w:sz w:val="24"/>
          <w:lang w:val="it-IT"/>
        </w:rPr>
        <w:t xml:space="preserve">9580, </w:t>
      </w:r>
      <w:hyperlink r:id="rId16" w:history="1">
        <w:r w:rsidRPr="00F802B6">
          <w:rPr>
            <w:sz w:val="24"/>
            <w:lang w:val="it-IT"/>
          </w:rPr>
          <w:t>https://doi.org/10.2903/j.efsa.2025.9580</w:t>
        </w:r>
      </w:hyperlink>
      <w:r w:rsidRPr="00F802B6">
        <w:rPr>
          <w:sz w:val="24"/>
          <w:lang w:val="it-IT"/>
        </w:rPr>
        <w:t>.</w:t>
      </w:r>
    </w:p>
  </w:footnote>
  <w:footnote w:id="8">
    <w:p w14:paraId="585461A2" w14:textId="5E43B7DA"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 xml:space="preserve">Parere del gruppo di esperti scientifici dell'EFSA sugli organismi geneticamente modificati relativo alla domanda EFSA-GMO-NL-2011-97 di immissione in commercio di cotone geneticamente modificato T304-40 resistente agli insetti e agli erbicidi a fini di alimentazione umana e animale, importazione e lavorazione a norma del regolamento (CE) n. 1829/2003 presentata da Bayer </w:t>
      </w:r>
      <w:proofErr w:type="spellStart"/>
      <w:r w:rsidRPr="00F802B6">
        <w:rPr>
          <w:sz w:val="24"/>
          <w:lang w:val="it-IT"/>
        </w:rPr>
        <w:t>CropScience</w:t>
      </w:r>
      <w:proofErr w:type="spellEnd"/>
      <w:r w:rsidRPr="00F802B6">
        <w:rPr>
          <w:sz w:val="24"/>
          <w:lang w:val="it-IT"/>
        </w:rPr>
        <w:t xml:space="preserve"> AG), </w:t>
      </w:r>
      <w:r w:rsidRPr="00F802B6">
        <w:rPr>
          <w:i/>
          <w:sz w:val="24"/>
          <w:lang w:val="it-IT"/>
        </w:rPr>
        <w:t>EFSA Journal</w:t>
      </w:r>
      <w:r w:rsidRPr="00F802B6">
        <w:rPr>
          <w:sz w:val="24"/>
          <w:lang w:val="it-IT"/>
        </w:rPr>
        <w:t xml:space="preserve">, 2013, 11(6): 3251, </w:t>
      </w:r>
      <w:hyperlink r:id="rId17" w:history="1">
        <w:r w:rsidRPr="00F802B6">
          <w:rPr>
            <w:sz w:val="24"/>
            <w:lang w:val="it-IT"/>
          </w:rPr>
          <w:t>https://doi.org/10.2903/j.efsa.2013.3251</w:t>
        </w:r>
      </w:hyperlink>
      <w:r w:rsidRPr="00F802B6">
        <w:rPr>
          <w:sz w:val="24"/>
          <w:lang w:val="it-IT"/>
        </w:rPr>
        <w:t>.</w:t>
      </w:r>
    </w:p>
  </w:footnote>
  <w:footnote w:id="9">
    <w:p w14:paraId="3832749F" w14:textId="56BE1E11"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shd w:val="clear" w:color="auto" w:fill="FFFFFF"/>
          <w:lang w:val="it-IT"/>
        </w:rPr>
        <w:t xml:space="preserve"> </w:t>
      </w:r>
      <w:r w:rsidR="00F802B6" w:rsidRPr="00F802B6">
        <w:rPr>
          <w:sz w:val="24"/>
          <w:shd w:val="clear" w:color="auto" w:fill="FFFFFF"/>
          <w:lang w:val="it-IT"/>
        </w:rPr>
        <w:tab/>
      </w:r>
      <w:r w:rsidRPr="00F802B6">
        <w:rPr>
          <w:sz w:val="24"/>
          <w:shd w:val="clear" w:color="auto" w:fill="FFFFFF"/>
          <w:lang w:val="it-IT"/>
        </w:rPr>
        <w:t>Cfr., ad esempio, Bonny, S., "</w:t>
      </w:r>
      <w:proofErr w:type="spellStart"/>
      <w:r w:rsidRPr="00F802B6">
        <w:rPr>
          <w:sz w:val="24"/>
          <w:shd w:val="clear" w:color="auto" w:fill="FFFFFF"/>
          <w:lang w:val="it-IT"/>
        </w:rPr>
        <w:t>Genetically</w:t>
      </w:r>
      <w:proofErr w:type="spellEnd"/>
      <w:r w:rsidRPr="00F802B6">
        <w:rPr>
          <w:sz w:val="24"/>
          <w:shd w:val="clear" w:color="auto" w:fill="FFFFFF"/>
          <w:lang w:val="it-IT"/>
        </w:rPr>
        <w:t xml:space="preserve"> </w:t>
      </w:r>
      <w:proofErr w:type="spellStart"/>
      <w:r w:rsidRPr="00F802B6">
        <w:rPr>
          <w:sz w:val="24"/>
          <w:shd w:val="clear" w:color="auto" w:fill="FFFFFF"/>
          <w:lang w:val="it-IT"/>
        </w:rPr>
        <w:t>Modified</w:t>
      </w:r>
      <w:proofErr w:type="spellEnd"/>
      <w:r w:rsidRPr="00F802B6">
        <w:rPr>
          <w:sz w:val="24"/>
          <w:shd w:val="clear" w:color="auto" w:fill="FFFFFF"/>
          <w:lang w:val="it-IT"/>
        </w:rPr>
        <w:t xml:space="preserve"> </w:t>
      </w:r>
      <w:proofErr w:type="spellStart"/>
      <w:r w:rsidRPr="00F802B6">
        <w:rPr>
          <w:sz w:val="24"/>
          <w:shd w:val="clear" w:color="auto" w:fill="FFFFFF"/>
          <w:lang w:val="it-IT"/>
        </w:rPr>
        <w:t>Herbicide-Tolerant</w:t>
      </w:r>
      <w:proofErr w:type="spellEnd"/>
      <w:r w:rsidRPr="00F802B6">
        <w:rPr>
          <w:sz w:val="24"/>
          <w:shd w:val="clear" w:color="auto" w:fill="FFFFFF"/>
          <w:lang w:val="it-IT"/>
        </w:rPr>
        <w:t xml:space="preserve"> </w:t>
      </w:r>
      <w:proofErr w:type="spellStart"/>
      <w:r w:rsidRPr="00F802B6">
        <w:rPr>
          <w:sz w:val="24"/>
          <w:shd w:val="clear" w:color="auto" w:fill="FFFFFF"/>
          <w:lang w:val="it-IT"/>
        </w:rPr>
        <w:t>Crops</w:t>
      </w:r>
      <w:proofErr w:type="spellEnd"/>
      <w:r w:rsidRPr="00F802B6">
        <w:rPr>
          <w:sz w:val="24"/>
          <w:shd w:val="clear" w:color="auto" w:fill="FFFFFF"/>
          <w:lang w:val="it-IT"/>
        </w:rPr>
        <w:t xml:space="preserve">, </w:t>
      </w:r>
      <w:proofErr w:type="spellStart"/>
      <w:r w:rsidRPr="00F802B6">
        <w:rPr>
          <w:sz w:val="24"/>
          <w:shd w:val="clear" w:color="auto" w:fill="FFFFFF"/>
          <w:lang w:val="it-IT"/>
        </w:rPr>
        <w:t>Weeds</w:t>
      </w:r>
      <w:proofErr w:type="spellEnd"/>
      <w:r w:rsidRPr="00F802B6">
        <w:rPr>
          <w:sz w:val="24"/>
          <w:shd w:val="clear" w:color="auto" w:fill="FFFFFF"/>
          <w:lang w:val="it-IT"/>
        </w:rPr>
        <w:t xml:space="preserve">, and </w:t>
      </w:r>
      <w:proofErr w:type="spellStart"/>
      <w:r w:rsidRPr="00F802B6">
        <w:rPr>
          <w:sz w:val="24"/>
          <w:shd w:val="clear" w:color="auto" w:fill="FFFFFF"/>
          <w:lang w:val="it-IT"/>
        </w:rPr>
        <w:t>Herbicides</w:t>
      </w:r>
      <w:proofErr w:type="spellEnd"/>
      <w:r w:rsidRPr="00F802B6">
        <w:rPr>
          <w:sz w:val="24"/>
          <w:shd w:val="clear" w:color="auto" w:fill="FFFFFF"/>
          <w:lang w:val="it-IT"/>
        </w:rPr>
        <w:t xml:space="preserve">: </w:t>
      </w:r>
      <w:proofErr w:type="spellStart"/>
      <w:r w:rsidRPr="00F802B6">
        <w:rPr>
          <w:sz w:val="24"/>
          <w:lang w:val="it-IT"/>
        </w:rPr>
        <w:t>Overview</w:t>
      </w:r>
      <w:proofErr w:type="spellEnd"/>
      <w:r w:rsidRPr="00F802B6">
        <w:rPr>
          <w:sz w:val="24"/>
          <w:lang w:val="it-IT"/>
        </w:rPr>
        <w:t xml:space="preserve"> and Impact" (Colture geneticamente modificate resistenti agli erbicidi, piante infestanti ed erbicidi: panoramica e conseguenze), </w:t>
      </w:r>
      <w:proofErr w:type="spellStart"/>
      <w:r w:rsidRPr="00F802B6">
        <w:rPr>
          <w:i/>
          <w:sz w:val="24"/>
          <w:lang w:val="it-IT"/>
        </w:rPr>
        <w:t>Environmental</w:t>
      </w:r>
      <w:proofErr w:type="spellEnd"/>
      <w:r w:rsidRPr="00F802B6">
        <w:rPr>
          <w:i/>
          <w:sz w:val="24"/>
          <w:lang w:val="it-IT"/>
        </w:rPr>
        <w:t xml:space="preserve"> Management</w:t>
      </w:r>
      <w:r w:rsidRPr="00F802B6">
        <w:rPr>
          <w:sz w:val="24"/>
          <w:lang w:val="it-IT"/>
        </w:rPr>
        <w:t xml:space="preserve">, gennaio 2016, 57(1), pagg. 31-48, </w:t>
      </w:r>
      <w:hyperlink r:id="rId18" w:history="1">
        <w:r w:rsidRPr="00F802B6">
          <w:rPr>
            <w:rStyle w:val="Hyperlink"/>
            <w:sz w:val="24"/>
            <w:shd w:val="clear" w:color="auto" w:fill="FFFFFF"/>
            <w:lang w:val="it-IT"/>
          </w:rPr>
          <w:t>https://doi.org/10.1007/s00267-015-0589-7</w:t>
        </w:r>
      </w:hyperlink>
      <w:r w:rsidRPr="00F802B6">
        <w:rPr>
          <w:sz w:val="24"/>
          <w:lang w:val="it-IT"/>
        </w:rPr>
        <w:t xml:space="preserve">, e </w:t>
      </w:r>
      <w:proofErr w:type="spellStart"/>
      <w:r w:rsidRPr="00F802B6">
        <w:rPr>
          <w:sz w:val="24"/>
          <w:lang w:val="it-IT"/>
        </w:rPr>
        <w:t>Benbrook</w:t>
      </w:r>
      <w:proofErr w:type="spellEnd"/>
      <w:r w:rsidRPr="00F802B6">
        <w:rPr>
          <w:sz w:val="24"/>
          <w:lang w:val="it-IT"/>
        </w:rPr>
        <w:t xml:space="preserve">, C.M., "Impacts of </w:t>
      </w:r>
      <w:proofErr w:type="spellStart"/>
      <w:r w:rsidRPr="00F802B6">
        <w:rPr>
          <w:sz w:val="24"/>
          <w:lang w:val="it-IT"/>
        </w:rPr>
        <w:t>genetically</w:t>
      </w:r>
      <w:proofErr w:type="spellEnd"/>
      <w:r w:rsidRPr="00F802B6">
        <w:rPr>
          <w:sz w:val="24"/>
          <w:lang w:val="it-IT"/>
        </w:rPr>
        <w:t xml:space="preserve"> </w:t>
      </w:r>
      <w:proofErr w:type="spellStart"/>
      <w:r w:rsidRPr="00F802B6">
        <w:rPr>
          <w:sz w:val="24"/>
          <w:lang w:val="it-IT"/>
        </w:rPr>
        <w:t>engineered</w:t>
      </w:r>
      <w:proofErr w:type="spellEnd"/>
      <w:r w:rsidRPr="00F802B6">
        <w:rPr>
          <w:sz w:val="24"/>
          <w:lang w:val="it-IT"/>
        </w:rPr>
        <w:t xml:space="preserve"> </w:t>
      </w:r>
      <w:proofErr w:type="spellStart"/>
      <w:r w:rsidRPr="00F802B6">
        <w:rPr>
          <w:sz w:val="24"/>
          <w:lang w:val="it-IT"/>
        </w:rPr>
        <w:t>crops</w:t>
      </w:r>
      <w:proofErr w:type="spellEnd"/>
      <w:r w:rsidRPr="00F802B6">
        <w:rPr>
          <w:sz w:val="24"/>
          <w:lang w:val="it-IT"/>
        </w:rPr>
        <w:t xml:space="preserve"> on </w:t>
      </w:r>
      <w:proofErr w:type="spellStart"/>
      <w:r w:rsidRPr="00F802B6">
        <w:rPr>
          <w:sz w:val="24"/>
          <w:lang w:val="it-IT"/>
        </w:rPr>
        <w:t>pesticide</w:t>
      </w:r>
      <w:proofErr w:type="spellEnd"/>
      <w:r w:rsidRPr="00F802B6">
        <w:rPr>
          <w:sz w:val="24"/>
          <w:lang w:val="it-IT"/>
        </w:rPr>
        <w:t xml:space="preserve"> use in the U.S. – the first </w:t>
      </w:r>
      <w:proofErr w:type="spellStart"/>
      <w:r w:rsidRPr="00F802B6">
        <w:rPr>
          <w:sz w:val="24"/>
          <w:lang w:val="it-IT"/>
        </w:rPr>
        <w:t>sixteen</w:t>
      </w:r>
      <w:proofErr w:type="spellEnd"/>
      <w:r w:rsidRPr="00F802B6">
        <w:rPr>
          <w:sz w:val="24"/>
          <w:lang w:val="it-IT"/>
        </w:rPr>
        <w:t xml:space="preserve"> </w:t>
      </w:r>
      <w:proofErr w:type="spellStart"/>
      <w:r w:rsidRPr="00F802B6">
        <w:rPr>
          <w:sz w:val="24"/>
          <w:lang w:val="it-IT"/>
        </w:rPr>
        <w:t>years</w:t>
      </w:r>
      <w:proofErr w:type="spellEnd"/>
      <w:r w:rsidRPr="00F802B6">
        <w:rPr>
          <w:sz w:val="24"/>
          <w:lang w:val="it-IT"/>
        </w:rPr>
        <w:t xml:space="preserve">" (Effetti delle colture geneticamente modificate sull'uso di pesticidi negli Stati Uniti – i primi sedici anni), </w:t>
      </w:r>
      <w:proofErr w:type="spellStart"/>
      <w:r w:rsidRPr="00F802B6">
        <w:rPr>
          <w:i/>
          <w:sz w:val="24"/>
          <w:lang w:val="it-IT"/>
        </w:rPr>
        <w:t>Environmental</w:t>
      </w:r>
      <w:proofErr w:type="spellEnd"/>
      <w:r w:rsidRPr="00F802B6">
        <w:rPr>
          <w:i/>
          <w:sz w:val="24"/>
          <w:lang w:val="it-IT"/>
        </w:rPr>
        <w:t xml:space="preserve"> Sciences Europe</w:t>
      </w:r>
      <w:r w:rsidRPr="00F802B6">
        <w:rPr>
          <w:sz w:val="24"/>
          <w:lang w:val="it-IT"/>
        </w:rPr>
        <w:t xml:space="preserve">, 28 settembre 2012, vol. 24(1), </w:t>
      </w:r>
      <w:hyperlink r:id="rId19" w:history="1">
        <w:r w:rsidRPr="00F802B6">
          <w:rPr>
            <w:rStyle w:val="Hyperlink"/>
            <w:sz w:val="24"/>
            <w:shd w:val="clear" w:color="auto" w:fill="FFFFFF"/>
            <w:lang w:val="it-IT"/>
          </w:rPr>
          <w:t>https://doi.org/10.1186/2190-4715-24-24</w:t>
        </w:r>
      </w:hyperlink>
      <w:r w:rsidRPr="00F802B6">
        <w:rPr>
          <w:sz w:val="24"/>
          <w:lang w:val="it-IT"/>
        </w:rPr>
        <w:t>.</w:t>
      </w:r>
      <w:r w:rsidRPr="00F802B6">
        <w:rPr>
          <w:sz w:val="24"/>
          <w:shd w:val="clear" w:color="auto" w:fill="FFFFFF"/>
          <w:lang w:val="it-IT"/>
        </w:rPr>
        <w:t xml:space="preserve"> </w:t>
      </w:r>
    </w:p>
  </w:footnote>
  <w:footnote w:id="10">
    <w:p w14:paraId="3E76361B" w14:textId="4C7A896A"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Cfr. ad esempio:</w:t>
      </w:r>
      <w:r w:rsidR="002C213E">
        <w:rPr>
          <w:sz w:val="24"/>
          <w:lang w:val="it-IT"/>
        </w:rPr>
        <w:t xml:space="preserve"> </w:t>
      </w:r>
      <w:hyperlink r:id="rId20" w:history="1">
        <w:r w:rsidRPr="00F802B6">
          <w:rPr>
            <w:rStyle w:val="Hyperlink"/>
            <w:sz w:val="24"/>
            <w:lang w:val="it-IT"/>
          </w:rPr>
          <w:t>https://doi.org/10.1002/ps.8105</w:t>
        </w:r>
      </w:hyperlink>
      <w:r w:rsidRPr="00F802B6">
        <w:rPr>
          <w:sz w:val="24"/>
          <w:lang w:val="it-IT"/>
        </w:rPr>
        <w:t xml:space="preserve"> e</w:t>
      </w:r>
      <w:r w:rsidR="002C213E">
        <w:rPr>
          <w:sz w:val="24"/>
          <w:lang w:val="it-IT"/>
        </w:rPr>
        <w:t xml:space="preserve"> </w:t>
      </w:r>
      <w:hyperlink r:id="rId21" w:history="1">
        <w:r w:rsidRPr="00F802B6">
          <w:rPr>
            <w:rStyle w:val="Hyperlink"/>
            <w:sz w:val="24"/>
            <w:lang w:val="it-IT"/>
          </w:rPr>
          <w:t>https://doi.org/10.1016/j.geoforum.2009.03.009</w:t>
        </w:r>
      </w:hyperlink>
      <w:r w:rsidRPr="00F802B6">
        <w:rPr>
          <w:sz w:val="24"/>
          <w:lang w:val="it-IT"/>
        </w:rPr>
        <w:t>.</w:t>
      </w:r>
    </w:p>
  </w:footnote>
  <w:footnote w:id="11">
    <w:p w14:paraId="5806891E" w14:textId="3F854346"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Regolamento (CE) n. 1107/2009 del Parlamento europeo e del Consiglio, del 21 ottobre 2009, relativo all'immissione sul mercato dei prodotti fitosanitari e che abroga le direttive del Consiglio 79/117/CEE e 91/414/CEE (GU L 309 del 24.11.2009, pag. 1, ELI: </w:t>
      </w:r>
      <w:hyperlink r:id="rId22" w:history="1">
        <w:r w:rsidRPr="00F802B6">
          <w:rPr>
            <w:rStyle w:val="Hyperlink"/>
            <w:sz w:val="24"/>
            <w:lang w:val="it-IT"/>
          </w:rPr>
          <w:t>http://data.europa.eu/eli/reg/2009/1107/</w:t>
        </w:r>
        <w:proofErr w:type="spellStart"/>
        <w:r w:rsidRPr="00F802B6">
          <w:rPr>
            <w:rStyle w:val="Hyperlink"/>
            <w:sz w:val="24"/>
            <w:lang w:val="it-IT"/>
          </w:rPr>
          <w:t>oj</w:t>
        </w:r>
        <w:proofErr w:type="spellEnd"/>
      </w:hyperlink>
      <w:r w:rsidRPr="00F802B6">
        <w:rPr>
          <w:sz w:val="24"/>
          <w:lang w:val="it-IT"/>
        </w:rPr>
        <w:t>).</w:t>
      </w:r>
    </w:p>
  </w:footnote>
  <w:footnote w:id="12">
    <w:p w14:paraId="0DC71F8A" w14:textId="086964D4"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color w:val="000000" w:themeColor="text1"/>
          <w:sz w:val="24"/>
          <w:lang w:val="it-IT"/>
        </w:rPr>
        <w:t xml:space="preserve"> </w:t>
      </w:r>
      <w:r w:rsidR="00F802B6" w:rsidRPr="00F802B6">
        <w:rPr>
          <w:color w:val="000000" w:themeColor="text1"/>
          <w:sz w:val="24"/>
          <w:lang w:val="it-IT"/>
        </w:rPr>
        <w:tab/>
      </w:r>
      <w:r w:rsidRPr="00F802B6">
        <w:rPr>
          <w:color w:val="000000" w:themeColor="text1"/>
          <w:sz w:val="24"/>
          <w:lang w:val="it-IT"/>
        </w:rPr>
        <w:t xml:space="preserve">Nel dicembre 2022, in occasione della COP15 della Convenzione delle Nazioni Unite sulla diversità biologica, è stato concordato un quadro globale sulla biodiversità che comprende un obiettivo globale di riduzione del rischio di pesticidi di almeno il 50 % entro il 2030 (cfr. </w:t>
      </w:r>
      <w:hyperlink r:id="rId23" w:history="1">
        <w:r w:rsidRPr="00F802B6">
          <w:rPr>
            <w:rStyle w:val="Hyperlink"/>
            <w:sz w:val="24"/>
            <w:lang w:val="it-IT"/>
          </w:rPr>
          <w:t>https://ec.europa.eu/commission/presscorner/detail/it/ip_22_7834</w:t>
        </w:r>
      </w:hyperlink>
      <w:r w:rsidRPr="00F802B6">
        <w:rPr>
          <w:sz w:val="24"/>
          <w:lang w:val="it-IT"/>
        </w:rPr>
        <w:t xml:space="preserve">). </w:t>
      </w:r>
    </w:p>
  </w:footnote>
  <w:footnote w:id="13">
    <w:p w14:paraId="2B11AA3B" w14:textId="726A5188"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hyperlink r:id="rId24" w:history="1">
        <w:r w:rsidRPr="00F802B6">
          <w:rPr>
            <w:rStyle w:val="Hyperlink"/>
            <w:sz w:val="24"/>
            <w:lang w:val="it-IT"/>
          </w:rPr>
          <w:t>https://commission.europa.eu/strategy-and-policy/priorities-2019-2024/european-green-deal/agriculture-and-green-deal/strategic-dialogue-future-eu-agriculture_it</w:t>
        </w:r>
      </w:hyperlink>
      <w:r w:rsidRPr="00F802B6">
        <w:rPr>
          <w:sz w:val="24"/>
          <w:lang w:val="it-IT"/>
        </w:rPr>
        <w:t xml:space="preserve">. </w:t>
      </w:r>
    </w:p>
  </w:footnote>
  <w:footnote w:id="14">
    <w:p w14:paraId="5FBC5CA5" w14:textId="4DA86AED" w:rsidR="001C2EFD" w:rsidRPr="00F802B6" w:rsidRDefault="001C2EFD" w:rsidP="00F802B6">
      <w:pPr>
        <w:pStyle w:val="FootnoteText"/>
        <w:ind w:left="567" w:hanging="567"/>
        <w:rPr>
          <w:sz w:val="24"/>
          <w:lang w:val="it-IT"/>
        </w:rPr>
      </w:pPr>
      <w:r w:rsidRPr="00F802B6">
        <w:rPr>
          <w:rStyle w:val="FootnoteReference"/>
          <w:sz w:val="24"/>
          <w:lang w:val="it-IT"/>
        </w:rPr>
        <w:footnoteRef/>
      </w:r>
      <w:r w:rsidR="00F802B6" w:rsidRPr="00F802B6">
        <w:rPr>
          <w:sz w:val="24"/>
          <w:lang w:val="it-IT"/>
        </w:rPr>
        <w:t xml:space="preserve"> </w:t>
      </w:r>
      <w:r w:rsidR="00F802B6" w:rsidRPr="00F802B6">
        <w:rPr>
          <w:sz w:val="24"/>
          <w:lang w:val="it-IT"/>
        </w:rPr>
        <w:tab/>
      </w:r>
      <w:r w:rsidRPr="00F802B6">
        <w:rPr>
          <w:sz w:val="24"/>
          <w:lang w:val="it-IT"/>
        </w:rPr>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w:t>
      </w:r>
      <w:r w:rsidRPr="00F802B6">
        <w:rPr>
          <w:color w:val="000000" w:themeColor="text1"/>
          <w:sz w:val="24"/>
          <w:lang w:val="it-IT"/>
        </w:rPr>
        <w:t> </w:t>
      </w:r>
      <w:hyperlink r:id="rId25" w:tgtFrame="Gives access to this document through its ELI URI." w:history="1">
        <w:r w:rsidRPr="00F802B6">
          <w:rPr>
            <w:rStyle w:val="Hyperlink"/>
            <w:color w:val="0070C0"/>
            <w:sz w:val="24"/>
            <w:lang w:val="it-IT"/>
          </w:rPr>
          <w:t>http://data.europa.eu/eli/reg/2002/178/</w:t>
        </w:r>
        <w:proofErr w:type="spellStart"/>
        <w:r w:rsidRPr="00F802B6">
          <w:rPr>
            <w:rStyle w:val="Hyperlink"/>
            <w:color w:val="0070C0"/>
            <w:sz w:val="24"/>
            <w:lang w:val="it-IT"/>
          </w:rPr>
          <w:t>oj</w:t>
        </w:r>
        <w:proofErr w:type="spellEnd"/>
      </w:hyperlink>
      <w:r w:rsidRPr="00F802B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C3561" w14:textId="77777777" w:rsidR="00064002" w:rsidRPr="00F802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047E" w14:textId="77777777" w:rsidR="00064002" w:rsidRPr="00F802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67B2" w14:textId="77777777" w:rsidR="00064002" w:rsidRPr="00F802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5767923">
    <w:abstractNumId w:val="9"/>
  </w:num>
  <w:num w:numId="2" w16cid:durableId="1423528811">
    <w:abstractNumId w:val="9"/>
  </w:num>
  <w:num w:numId="3" w16cid:durableId="1380669794">
    <w:abstractNumId w:val="7"/>
  </w:num>
  <w:num w:numId="4" w16cid:durableId="816872827">
    <w:abstractNumId w:val="7"/>
  </w:num>
  <w:num w:numId="5" w16cid:durableId="717819327">
    <w:abstractNumId w:val="6"/>
  </w:num>
  <w:num w:numId="6" w16cid:durableId="623583052">
    <w:abstractNumId w:val="6"/>
  </w:num>
  <w:num w:numId="7" w16cid:durableId="282733602">
    <w:abstractNumId w:val="5"/>
  </w:num>
  <w:num w:numId="8" w16cid:durableId="732579177">
    <w:abstractNumId w:val="5"/>
  </w:num>
  <w:num w:numId="9" w16cid:durableId="2078934439">
    <w:abstractNumId w:val="4"/>
  </w:num>
  <w:num w:numId="10" w16cid:durableId="2052996595">
    <w:abstractNumId w:val="4"/>
  </w:num>
  <w:num w:numId="11" w16cid:durableId="458647309">
    <w:abstractNumId w:val="8"/>
  </w:num>
  <w:num w:numId="12" w16cid:durableId="1309558023">
    <w:abstractNumId w:val="8"/>
  </w:num>
  <w:num w:numId="13" w16cid:durableId="1368405655">
    <w:abstractNumId w:val="3"/>
  </w:num>
  <w:num w:numId="14" w16cid:durableId="1735423443">
    <w:abstractNumId w:val="3"/>
  </w:num>
  <w:num w:numId="15" w16cid:durableId="1702631981">
    <w:abstractNumId w:val="2"/>
  </w:num>
  <w:num w:numId="16" w16cid:durableId="1968973441">
    <w:abstractNumId w:val="2"/>
  </w:num>
  <w:num w:numId="17" w16cid:durableId="1225874378">
    <w:abstractNumId w:val="1"/>
  </w:num>
  <w:num w:numId="18" w16cid:durableId="657686386">
    <w:abstractNumId w:val="1"/>
  </w:num>
  <w:num w:numId="19" w16cid:durableId="99835373">
    <w:abstractNumId w:val="0"/>
  </w:num>
  <w:num w:numId="20" w16cid:durableId="1774789301">
    <w:abstractNumId w:val="0"/>
  </w:num>
  <w:num w:numId="21" w16cid:durableId="344945961">
    <w:abstractNumId w:val="9"/>
  </w:num>
  <w:num w:numId="22" w16cid:durableId="1756780676">
    <w:abstractNumId w:val="7"/>
  </w:num>
  <w:num w:numId="23" w16cid:durableId="285818091">
    <w:abstractNumId w:val="6"/>
  </w:num>
  <w:num w:numId="24" w16cid:durableId="329985503">
    <w:abstractNumId w:val="5"/>
  </w:num>
  <w:num w:numId="25" w16cid:durableId="2085493673">
    <w:abstractNumId w:val="4"/>
  </w:num>
  <w:num w:numId="26" w16cid:durableId="1752700402">
    <w:abstractNumId w:val="8"/>
  </w:num>
  <w:num w:numId="27" w16cid:durableId="2051761668">
    <w:abstractNumId w:val="3"/>
  </w:num>
  <w:num w:numId="28" w16cid:durableId="320080005">
    <w:abstractNumId w:val="2"/>
  </w:num>
  <w:num w:numId="29" w16cid:durableId="565072387">
    <w:abstractNumId w:val="1"/>
  </w:num>
  <w:num w:numId="30" w16cid:durableId="1116606762">
    <w:abstractNumId w:val="0"/>
  </w:num>
  <w:num w:numId="31" w16cid:durableId="766275067">
    <w:abstractNumId w:val="9"/>
  </w:num>
  <w:num w:numId="32" w16cid:durableId="179316624">
    <w:abstractNumId w:val="7"/>
  </w:num>
  <w:num w:numId="33" w16cid:durableId="644892242">
    <w:abstractNumId w:val="6"/>
  </w:num>
  <w:num w:numId="34" w16cid:durableId="1157065886">
    <w:abstractNumId w:val="5"/>
  </w:num>
  <w:num w:numId="35" w16cid:durableId="1512992514">
    <w:abstractNumId w:val="4"/>
  </w:num>
  <w:num w:numId="36" w16cid:durableId="1218936730">
    <w:abstractNumId w:val="8"/>
  </w:num>
  <w:num w:numId="37" w16cid:durableId="889341683">
    <w:abstractNumId w:val="3"/>
  </w:num>
  <w:num w:numId="38" w16cid:durableId="801652601">
    <w:abstractNumId w:val="2"/>
  </w:num>
  <w:num w:numId="39" w16cid:durableId="1789352626">
    <w:abstractNumId w:val="1"/>
  </w:num>
  <w:num w:numId="40" w16cid:durableId="2005693993">
    <w:abstractNumId w:val="0"/>
  </w:num>
  <w:num w:numId="41" w16cid:durableId="1078550535">
    <w:abstractNumId w:val="10"/>
  </w:num>
  <w:num w:numId="42" w16cid:durableId="183446124">
    <w:abstractNumId w:val="10"/>
  </w:num>
  <w:num w:numId="43" w16cid:durableId="1573195683">
    <w:abstractNumId w:val="10"/>
  </w:num>
  <w:num w:numId="44" w16cid:durableId="1359895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IT"/>
    <w:docVar w:name="dvnumam" w:val="0"/>
    <w:docVar w:name="dvpe" w:val="782.164"/>
    <w:docVar w:name="dvtitre" w:val="Risoluzione del Parlamento europeo dell'11 febbraio 2026 sul progetto di decisione di esecuzione della Commissione che rinnova l'autorizzazione all'immissione in commercio di prodotti contenenti, costituiti o derivati da cotone geneticamente modificato T304-40 a norma del regolamento (CE) n. 1829/2003 del Parlamento europeo e del Consiglio(D111477/02 – 2026/2518(RSP))"/>
  </w:docVars>
  <w:rsids>
    <w:rsidRoot w:val="00AF06CB"/>
    <w:rsid w:val="00002272"/>
    <w:rsid w:val="00064002"/>
    <w:rsid w:val="000677B9"/>
    <w:rsid w:val="000831BA"/>
    <w:rsid w:val="000A42CC"/>
    <w:rsid w:val="000E7DD9"/>
    <w:rsid w:val="0010095E"/>
    <w:rsid w:val="00125B37"/>
    <w:rsid w:val="00187494"/>
    <w:rsid w:val="001C2EFD"/>
    <w:rsid w:val="001F32AE"/>
    <w:rsid w:val="002767FF"/>
    <w:rsid w:val="002A6576"/>
    <w:rsid w:val="002B18FE"/>
    <w:rsid w:val="002B5493"/>
    <w:rsid w:val="002C213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706"/>
    <w:rsid w:val="006F74FA"/>
    <w:rsid w:val="00731ADD"/>
    <w:rsid w:val="00734777"/>
    <w:rsid w:val="00747932"/>
    <w:rsid w:val="00751A4A"/>
    <w:rsid w:val="00756632"/>
    <w:rsid w:val="00762C74"/>
    <w:rsid w:val="00786EC0"/>
    <w:rsid w:val="007D1690"/>
    <w:rsid w:val="007E22AD"/>
    <w:rsid w:val="00812D4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DB3"/>
    <w:rsid w:val="00AE0928"/>
    <w:rsid w:val="00AF06CB"/>
    <w:rsid w:val="00AF30D3"/>
    <w:rsid w:val="00AF3B82"/>
    <w:rsid w:val="00B12E95"/>
    <w:rsid w:val="00B22876"/>
    <w:rsid w:val="00B558F0"/>
    <w:rsid w:val="00BA59F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2B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A5833"/>
  <w15:chartTrackingRefBased/>
  <w15:docId w15:val="{890AC5DE-9861-4F15-8009-DB5EFCF8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2EFD"/>
    <w:pPr>
      <w:spacing w:before="480" w:after="240"/>
    </w:pPr>
  </w:style>
  <w:style w:type="paragraph" w:customStyle="1" w:styleId="NormalHanging12a">
    <w:name w:val="NormalHanging12a"/>
    <w:basedOn w:val="Normal"/>
    <w:uiPriority w:val="99"/>
    <w:qFormat/>
    <w:rsid w:val="001C2EFD"/>
    <w:pPr>
      <w:spacing w:after="240"/>
      <w:ind w:left="567" w:hanging="567"/>
    </w:pPr>
  </w:style>
  <w:style w:type="character" w:styleId="Hyperlink">
    <w:name w:val="Hyperlink"/>
    <w:basedOn w:val="DefaultParagraphFont"/>
    <w:uiPriority w:val="99"/>
    <w:rsid w:val="001C2EFD"/>
    <w:rPr>
      <w:color w:val="0563C1" w:themeColor="hyperlink"/>
      <w:u w:val="single"/>
    </w:rPr>
  </w:style>
  <w:style w:type="paragraph" w:styleId="Revision">
    <w:name w:val="Revision"/>
    <w:hidden/>
    <w:uiPriority w:val="99"/>
    <w:semiHidden/>
    <w:rsid w:val="00AF30D3"/>
    <w:rPr>
      <w:sz w:val="24"/>
      <w:lang w:val="it-IT"/>
    </w:rPr>
  </w:style>
  <w:style w:type="character" w:styleId="FollowedHyperlink">
    <w:name w:val="FollowedHyperlink"/>
    <w:basedOn w:val="DefaultParagraphFont"/>
    <w:rsid w:val="00AC3D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87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it"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it/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CL_RELEC</dc:creator>
  <cp:keywords/>
  <cp:lastModifiedBy>CL_relec</cp:lastModifiedBy>
  <cp:revision>2</cp:revision>
  <cp:lastPrinted>2004-11-19T15:42:00Z</cp:lastPrinted>
  <dcterms:created xsi:type="dcterms:W3CDTF">2026-02-11T11:50:00Z</dcterms:created>
  <dcterms:modified xsi:type="dcterms:W3CDTF">2026-02-11T11:50:00Z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B10-0108/2026</vt:lpwstr>
  </property>
  <property fmtid="{D5CDD505-2E9C-101B-9397-08002B2CF9AE}" pid="4" name="&lt;Type&gt;">
    <vt:lpwstr>RR</vt:lpwstr>
  </property>
</Properties>
</file>