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2FC" w14:paraId="09C986E1" w14:textId="77777777" w:rsidTr="0010095E">
        <w:trPr>
          <w:trHeight w:hRule="exact" w:val="1418"/>
        </w:trPr>
        <w:tc>
          <w:tcPr>
            <w:tcW w:w="6804" w:type="dxa"/>
            <w:shd w:val="clear" w:color="auto" w:fill="auto"/>
            <w:vAlign w:val="center"/>
          </w:tcPr>
          <w:p w14:paraId="03CFA740" w14:textId="77777777" w:rsidR="00751A4A" w:rsidRPr="007472FC" w:rsidRDefault="00ED6767" w:rsidP="0010095E">
            <w:pPr>
              <w:pStyle w:val="EPName"/>
            </w:pPr>
            <w:r w:rsidRPr="007472FC">
              <w:t>Parlamentul European</w:t>
            </w:r>
          </w:p>
          <w:p w14:paraId="505006E2" w14:textId="77777777" w:rsidR="00751A4A" w:rsidRPr="007472FC" w:rsidRDefault="005F1B17" w:rsidP="005F1B17">
            <w:pPr>
              <w:pStyle w:val="EPTerm"/>
              <w:rPr>
                <w:rStyle w:val="HideTWBExt"/>
                <w:noProof w:val="0"/>
                <w:vanish w:val="0"/>
                <w:color w:val="auto"/>
              </w:rPr>
            </w:pPr>
            <w:r w:rsidRPr="007472FC">
              <w:t>2024</w:t>
            </w:r>
            <w:r w:rsidR="00817416" w:rsidRPr="007472FC">
              <w:t>-202</w:t>
            </w:r>
            <w:r w:rsidRPr="007472FC">
              <w:t>9</w:t>
            </w:r>
          </w:p>
        </w:tc>
        <w:tc>
          <w:tcPr>
            <w:tcW w:w="2268" w:type="dxa"/>
            <w:shd w:val="clear" w:color="auto" w:fill="auto"/>
          </w:tcPr>
          <w:p w14:paraId="2924F4A1" w14:textId="77777777" w:rsidR="00751A4A" w:rsidRPr="007472FC" w:rsidRDefault="00187494" w:rsidP="0010095E">
            <w:pPr>
              <w:pStyle w:val="EPLogo"/>
            </w:pPr>
            <w:r w:rsidRPr="007472FC">
              <w:rPr>
                <w:noProof/>
                <w:lang w:eastAsia="ja-JP"/>
              </w:rPr>
              <w:drawing>
                <wp:inline distT="0" distB="0" distL="0" distR="0" wp14:anchorId="070848BF" wp14:editId="63DB7B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4816AB" w14:textId="77777777" w:rsidR="00D058B8" w:rsidRPr="007472FC" w:rsidRDefault="00D058B8" w:rsidP="004C5D52">
      <w:pPr>
        <w:pStyle w:val="LineTop"/>
      </w:pPr>
    </w:p>
    <w:p w14:paraId="4F9A690C" w14:textId="77777777" w:rsidR="00680577" w:rsidRPr="007472FC" w:rsidRDefault="00ED6767" w:rsidP="00680577">
      <w:pPr>
        <w:pStyle w:val="EPBodyTA1"/>
      </w:pPr>
      <w:r w:rsidRPr="007472FC">
        <w:t>TEXTE ADOPTATE</w:t>
      </w:r>
    </w:p>
    <w:p w14:paraId="71BCE3C6" w14:textId="77777777" w:rsidR="00D058B8" w:rsidRPr="007472FC" w:rsidRDefault="00D058B8" w:rsidP="00D058B8">
      <w:pPr>
        <w:pStyle w:val="LineBottom"/>
      </w:pPr>
    </w:p>
    <w:p w14:paraId="767B0AC7" w14:textId="3FC36101" w:rsidR="00ED6767" w:rsidRPr="007472FC" w:rsidRDefault="00ED6767" w:rsidP="00ED6767">
      <w:pPr>
        <w:pStyle w:val="ATHeading1"/>
      </w:pPr>
      <w:bookmarkStart w:id="0" w:name="TANumber"/>
      <w:r w:rsidRPr="007472FC">
        <w:t>P10_TA(2026)00</w:t>
      </w:r>
      <w:bookmarkEnd w:id="0"/>
      <w:r w:rsidR="007472FC" w:rsidRPr="007472FC">
        <w:t>44</w:t>
      </w:r>
    </w:p>
    <w:p w14:paraId="69596B34" w14:textId="456D39D5" w:rsidR="00ED6767" w:rsidRPr="007472FC" w:rsidRDefault="002845ED" w:rsidP="00ED6767">
      <w:pPr>
        <w:pStyle w:val="ATHeading2"/>
      </w:pPr>
      <w:bookmarkStart w:id="1" w:name="title"/>
      <w:r w:rsidRPr="007472FC">
        <w:t>B</w:t>
      </w:r>
      <w:r w:rsidR="00ED6767" w:rsidRPr="007472FC">
        <w:t>umbac</w:t>
      </w:r>
      <w:r w:rsidRPr="007472FC">
        <w:t>ul</w:t>
      </w:r>
      <w:r w:rsidR="00ED6767" w:rsidRPr="007472FC">
        <w:t xml:space="preserve"> modificat genetic T304-40</w:t>
      </w:r>
      <w:bookmarkEnd w:id="1"/>
    </w:p>
    <w:p w14:paraId="26728DEC" w14:textId="77777777" w:rsidR="00ED6767" w:rsidRPr="007472FC" w:rsidRDefault="00ED6767" w:rsidP="00ED6767">
      <w:pPr>
        <w:rPr>
          <w:i/>
          <w:vanish/>
        </w:rPr>
      </w:pPr>
      <w:r w:rsidRPr="007472FC">
        <w:rPr>
          <w:i/>
        </w:rPr>
        <w:fldChar w:fldCharType="begin"/>
      </w:r>
      <w:r w:rsidRPr="007472FC">
        <w:rPr>
          <w:i/>
        </w:rPr>
        <w:instrText xml:space="preserve"> TC"(</w:instrText>
      </w:r>
      <w:bookmarkStart w:id="2" w:name="DocNumber"/>
      <w:r w:rsidRPr="007472FC">
        <w:rPr>
          <w:i/>
        </w:rPr>
        <w:instrText>B10-0108/2026</w:instrText>
      </w:r>
      <w:bookmarkEnd w:id="2"/>
      <w:r w:rsidRPr="007472FC">
        <w:rPr>
          <w:i/>
        </w:rPr>
        <w:instrText xml:space="preserve">)"\l3 \n&gt; \* MERGEFORMAT </w:instrText>
      </w:r>
      <w:r w:rsidRPr="007472FC">
        <w:rPr>
          <w:i/>
        </w:rPr>
        <w:fldChar w:fldCharType="end"/>
      </w:r>
    </w:p>
    <w:p w14:paraId="13BB5D05" w14:textId="77777777" w:rsidR="00ED6767" w:rsidRPr="007472FC" w:rsidRDefault="00ED6767" w:rsidP="00ED6767">
      <w:pPr>
        <w:rPr>
          <w:vanish/>
        </w:rPr>
      </w:pPr>
      <w:bookmarkStart w:id="3" w:name="PE"/>
      <w:r w:rsidRPr="007472FC">
        <w:rPr>
          <w:vanish/>
        </w:rPr>
        <w:t>PE782.164</w:t>
      </w:r>
      <w:bookmarkEnd w:id="3"/>
    </w:p>
    <w:p w14:paraId="15EC4AD5" w14:textId="385D568C" w:rsidR="00ED6767" w:rsidRPr="007472FC" w:rsidRDefault="00ED6767" w:rsidP="00ED6767">
      <w:pPr>
        <w:pStyle w:val="ATHeading3"/>
      </w:pPr>
      <w:bookmarkStart w:id="4" w:name="Sujet"/>
      <w:r w:rsidRPr="007472FC">
        <w:t xml:space="preserve">Rezoluția Parlamentului European din </w:t>
      </w:r>
      <w:r w:rsidR="002845ED" w:rsidRPr="007472FC">
        <w:t>11</w:t>
      </w:r>
      <w:r w:rsidRPr="007472FC">
        <w:t xml:space="preserve"> februarie 2026 referitoare la proiectul de decizie de punere în aplicare a Comisiei privind reînnoirea autorizației pentru introducerea pe piață a produselor care conțin, sunt compuse sau fabricate din bumbac modificat genetic T304-40, în temeiul Regulamentului (CE) nr. 1829/2003 al Parlamentului European și al Consiliului</w:t>
      </w:r>
      <w:bookmarkEnd w:id="4"/>
      <w:r w:rsidRPr="007472FC">
        <w:t xml:space="preserve"> </w:t>
      </w:r>
      <w:bookmarkStart w:id="5" w:name="References"/>
      <w:r w:rsidRPr="007472FC">
        <w:t>(D111477/02 – 2026/2518(RSP))</w:t>
      </w:r>
      <w:bookmarkEnd w:id="5"/>
    </w:p>
    <w:p w14:paraId="2B91A8FF" w14:textId="77777777" w:rsidR="0022682C" w:rsidRPr="007472FC" w:rsidRDefault="0022682C" w:rsidP="0022682C">
      <w:pPr>
        <w:pStyle w:val="EPComma"/>
      </w:pPr>
      <w:bookmarkStart w:id="6" w:name="TextBodyBegin"/>
      <w:bookmarkEnd w:id="6"/>
      <w:r w:rsidRPr="007472FC">
        <w:rPr>
          <w:i/>
        </w:rPr>
        <w:t>Parlamentul European</w:t>
      </w:r>
      <w:r w:rsidRPr="007472FC">
        <w:t>,</w:t>
      </w:r>
    </w:p>
    <w:p w14:paraId="0E0CF7CF" w14:textId="77777777" w:rsidR="0022682C" w:rsidRPr="007472FC" w:rsidRDefault="0022682C" w:rsidP="0022682C">
      <w:pPr>
        <w:pStyle w:val="NormalHanging12a"/>
      </w:pPr>
      <w:r w:rsidRPr="007472FC">
        <w:t>–</w:t>
      </w:r>
      <w:r w:rsidRPr="007472FC">
        <w:tab/>
        <w:t>având în vedere proiectul de decizie de punere în aplicare a Comisiei privind reînnoirea autorizației pentru introducerea pe piață a produselor care conțin, sunt compuse sau fabricate din bumbac modificat genetic T304-40, în temeiul Regulamentului (CE) nr. 1829/2003 al Parlamentului European și al Consiliului (D111477/02),</w:t>
      </w:r>
    </w:p>
    <w:p w14:paraId="228B8A61" w14:textId="77777777" w:rsidR="0022682C" w:rsidRPr="007472FC" w:rsidRDefault="0022682C" w:rsidP="0022682C">
      <w:pPr>
        <w:pStyle w:val="NormalHanging12a"/>
      </w:pPr>
      <w:r w:rsidRPr="007472FC">
        <w:t>–</w:t>
      </w:r>
      <w:r w:rsidRPr="007472FC">
        <w:tab/>
        <w:t>având în vedere Regulamentul (CE) nr. 1829/2003 al Parlamentului European și al Consiliului din 22 septembrie 2003 privind produsele alimentare și furajele modificate genetic</w:t>
      </w:r>
      <w:r w:rsidRPr="007472FC">
        <w:rPr>
          <w:vertAlign w:val="superscript"/>
        </w:rPr>
        <w:footnoteReference w:id="1"/>
      </w:r>
      <w:r w:rsidRPr="007472FC">
        <w:t>, în special articolul 11 alineatul (3) și articolul 23 alineatul (3),</w:t>
      </w:r>
    </w:p>
    <w:p w14:paraId="5E487E55" w14:textId="305EA455" w:rsidR="0022682C" w:rsidRPr="007472FC" w:rsidRDefault="0022682C" w:rsidP="0022682C">
      <w:pPr>
        <w:pStyle w:val="NormalHanging12a"/>
      </w:pPr>
      <w:bookmarkStart w:id="7" w:name="_Hlk210666078"/>
      <w:r w:rsidRPr="007472FC">
        <w:t>–</w:t>
      </w:r>
      <w:r w:rsidRPr="007472FC">
        <w:tab/>
        <w:t xml:space="preserve">având în vedere votul din 12 decembrie 2025 al </w:t>
      </w:r>
      <w:bookmarkStart w:id="8" w:name="_Hlk210664905"/>
      <w:r w:rsidRPr="007472FC">
        <w:t>Comitetului permanent pentru plante, animale, produse alimentare și hrană pentru animale</w:t>
      </w:r>
      <w:bookmarkEnd w:id="8"/>
      <w:r w:rsidRPr="007472FC">
        <w:t>, menționat la articolul 35 din Regulamentul (CE) nr. 1829/2003</w:t>
      </w:r>
      <w:bookmarkEnd w:id="7"/>
      <w:r w:rsidRPr="007472FC">
        <w:t xml:space="preserve">, în urma căruia nu s-a emis niciun aviz, </w:t>
      </w:r>
      <w:r w:rsidR="002845ED" w:rsidRPr="007472FC">
        <w:t>și votul Comitetului de apel din 27 ianuarie 2026, în urma căruia, din nou, nu a fost emis niciun aviz,</w:t>
      </w:r>
    </w:p>
    <w:p w14:paraId="1E236D94" w14:textId="77777777" w:rsidR="0022682C" w:rsidRPr="007472FC" w:rsidRDefault="0022682C" w:rsidP="0022682C">
      <w:pPr>
        <w:pStyle w:val="NormalHanging12a"/>
      </w:pPr>
      <w:r w:rsidRPr="007472FC">
        <w:t>–</w:t>
      </w:r>
      <w:r w:rsidRPr="007472FC">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7472FC">
        <w:rPr>
          <w:vertAlign w:val="superscript"/>
        </w:rPr>
        <w:footnoteReference w:id="2"/>
      </w:r>
      <w:r w:rsidRPr="007472FC">
        <w:t>,</w:t>
      </w:r>
    </w:p>
    <w:p w14:paraId="502F936B" w14:textId="77777777" w:rsidR="0022682C" w:rsidRPr="007472FC" w:rsidRDefault="0022682C" w:rsidP="0022682C">
      <w:pPr>
        <w:pStyle w:val="NormalHanging12a"/>
      </w:pPr>
      <w:r w:rsidRPr="007472FC">
        <w:t>–</w:t>
      </w:r>
      <w:r w:rsidRPr="007472FC">
        <w:tab/>
        <w:t>având în vedere avizul adoptat de Autoritatea Europeană pentru Siguranța Alimentară (EFSA) la 30 iunie 2025 și publicat la 22 iulie 2025</w:t>
      </w:r>
      <w:r w:rsidRPr="007472FC">
        <w:rPr>
          <w:vertAlign w:val="superscript"/>
        </w:rPr>
        <w:footnoteReference w:id="3"/>
      </w:r>
      <w:r w:rsidRPr="007472FC">
        <w:t>,</w:t>
      </w:r>
    </w:p>
    <w:p w14:paraId="4C3742BE" w14:textId="77777777" w:rsidR="0022682C" w:rsidRPr="007472FC" w:rsidRDefault="0022682C" w:rsidP="0022682C">
      <w:pPr>
        <w:pStyle w:val="NormalHanging12a"/>
      </w:pPr>
      <w:r w:rsidRPr="007472FC">
        <w:lastRenderedPageBreak/>
        <w:t>–</w:t>
      </w:r>
      <w:r w:rsidRPr="007472FC">
        <w:tab/>
        <w:t>având în vedere rezoluțiile sale anterioare în care se opune autorizării organismelor modificate genetic („OMG”)</w:t>
      </w:r>
      <w:bookmarkStart w:id="9" w:name="_Hlk210666451"/>
      <w:r w:rsidRPr="007472FC">
        <w:rPr>
          <w:vertAlign w:val="superscript"/>
        </w:rPr>
        <w:footnoteReference w:id="4"/>
      </w:r>
      <w:bookmarkEnd w:id="9"/>
      <w:r w:rsidRPr="007472FC">
        <w:t>,</w:t>
      </w:r>
    </w:p>
    <w:p w14:paraId="7F0848D0" w14:textId="77777777" w:rsidR="0022682C" w:rsidRPr="007472FC" w:rsidRDefault="0022682C" w:rsidP="0022682C">
      <w:pPr>
        <w:pStyle w:val="NormalHanging12a"/>
      </w:pPr>
      <w:r w:rsidRPr="007472FC">
        <w:lastRenderedPageBreak/>
        <w:t>–</w:t>
      </w:r>
      <w:r w:rsidRPr="007472FC">
        <w:tab/>
        <w:t>având în vedere articolul 115 alineatele (2) și (3) din Regulamentul său de procedură,</w:t>
      </w:r>
    </w:p>
    <w:p w14:paraId="7BDE52F0" w14:textId="77777777" w:rsidR="0022682C" w:rsidRPr="007472FC" w:rsidRDefault="0022682C" w:rsidP="0022682C">
      <w:pPr>
        <w:pStyle w:val="NormalHanging12a"/>
      </w:pPr>
      <w:r w:rsidRPr="007472FC">
        <w:t>–</w:t>
      </w:r>
      <w:r w:rsidRPr="007472FC">
        <w:tab/>
        <w:t>având în vedere propunerea de rezoluție a Comisiei pentru mediu, climă și siguranță alimentară,</w:t>
      </w:r>
    </w:p>
    <w:p w14:paraId="1B20B94D" w14:textId="77777777" w:rsidR="0022682C" w:rsidRPr="007472FC" w:rsidRDefault="0022682C" w:rsidP="0022682C">
      <w:pPr>
        <w:pStyle w:val="NormalHanging12a"/>
      </w:pPr>
      <w:r w:rsidRPr="007472FC">
        <w:t>A.</w:t>
      </w:r>
      <w:r w:rsidRPr="007472FC">
        <w:tab/>
        <w:t>întrucât, prin Decizia de punere în aplicare (UE) 2015/699</w:t>
      </w:r>
      <w:r w:rsidRPr="007472FC">
        <w:rPr>
          <w:vertAlign w:val="superscript"/>
        </w:rPr>
        <w:footnoteReference w:id="5"/>
      </w:r>
      <w:r w:rsidRPr="007472FC">
        <w:t xml:space="preserve"> a Comisiei, astfel cum a fost modificată de Decizia de punere în aplicare (UE) 2019/1195</w:t>
      </w:r>
      <w:r w:rsidRPr="007472FC">
        <w:rPr>
          <w:vertAlign w:val="superscript"/>
        </w:rPr>
        <w:footnoteReference w:id="6"/>
      </w:r>
      <w:r w:rsidRPr="007472FC">
        <w:t>, s-a autorizat introducerea pe piață a produselor alimentare și furajelor care conțin, constau în sau sunt fabricate din bumbac modificat genetic T304-40 („bumbac MG”); întrucât domeniul de aplicare al respectivei autorizații acoperă și introducerea pe piață de produse, altele decât cele alimentare și furajele, care conțin sau sunt compuse din bumbac modificat genetic, având aceeași utilizare ca orice alt tip de bumbac, cu excepția cultivării;</w:t>
      </w:r>
    </w:p>
    <w:p w14:paraId="5171790B" w14:textId="77777777" w:rsidR="0022682C" w:rsidRPr="007472FC" w:rsidRDefault="0022682C" w:rsidP="0022682C">
      <w:pPr>
        <w:pStyle w:val="NormalHanging12a"/>
      </w:pPr>
      <w:r w:rsidRPr="007472FC">
        <w:t>B.</w:t>
      </w:r>
      <w:r w:rsidRPr="007472FC">
        <w:tab/>
        <w:t xml:space="preserve">La 22 martie 2024, BASF SE, cu sediul în Germania, în numele BASF Agricultural Solutions US LLC, cu sediul în Statele Unite ale Americii, a prezentat Comisiei o cerere, în conformitate cu articolele 11 și 23 din Regulamentul (CE) nr. 1829/2003, pentru reînnoirea autorizației respective; </w:t>
      </w:r>
    </w:p>
    <w:p w14:paraId="093D6C12" w14:textId="77777777" w:rsidR="0022682C" w:rsidRPr="007472FC" w:rsidRDefault="0022682C" w:rsidP="0022682C">
      <w:pPr>
        <w:pStyle w:val="NormalHanging12a"/>
      </w:pPr>
      <w:r w:rsidRPr="007472FC">
        <w:t>C.</w:t>
      </w:r>
      <w:r w:rsidRPr="007472FC">
        <w:tab/>
        <w:t>întrucât, la 22 iulie 2025, EFSA a publicat un aviz științific favorabil privind bumbacul MG</w:t>
      </w:r>
      <w:r w:rsidRPr="007472FC">
        <w:rPr>
          <w:vertAlign w:val="superscript"/>
        </w:rPr>
        <w:footnoteReference w:id="7"/>
      </w:r>
      <w:r w:rsidRPr="007472FC">
        <w:t xml:space="preserve"> </w:t>
      </w:r>
      <w:bookmarkStart w:id="10" w:name="_Hlk219204313"/>
      <w:r w:rsidRPr="007472FC">
        <w:t>în conformitate cu articolele 11 și 23 din</w:t>
      </w:r>
      <w:bookmarkStart w:id="11" w:name="_Hlk219204327"/>
      <w:bookmarkEnd w:id="10"/>
      <w:r w:rsidRPr="007472FC">
        <w:t xml:space="preserve"> Regulamentul (CE) nr. 1829/2003</w:t>
      </w:r>
      <w:bookmarkEnd w:id="11"/>
      <w:r w:rsidRPr="007472FC">
        <w:t xml:space="preserve">, în care a ajuns la concluzia că cererea de reînnoire nu conținea probe de noi riscuri, </w:t>
      </w:r>
      <w:r w:rsidRPr="007472FC">
        <w:lastRenderedPageBreak/>
        <w:t>expuneri modificate sau incertitudini științifice care ar fi putut modifica concluziile evaluării inițiale a riscului referitoare la bumbacul MG, adoptat de EFSA în 2013</w:t>
      </w:r>
      <w:r w:rsidRPr="007472FC">
        <w:rPr>
          <w:vertAlign w:val="superscript"/>
        </w:rPr>
        <w:footnoteReference w:id="8"/>
      </w:r>
      <w:r w:rsidRPr="007472FC">
        <w:t>; întrucât avizele respective nu au studiat mai multe efecte mai ample de natură ambientală, socioeconomice și cumulative, despre care EFSA consideră că nu intră în sfera sa de competență;</w:t>
      </w:r>
    </w:p>
    <w:p w14:paraId="1467B68C" w14:textId="77777777" w:rsidR="0022682C" w:rsidRPr="007472FC" w:rsidRDefault="0022682C" w:rsidP="0022682C">
      <w:pPr>
        <w:pStyle w:val="NormalHanging12a"/>
      </w:pPr>
      <w:r w:rsidRPr="007472FC">
        <w:t>D.</w:t>
      </w:r>
      <w:r w:rsidRPr="007472FC">
        <w:tab/>
        <w:t xml:space="preserve">întrucât bumbacul modificat genetic a fost dezvoltat pentru a fi rezistent la anumite lepidoptere dăunătoare prin producerea unei toxine insecticide și pentru a fi tolerant la glufosinat; </w:t>
      </w:r>
    </w:p>
    <w:p w14:paraId="69D2E1B0" w14:textId="77777777" w:rsidR="0022682C" w:rsidRPr="007472FC" w:rsidRDefault="0022682C" w:rsidP="0022682C">
      <w:pPr>
        <w:pStyle w:val="NormalHanging12a"/>
      </w:pPr>
      <w:r w:rsidRPr="007472FC">
        <w:t>E.</w:t>
      </w:r>
      <w:r w:rsidRPr="007472FC">
        <w:tab/>
        <w:t>întrucât evaluarea riscurilor efectuată de EFSA nu a inclus studii toxicologice pe termen lung, nici nu a analizat în detaliu efectele cumulative și combinatorii, inclusiv posibilele interacțiuni cu reziduurile de pesticide folosite în mod obișnuit la cultivarea bumbacului;</w:t>
      </w:r>
    </w:p>
    <w:p w14:paraId="5A290C0E" w14:textId="77777777" w:rsidR="0022682C" w:rsidRPr="007472FC" w:rsidRDefault="0022682C" w:rsidP="0022682C">
      <w:pPr>
        <w:pStyle w:val="NormalHanging12a"/>
      </w:pPr>
      <w:r w:rsidRPr="007472FC">
        <w:t>F.</w:t>
      </w:r>
      <w:r w:rsidRPr="007472FC">
        <w:tab/>
        <w:t>întrucât marea majoritate a culturilor MG, inclusiv bumbacul MG, au fost modificate genetic astfel încât să fie tolerante la unul sau mai multe erbicide „complementare” care să poată fi utilizate pe tot ciclul de cultură al plantei MG, fără ca aceasta să moară, cum s-ar întâmpla cu o plantă intolerantă la erbicide; întrucât, potrivit mai multor studii, culturile MG cu toleranță la erbicide au ca efect o utilizare pe scară mai largă a erbicidelor complementare, în mare parte din cauza apariției unor buruieni tolerante la erbicide</w:t>
      </w:r>
      <w:r w:rsidRPr="007472FC">
        <w:rPr>
          <w:vertAlign w:val="superscript"/>
        </w:rPr>
        <w:footnoteReference w:id="9"/>
      </w:r>
      <w:r w:rsidRPr="007472FC">
        <w:t>;</w:t>
      </w:r>
    </w:p>
    <w:p w14:paraId="73C05D3C" w14:textId="77777777" w:rsidR="0022682C" w:rsidRPr="007472FC" w:rsidRDefault="0022682C" w:rsidP="0022682C">
      <w:pPr>
        <w:pStyle w:val="NormalHanging12a"/>
      </w:pPr>
      <w:r w:rsidRPr="007472FC">
        <w:t>G.</w:t>
      </w:r>
      <w:r w:rsidRPr="007472FC">
        <w:tab/>
        <w:t>întrucât culturile MG tolerante la erbicide fac ca agricultorii să rămână blocați într-un sistem de gestionare a buruienilor care depinde în mare parte sau în totalitate de erbicide, deoarece semințele modificate genetic au un preț mai mare, care poate fi justificat doar dacă agricultorii care cumpără aceste semințe pulverizează pe câmp și erbicidele complementare; întrucât dependența mai mare de erbicidele complementare în fermele care plantează bumbacul modificat genetic vor accelera apariția și răspândirea unor buruieni rezistente la erbicidele respective, făcând astfel să crească și mai mult cantitatea de erbicid utilizată, cerc vicios cunoscut sub numele de „spirala erbicidelor”; întrucât, în consecință, efectele dăunătoare ale dependenței excesive de erbicide asupra sănătății solului, calității apei și biodiversității din sol și de deasupra solului se vor agrava și vor amplifica expunerea oamenilor și animalelor, eventual și prin creșterea cantității de reziduuri de erbicide în alimente și furaje</w:t>
      </w:r>
      <w:r w:rsidRPr="007472FC">
        <w:rPr>
          <w:vertAlign w:val="superscript"/>
        </w:rPr>
        <w:footnoteReference w:id="10"/>
      </w:r>
      <w:r w:rsidRPr="007472FC">
        <w:t>;</w:t>
      </w:r>
    </w:p>
    <w:p w14:paraId="35C5B312" w14:textId="77777777" w:rsidR="0022682C" w:rsidRPr="007472FC" w:rsidRDefault="0022682C" w:rsidP="0022682C">
      <w:pPr>
        <w:pStyle w:val="NormalHanging12a"/>
      </w:pPr>
      <w:r w:rsidRPr="007472FC">
        <w:lastRenderedPageBreak/>
        <w:t>H.</w:t>
      </w:r>
      <w:r w:rsidRPr="007472FC">
        <w:tab/>
        <w:t>întrucât glufosinatul este clasificat drept toxic pentru reproducere în categoria 1B și îndeplinește astfel criteriile de excludere prevăzute în Regulamentul (CE) nr. 1107/2009 al Parlamentului European și al Consiliului</w:t>
      </w:r>
      <w:r w:rsidRPr="007472FC">
        <w:rPr>
          <w:vertAlign w:val="superscript"/>
        </w:rPr>
        <w:footnoteReference w:id="11"/>
      </w:r>
      <w:r w:rsidRPr="007472FC">
        <w:t>; întrucât autorizarea utilizării glufosinatului în Uniune a expirat la 31 iulie 2018;</w:t>
      </w:r>
    </w:p>
    <w:p w14:paraId="7C737F25" w14:textId="77777777" w:rsidR="0022682C" w:rsidRPr="007472FC" w:rsidRDefault="0022682C" w:rsidP="0022682C">
      <w:pPr>
        <w:pStyle w:val="NormalHanging12a"/>
      </w:pPr>
      <w:r w:rsidRPr="007472FC">
        <w:t xml:space="preserve">I. </w:t>
      </w:r>
      <w:r w:rsidRPr="007472FC">
        <w:tab/>
        <w:t>întrucât monitorizarea și supravegherea independentă a potențialelor efecte adverse asupra biodiversității, sănătății solului, polenizatorilor și organismelor nevizate rămân insuficient garantate;</w:t>
      </w:r>
    </w:p>
    <w:p w14:paraId="75E1A4D3" w14:textId="77777777" w:rsidR="0022682C" w:rsidRPr="007472FC" w:rsidRDefault="0022682C" w:rsidP="0022682C">
      <w:pPr>
        <w:pStyle w:val="NormalHanging12a"/>
      </w:pPr>
      <w:r w:rsidRPr="007472FC">
        <w:t>J.</w:t>
      </w:r>
      <w:r w:rsidRPr="007472FC">
        <w:tab/>
        <w:t>întrucât principiul precauției, consacrat la articolul 191 din Tratatul privind funcționarea Uniunii Europene, ar trebui să se aplice în cazurile de incertitudine științifică;</w:t>
      </w:r>
    </w:p>
    <w:p w14:paraId="6C7D328D" w14:textId="77777777" w:rsidR="0022682C" w:rsidRPr="007472FC" w:rsidRDefault="0022682C" w:rsidP="0022682C">
      <w:pPr>
        <w:pStyle w:val="NormalHanging12a"/>
      </w:pPr>
      <w:r w:rsidRPr="007472FC">
        <w:t>K.</w:t>
      </w:r>
      <w:r w:rsidRPr="007472FC">
        <w:tab/>
        <w:t>întrucât Regulamentul (CE) nr. 1829/2003 prevede că produsele alimentare și furajele modificate genetic nu trebuie să aibă efecte adverse asupra sănătății umane și animale sau a mediului;</w:t>
      </w:r>
    </w:p>
    <w:p w14:paraId="1A094DD3" w14:textId="77777777" w:rsidR="0022682C" w:rsidRPr="007472FC" w:rsidRDefault="0022682C" w:rsidP="0022682C">
      <w:pPr>
        <w:pStyle w:val="NormalHanging12a"/>
      </w:pPr>
      <w:r w:rsidRPr="007472FC">
        <w:t>L.</w:t>
      </w:r>
      <w:r w:rsidRPr="007472FC">
        <w:tab/>
        <w:t>întrucât eventuala decizie a Uniunii de a reînnoi autorizația pentru bumbacul modificat genetic nu ar fi în concordanță cu angajamentele internaționale privind reducerea pesticidelor</w:t>
      </w:r>
      <w:r w:rsidRPr="007472FC">
        <w:rPr>
          <w:vertAlign w:val="superscript"/>
        </w:rPr>
        <w:footnoteReference w:id="12"/>
      </w:r>
      <w:r w:rsidRPr="007472FC">
        <w:t>, având în vedere că în țările care cultivă această plantă MG tolerantă la erbicide oamenii, animalele și mediul sunt mai expuși la glifosat și glufosinat, expunere asociată cu efecte potențial grave asupra sănătății;</w:t>
      </w:r>
    </w:p>
    <w:p w14:paraId="71FB6234" w14:textId="77777777" w:rsidR="0022682C" w:rsidRPr="007472FC" w:rsidRDefault="0022682C" w:rsidP="0022682C">
      <w:pPr>
        <w:pStyle w:val="NormalHanging12a"/>
      </w:pPr>
      <w:r w:rsidRPr="007472FC">
        <w:t>M.</w:t>
      </w:r>
      <w:r w:rsidRPr="007472FC">
        <w:tab/>
        <w:t>întrucât decizia de punere în aplicare a Comisiei ar permite în continuare importurile în Uniune care nu respectă standardele respectate de agricultorii din Uniune, punându-i astfel într-o situație de dezavantaj concurențial;</w:t>
      </w:r>
    </w:p>
    <w:p w14:paraId="53F35AD4" w14:textId="77777777" w:rsidR="0022682C" w:rsidRPr="007472FC" w:rsidRDefault="0022682C" w:rsidP="0022682C">
      <w:pPr>
        <w:pStyle w:val="NormalHanging12a"/>
      </w:pPr>
      <w:r w:rsidRPr="007472FC">
        <w:t>N.</w:t>
      </w:r>
      <w:r w:rsidRPr="007472FC">
        <w:tab/>
        <w:t>întrucât, în concluziile dialogului strategic privind viitorul agriculturii UE</w:t>
      </w:r>
      <w:r w:rsidRPr="007472FC">
        <w:rPr>
          <w:vertAlign w:val="superscript"/>
        </w:rPr>
        <w:footnoteReference w:id="13"/>
      </w:r>
      <w:r w:rsidRPr="007472FC">
        <w:t>, Comisia este invitată să își reevalueze abordarea privind accesul pe piață pentru importurile și exporturile agroalimentare, dată fiind problema standardelor divergente ale Uniunii și ale partenerilor săi comerciali; întrucât, în timpul demonstrațiilor din 2023, 2024 și 2025, una dintre principalele revendicări ale fermierilor a fost să se instaureze relații comerciale mai echitabile, la nivel mondial, în concordanță cu obiectivele pentru un mediu sănătos;</w:t>
      </w:r>
    </w:p>
    <w:p w14:paraId="39F04D42" w14:textId="77777777" w:rsidR="0022682C" w:rsidRPr="007472FC" w:rsidRDefault="0022682C" w:rsidP="0022682C">
      <w:pPr>
        <w:pStyle w:val="NormalHanging12a"/>
      </w:pPr>
      <w:r w:rsidRPr="007472FC">
        <w:t>O.</w:t>
      </w:r>
      <w:r w:rsidRPr="007472FC">
        <w:tab/>
        <w:t>întrucât Parlamentul a subliniat în mod repetat că Comisia nu ar trebui să autorizeze OMG-urile în cazurile în care nu se ajunge la o majoritate calificată a statelor membre în Comitetul permanent pentru plante, animale, produse alimentare și hrană pentru animale sau în comitetul de apel, astfel încât să se rezolve veșnica problemă a deficitului democratic;</w:t>
      </w:r>
    </w:p>
    <w:p w14:paraId="52D0B970" w14:textId="77777777" w:rsidR="0022682C" w:rsidRPr="007472FC" w:rsidRDefault="0022682C" w:rsidP="0022682C">
      <w:pPr>
        <w:pStyle w:val="NormalHanging12a"/>
      </w:pPr>
      <w:r w:rsidRPr="007472FC">
        <w:lastRenderedPageBreak/>
        <w:t>P.</w:t>
      </w:r>
      <w:r w:rsidRPr="007472FC">
        <w:tab/>
        <w:t>întrucât, deși ea însăși recunoaște că procesul democratic lasă de dorit, că nu există suficientă susținere din partea statelor membre și că Parlamentul ridică obiecții, Comisia continuă să autorizeze OMG-uri;</w:t>
      </w:r>
    </w:p>
    <w:p w14:paraId="2C66DD13" w14:textId="77777777" w:rsidR="0022682C" w:rsidRPr="007472FC" w:rsidRDefault="0022682C" w:rsidP="0022682C">
      <w:pPr>
        <w:pStyle w:val="NormalHanging12a"/>
      </w:pPr>
      <w:r w:rsidRPr="007472FC">
        <w:t>Q.</w:t>
      </w:r>
      <w:r w:rsidRPr="007472FC">
        <w:tab/>
        <w:t>întrucât abordarea de tip „O singură sănătate” presupune a lua în calcul interdependența dintre sănătatea umană, animală, a plantelor și a mediului atunci când se evaluează sustenabilitatea și siguranța pe termen lung a OMG-urilor,</w:t>
      </w:r>
    </w:p>
    <w:p w14:paraId="013BDE26" w14:textId="77777777" w:rsidR="0022682C" w:rsidRPr="007472FC" w:rsidRDefault="0022682C" w:rsidP="0022682C">
      <w:pPr>
        <w:pStyle w:val="NormalHanging12a"/>
      </w:pPr>
      <w:r w:rsidRPr="007472FC">
        <w:t>1.</w:t>
      </w:r>
      <w:r w:rsidRPr="007472FC">
        <w:tab/>
        <w:t>consideră că proiectul de decizie de punere în aplicare a Comisiei depășește competențele de executare prevăzute în Regulamentul (CE) nr. 1829/2003;</w:t>
      </w:r>
    </w:p>
    <w:p w14:paraId="70C60CC7" w14:textId="77777777" w:rsidR="0022682C" w:rsidRPr="007472FC" w:rsidRDefault="0022682C" w:rsidP="0022682C">
      <w:pPr>
        <w:pStyle w:val="NormalHanging12a"/>
      </w:pPr>
      <w:r w:rsidRPr="007472FC">
        <w:t>2.</w:t>
      </w:r>
      <w:r w:rsidRPr="007472FC">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7472FC">
        <w:rPr>
          <w:vertAlign w:val="superscript"/>
        </w:rPr>
        <w:footnoteReference w:id="14"/>
      </w:r>
      <w:r w:rsidRPr="007472FC">
        <w:t xml:space="preserve">,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buna funcționare a pieței interne; </w:t>
      </w:r>
    </w:p>
    <w:p w14:paraId="78E5183D" w14:textId="77777777" w:rsidR="0022682C" w:rsidRPr="007472FC" w:rsidRDefault="0022682C" w:rsidP="0022682C">
      <w:pPr>
        <w:pStyle w:val="NormalHanging12a"/>
      </w:pPr>
      <w:r w:rsidRPr="007472FC">
        <w:t>3.</w:t>
      </w:r>
      <w:r w:rsidRPr="007472FC">
        <w:tab/>
        <w:t>solicită Comisiei să își retragă proiectul de decizie de punere în aplicare;</w:t>
      </w:r>
    </w:p>
    <w:p w14:paraId="07DFE1C3" w14:textId="77777777" w:rsidR="0022682C" w:rsidRPr="007472FC" w:rsidRDefault="0022682C" w:rsidP="0022682C">
      <w:pPr>
        <w:pStyle w:val="NormalHanging12a"/>
      </w:pPr>
      <w:bookmarkStart w:id="12" w:name="_Hlk218675841"/>
      <w:r w:rsidRPr="007472FC">
        <w:t>4.</w:t>
      </w:r>
      <w:r w:rsidRPr="007472FC">
        <w:tab/>
        <w:t>îndeamnă Comisia să nu reînnoiască autorizația pentru bumbacul MG deoarece nu există date suficiente privind impactul pe termen lung asupra biodiversității, a siguranței alimentare, a mijloacelor de subzistență ale fermierilor și a sănătății animalelor, în conformitate cu abordarea de tip „O singură sănătate”;</w:t>
      </w:r>
    </w:p>
    <w:p w14:paraId="32E4A439" w14:textId="77777777" w:rsidR="0022682C" w:rsidRPr="007472FC" w:rsidRDefault="0022682C" w:rsidP="0022682C">
      <w:pPr>
        <w:pStyle w:val="NormalHanging12a"/>
      </w:pPr>
      <w:bookmarkStart w:id="13" w:name="_Hlk210900300"/>
      <w:r w:rsidRPr="007472FC">
        <w:t>5.</w:t>
      </w:r>
      <w:r w:rsidRPr="007472FC">
        <w:tab/>
        <w:t>îndeamnă Comisia să prezinte, fără întârziere, o propunere legislativă prin care să se reformeze procesul decizional în cazul OMG-urilor, răspunzând astfel obiecțiilor repetate ridicate de Parlament și lipsei de susținere din partea unei majorități calificate în rândul statelor membre</w:t>
      </w:r>
      <w:bookmarkEnd w:id="13"/>
      <w:r w:rsidRPr="007472FC">
        <w:t>;</w:t>
      </w:r>
    </w:p>
    <w:p w14:paraId="087CE2E5" w14:textId="77777777" w:rsidR="0022682C" w:rsidRPr="007472FC" w:rsidRDefault="0022682C" w:rsidP="0022682C">
      <w:pPr>
        <w:pStyle w:val="NormalHanging12a"/>
      </w:pPr>
      <w:bookmarkStart w:id="14" w:name="_Hlk210900241"/>
      <w:r w:rsidRPr="007472FC">
        <w:t>6.</w:t>
      </w:r>
      <w:r w:rsidRPr="007472FC">
        <w:tab/>
        <w:t>în acest sens, subliniază că autorizarea importului pentru utilizări în produse alimentare, furaje sau produse al oricărei plante modificate genetic care a devenit tolerantă la erbicidele interzise în Uniune, ca, de pildă, glufosinatul, nu este în concordanță cu angajamentele internaționale ale Uniunii în conformitate cu, printre altele, Convenția Organizației Națiunilor Unite (ONU) privind diversitatea biologică și obiectivele de dezvoltare durabilă ale ONU, inclusiv Cadrul de la Kunming-Montreal, și creează condiții de concurență inechitabile pentru fermierii din Uniune;</w:t>
      </w:r>
    </w:p>
    <w:bookmarkEnd w:id="14"/>
    <w:p w14:paraId="3A1929E8" w14:textId="12760166" w:rsidR="00E23F7A" w:rsidRPr="007472FC" w:rsidRDefault="0022682C" w:rsidP="00E23F7A">
      <w:pPr>
        <w:pStyle w:val="NormalHanging12a"/>
      </w:pPr>
      <w:r w:rsidRPr="007472FC">
        <w:t>7.</w:t>
      </w:r>
      <w:r w:rsidRPr="007472FC">
        <w:tab/>
      </w:r>
      <w:bookmarkEnd w:id="12"/>
      <w:r w:rsidRPr="007472FC">
        <w:t>încredințează Președintei sarcina de a transmite prezenta rezoluție Consiliului și Comisiei, precum și guvernelor și parlamentelor statelor membre.</w:t>
      </w:r>
    </w:p>
    <w:p w14:paraId="088AC868" w14:textId="0F2DDBA0" w:rsidR="00E365E1" w:rsidRPr="007472FC" w:rsidRDefault="00E365E1" w:rsidP="00ED6767"/>
    <w:sectPr w:rsidR="00E365E1" w:rsidRPr="007472FC" w:rsidSect="00E23F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A9809" w14:textId="77777777" w:rsidR="00ED6767" w:rsidRPr="00E23F7A" w:rsidRDefault="00ED6767">
      <w:r w:rsidRPr="00E23F7A">
        <w:separator/>
      </w:r>
    </w:p>
  </w:endnote>
  <w:endnote w:type="continuationSeparator" w:id="0">
    <w:p w14:paraId="344792F4" w14:textId="77777777" w:rsidR="00ED6767" w:rsidRPr="00E23F7A" w:rsidRDefault="00ED6767">
      <w:r w:rsidRPr="00E23F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2534F" w14:textId="77777777" w:rsidR="00064002" w:rsidRPr="00E23F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207F" w14:textId="77777777" w:rsidR="00064002" w:rsidRPr="00E23F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F57E1" w14:textId="77777777" w:rsidR="00064002" w:rsidRPr="00E23F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36B12" w14:textId="77777777" w:rsidR="00ED6767" w:rsidRPr="00E23F7A" w:rsidRDefault="00ED6767">
      <w:r w:rsidRPr="00E23F7A">
        <w:separator/>
      </w:r>
    </w:p>
  </w:footnote>
  <w:footnote w:type="continuationSeparator" w:id="0">
    <w:p w14:paraId="0AF50E3C" w14:textId="77777777" w:rsidR="00ED6767" w:rsidRPr="00E23F7A" w:rsidRDefault="00ED6767">
      <w:r w:rsidRPr="00E23F7A">
        <w:continuationSeparator/>
      </w:r>
    </w:p>
  </w:footnote>
  <w:footnote w:id="1">
    <w:p w14:paraId="3F4E3686" w14:textId="2FF83658"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JO L 268, 18.10.2003, p. 1., ELI: </w:t>
      </w:r>
      <w:hyperlink r:id="rId1" w:history="1">
        <w:r w:rsidRPr="00E23F7A">
          <w:rPr>
            <w:rStyle w:val="Hyperlink"/>
            <w:sz w:val="24"/>
            <w:lang w:val="ro-RO"/>
          </w:rPr>
          <w:t>https://eur-lex.europa.eu/eli/reg/2003/1829/oj</w:t>
        </w:r>
      </w:hyperlink>
      <w:r w:rsidRPr="00E23F7A">
        <w:rPr>
          <w:rStyle w:val="Hyperlink"/>
          <w:sz w:val="24"/>
          <w:lang w:val="ro-RO"/>
        </w:rPr>
        <w:t>.</w:t>
      </w:r>
    </w:p>
  </w:footnote>
  <w:footnote w:id="2">
    <w:p w14:paraId="368E8B2C" w14:textId="42684410"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 xml:space="preserve">JO L 55, 28.2.2011, p. </w:t>
      </w:r>
      <w:r w:rsidRPr="00E23F7A">
        <w:rPr>
          <w:sz w:val="24"/>
          <w:lang w:val="ro-RO"/>
        </w:rPr>
        <w:t>13, ELI: </w:t>
      </w:r>
      <w:hyperlink r:id="rId2" w:history="1">
        <w:r w:rsidRPr="00E23F7A">
          <w:rPr>
            <w:rStyle w:val="Hyperlink"/>
            <w:sz w:val="24"/>
            <w:lang w:val="ro-RO"/>
          </w:rPr>
          <w:t>http://data.europa.eu/eli/reg/2011/182/oj</w:t>
        </w:r>
      </w:hyperlink>
      <w:r w:rsidRPr="00E23F7A">
        <w:rPr>
          <w:sz w:val="24"/>
          <w:lang w:val="ro-RO"/>
        </w:rPr>
        <w:t>.</w:t>
      </w:r>
    </w:p>
  </w:footnote>
  <w:footnote w:id="3">
    <w:p w14:paraId="157DDE52" w14:textId="36DDD6D1" w:rsidR="0022682C" w:rsidRPr="00E23F7A" w:rsidRDefault="0022682C" w:rsidP="00E23F7A">
      <w:pPr>
        <w:pStyle w:val="FootnoteText"/>
        <w:ind w:left="567" w:hanging="567"/>
        <w:rPr>
          <w:sz w:val="24"/>
          <w:lang w:val="ro-RO"/>
        </w:rPr>
      </w:pPr>
      <w:r w:rsidRPr="00E23F7A">
        <w:rPr>
          <w:sz w:val="24"/>
          <w:vertAlign w:val="superscript"/>
          <w:lang w:val="ro-RO"/>
        </w:rPr>
        <w:footnoteRef/>
      </w:r>
      <w:r w:rsidR="00E23F7A" w:rsidRPr="00E23F7A">
        <w:rPr>
          <w:sz w:val="24"/>
          <w:lang w:val="ro-RO"/>
        </w:rPr>
        <w:t xml:space="preserve"> </w:t>
      </w:r>
      <w:r w:rsidR="00E23F7A" w:rsidRPr="00E23F7A">
        <w:rPr>
          <w:sz w:val="24"/>
          <w:lang w:val="ro-RO"/>
        </w:rPr>
        <w:tab/>
      </w:r>
      <w:r w:rsidRPr="00E23F7A">
        <w:rPr>
          <w:sz w:val="24"/>
          <w:lang w:val="ro-RO"/>
        </w:rPr>
        <w:t xml:space="preserve">Aviz științific al Grupului EFSA pentru organisme modificate genetic privind evaluarea bumbacului modificat genetic T304-40, pentru reînnoirea autorizației în temeiul Regulamentului (CE) nr. </w:t>
      </w:r>
      <w:r w:rsidRPr="00E23F7A">
        <w:rPr>
          <w:sz w:val="24"/>
          <w:lang w:val="ro-RO"/>
        </w:rPr>
        <w:t xml:space="preserve">1829/2003 (dosarul GMFF-2024-23010), </w:t>
      </w:r>
      <w:r w:rsidRPr="00E23F7A">
        <w:rPr>
          <w:i/>
          <w:sz w:val="24"/>
          <w:lang w:val="ro-RO"/>
        </w:rPr>
        <w:t>EFSA Journal,</w:t>
      </w:r>
      <w:r w:rsidRPr="00E23F7A">
        <w:rPr>
          <w:sz w:val="24"/>
          <w:lang w:val="ro-RO"/>
        </w:rPr>
        <w:t xml:space="preserve"> 2025, 23(7):e9580, </w:t>
      </w:r>
      <w:hyperlink r:id="rId3" w:history="1">
        <w:r w:rsidRPr="00E23F7A">
          <w:rPr>
            <w:rStyle w:val="Hyperlink"/>
            <w:sz w:val="24"/>
            <w:lang w:val="ro-RO"/>
          </w:rPr>
          <w:t>https://doi.org/10.2903/j.efsa.2025.9580</w:t>
        </w:r>
      </w:hyperlink>
      <w:r w:rsidRPr="00E23F7A">
        <w:rPr>
          <w:sz w:val="24"/>
          <w:lang w:val="ro-RO"/>
        </w:rPr>
        <w:t xml:space="preserve">. </w:t>
      </w:r>
    </w:p>
  </w:footnote>
  <w:footnote w:id="4">
    <w:p w14:paraId="18C6A045" w14:textId="43D892DA" w:rsidR="0022682C" w:rsidRPr="00E23F7A" w:rsidRDefault="0022682C" w:rsidP="00E23F7A">
      <w:pPr>
        <w:pStyle w:val="FootnoteText"/>
        <w:ind w:left="567" w:hanging="567"/>
        <w:rPr>
          <w:color w:val="000000" w:themeColor="text1"/>
          <w:sz w:val="24"/>
          <w:vertAlign w:val="superscript"/>
          <w:lang w:val="ro-RO"/>
        </w:rPr>
      </w:pPr>
      <w:r w:rsidRPr="00E23F7A">
        <w:rPr>
          <w:rStyle w:val="FootnoteReference"/>
          <w:sz w:val="24"/>
          <w:lang w:val="ro-RO"/>
        </w:rPr>
        <w:footnoteRef/>
      </w:r>
      <w:r w:rsidR="00E23F7A" w:rsidRPr="00E23F7A">
        <w:rPr>
          <w:color w:val="000000" w:themeColor="text1"/>
          <w:sz w:val="24"/>
          <w:lang w:val="ro-RO"/>
        </w:rPr>
        <w:t xml:space="preserve"> </w:t>
      </w:r>
      <w:r w:rsidR="00E23F7A" w:rsidRPr="00E23F7A">
        <w:rPr>
          <w:color w:val="000000" w:themeColor="text1"/>
          <w:sz w:val="24"/>
          <w:lang w:val="ro-RO"/>
        </w:rPr>
        <w:tab/>
      </w:r>
      <w:r w:rsidRPr="00E23F7A">
        <w:rPr>
          <w:color w:val="000000" w:themeColor="text1"/>
          <w:sz w:val="24"/>
          <w:lang w:val="ro-RO"/>
        </w:rPr>
        <w:t>În cea de a opta legislatură, Parlamentul a adoptat 36 de rezoluții, iar în cea de a noua legislatură, 38 de rezoluții în care se opune autorizării OMG-urilor. În plus, în cea de a zecea legislatură, Parlamentul a adoptat următoarele rezoluții:</w:t>
      </w:r>
    </w:p>
    <w:p w14:paraId="16FF3E8D" w14:textId="6686842B"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w:t>
      </w:r>
      <w:r w:rsidR="0022682C" w:rsidRPr="00E23F7A">
        <w:rPr>
          <w:color w:val="000000" w:themeColor="text1"/>
          <w:sz w:val="24"/>
          <w:lang w:val="ro-RO"/>
        </w:rPr>
        <w:t>1829/2003 al Parlamentului European și al Consiliului (JO C, C/2025/1797, 4.4.2025, ELI: </w:t>
      </w:r>
      <w:hyperlink r:id="rId4" w:history="1">
        <w:r w:rsidR="0022682C" w:rsidRPr="00E23F7A">
          <w:rPr>
            <w:rStyle w:val="Hyperlink"/>
            <w:sz w:val="24"/>
            <w:lang w:val="ro-RO"/>
          </w:rPr>
          <w:t>http://data.europa.eu/eli/C/2025/1797/oj</w:t>
        </w:r>
      </w:hyperlink>
      <w:r w:rsidR="0022682C" w:rsidRPr="00E23F7A">
        <w:rPr>
          <w:color w:val="000000" w:themeColor="text1"/>
          <w:sz w:val="24"/>
          <w:lang w:val="ro-RO"/>
        </w:rPr>
        <w:t>).</w:t>
      </w:r>
    </w:p>
    <w:p w14:paraId="590F65A3" w14:textId="518950B1"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Decizia de punere în aplicare (UE) 2024/2627 a Comisiei de autorizare a introducerii pe piață a produselor care conțin, constau în sau sunt fabricate din bumbacul modificat genetic COT102, în temeiul Regulamentului (CE) nr. 1829/2003 al Parlamentului European și al Consiliului (JO C, C/2025/1798, 4.4.2025, ELI: </w:t>
      </w:r>
      <w:hyperlink r:id="rId5" w:history="1">
        <w:r w:rsidR="0022682C" w:rsidRPr="00E23F7A">
          <w:rPr>
            <w:rStyle w:val="Hyperlink"/>
            <w:sz w:val="24"/>
            <w:lang w:val="ro-RO"/>
          </w:rPr>
          <w:t>http://data.europa.eu/eli/C/2025/1798/oj</w:t>
        </w:r>
      </w:hyperlink>
      <w:r w:rsidR="0022682C" w:rsidRPr="00E23F7A">
        <w:rPr>
          <w:color w:val="000000" w:themeColor="text1"/>
          <w:sz w:val="24"/>
          <w:lang w:val="ro-RO"/>
        </w:rPr>
        <w:t>).</w:t>
      </w:r>
    </w:p>
    <w:p w14:paraId="3EBB03D1" w14:textId="1BE985CC"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subcombinațiile acestuia, în temeiul Regulamentului (CE) nr. 1829/2003 al Parlamentului European și al Consiliului (JO C, C/2025/1799, 4.4.2025, ELI: </w:t>
      </w:r>
      <w:hyperlink r:id="rId6" w:history="1">
        <w:r w:rsidR="0022682C" w:rsidRPr="00E23F7A">
          <w:rPr>
            <w:rStyle w:val="Hyperlink"/>
            <w:sz w:val="24"/>
            <w:lang w:val="ro-RO"/>
          </w:rPr>
          <w:t>http://data.europa.eu/eli/C/2025/1799/oj</w:t>
        </w:r>
      </w:hyperlink>
      <w:r w:rsidR="0022682C" w:rsidRPr="00E23F7A">
        <w:rPr>
          <w:color w:val="000000" w:themeColor="text1"/>
          <w:sz w:val="24"/>
          <w:lang w:val="ro-RO"/>
        </w:rPr>
        <w:t>).</w:t>
      </w:r>
    </w:p>
    <w:p w14:paraId="278E4E75" w14:textId="68BEA15F"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22682C" w:rsidRPr="00E23F7A">
          <w:rPr>
            <w:rStyle w:val="Hyperlink"/>
            <w:sz w:val="24"/>
            <w:lang w:val="ro-RO"/>
          </w:rPr>
          <w:t>http://data.europa.eu/eli/C/2025/1800/oj</w:t>
        </w:r>
      </w:hyperlink>
      <w:r w:rsidR="0022682C" w:rsidRPr="00E23F7A">
        <w:rPr>
          <w:color w:val="000000" w:themeColor="text1"/>
          <w:sz w:val="24"/>
          <w:lang w:val="ro-RO"/>
        </w:rPr>
        <w:t>).</w:t>
      </w:r>
    </w:p>
    <w:p w14:paraId="196496B4" w14:textId="7441B78A"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22682C" w:rsidRPr="00E23F7A">
          <w:rPr>
            <w:rStyle w:val="Hyperlink"/>
            <w:sz w:val="24"/>
            <w:lang w:val="ro-RO"/>
          </w:rPr>
          <w:t>http://data.europa.eu/eli/C/2025/1801/oj</w:t>
        </w:r>
      </w:hyperlink>
      <w:r w:rsidR="0022682C" w:rsidRPr="00E23F7A">
        <w:rPr>
          <w:color w:val="000000" w:themeColor="text1"/>
          <w:sz w:val="24"/>
          <w:lang w:val="ro-RO"/>
        </w:rPr>
        <w:t>).</w:t>
      </w:r>
    </w:p>
    <w:p w14:paraId="42F633B5" w14:textId="182B16E8"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22682C" w:rsidRPr="00E23F7A">
          <w:rPr>
            <w:rStyle w:val="Hyperlink"/>
            <w:sz w:val="24"/>
            <w:lang w:val="ro-RO"/>
          </w:rPr>
          <w:t>http://data.europa.eu/eli/C/2025/1802/oj</w:t>
        </w:r>
      </w:hyperlink>
      <w:r w:rsidR="0022682C" w:rsidRPr="00E23F7A">
        <w:rPr>
          <w:color w:val="000000" w:themeColor="text1"/>
          <w:sz w:val="24"/>
          <w:lang w:val="ro-RO"/>
        </w:rPr>
        <w:t>).</w:t>
      </w:r>
    </w:p>
    <w:p w14:paraId="7A2A890E" w14:textId="481A79CE"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22682C" w:rsidRPr="00E23F7A">
          <w:rPr>
            <w:rStyle w:val="Hyperlink"/>
            <w:sz w:val="24"/>
            <w:lang w:val="ro-RO"/>
          </w:rPr>
          <w:t>http://data.europa.eu/eli/C/2025/1803/oj</w:t>
        </w:r>
      </w:hyperlink>
      <w:r w:rsidR="0022682C" w:rsidRPr="00E23F7A">
        <w:rPr>
          <w:color w:val="000000" w:themeColor="text1"/>
          <w:sz w:val="24"/>
          <w:lang w:val="ro-RO"/>
        </w:rPr>
        <w:t>).</w:t>
      </w:r>
    </w:p>
    <w:p w14:paraId="4CD8EA47" w14:textId="3ABF9E2A" w:rsidR="0022682C" w:rsidRPr="00E23F7A" w:rsidRDefault="00E23F7A" w:rsidP="00E23F7A">
      <w:pPr>
        <w:pStyle w:val="FootnoteText"/>
        <w:ind w:left="567" w:hanging="567"/>
        <w:rPr>
          <w:color w:val="000000" w:themeColor="text1"/>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t>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22682C" w:rsidRPr="00E23F7A">
          <w:rPr>
            <w:rStyle w:val="Hyperlink"/>
            <w:sz w:val="24"/>
            <w:lang w:val="ro-RO"/>
          </w:rPr>
          <w:t>http://data.europa.eu/eli/C/2025/1804/oj</w:t>
        </w:r>
      </w:hyperlink>
      <w:r w:rsidR="0022682C" w:rsidRPr="00E23F7A">
        <w:rPr>
          <w:color w:val="000000" w:themeColor="text1"/>
          <w:sz w:val="24"/>
          <w:lang w:val="ro-RO"/>
        </w:rPr>
        <w:t>).</w:t>
      </w:r>
    </w:p>
    <w:p w14:paraId="38A079F0" w14:textId="6423924A" w:rsidR="0022682C" w:rsidRPr="00E23F7A" w:rsidRDefault="00E23F7A" w:rsidP="00E23F7A">
      <w:pPr>
        <w:pStyle w:val="FootnoteText"/>
        <w:ind w:left="567" w:hanging="567"/>
        <w:rPr>
          <w:sz w:val="24"/>
          <w:vertAlign w:val="superscript"/>
          <w:lang w:val="ro-RO"/>
        </w:rPr>
      </w:pPr>
      <w:r w:rsidRPr="00E23F7A">
        <w:rPr>
          <w:color w:val="000000" w:themeColor="text1"/>
          <w:sz w:val="24"/>
          <w:lang w:val="ro-RO"/>
        </w:rPr>
        <w:t xml:space="preserve"> </w:t>
      </w:r>
      <w:r w:rsidRPr="00E23F7A">
        <w:rPr>
          <w:color w:val="000000" w:themeColor="text1"/>
          <w:sz w:val="24"/>
          <w:lang w:val="ro-RO"/>
        </w:rPr>
        <w:tab/>
      </w:r>
      <w:r w:rsidR="0022682C" w:rsidRPr="00E23F7A">
        <w:rPr>
          <w:color w:val="000000" w:themeColor="text1"/>
          <w:sz w:val="24"/>
          <w:lang w:val="ro-RO"/>
        </w:rPr>
        <w:t>–</w:t>
      </w:r>
      <w:r w:rsidR="0022682C" w:rsidRPr="00E23F7A">
        <w:rPr>
          <w:color w:val="000000" w:themeColor="text1"/>
          <w:sz w:val="24"/>
          <w:lang w:val="ro-RO"/>
        </w:rPr>
        <w:tab/>
      </w:r>
      <w:r w:rsidR="0022682C" w:rsidRPr="00E23F7A">
        <w:rPr>
          <w:sz w:val="24"/>
          <w:lang w:val="ro-RO"/>
        </w:rPr>
        <w:t>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2" w:history="1">
        <w:r w:rsidR="0022682C" w:rsidRPr="00E23F7A">
          <w:rPr>
            <w:rStyle w:val="Hyperlink"/>
            <w:sz w:val="24"/>
            <w:lang w:val="ro-RO"/>
          </w:rPr>
          <w:t>http://data.europa.eu/eli/C/2025/2246/oj</w:t>
        </w:r>
      </w:hyperlink>
      <w:r w:rsidR="0022682C" w:rsidRPr="00E23F7A">
        <w:rPr>
          <w:sz w:val="24"/>
          <w:lang w:val="ro-RO"/>
        </w:rPr>
        <w:t>).</w:t>
      </w:r>
    </w:p>
    <w:p w14:paraId="7F72C559" w14:textId="43B00357"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w:t>
      </w:r>
      <w:r w:rsidR="0022682C" w:rsidRPr="00E23F7A">
        <w:rPr>
          <w:sz w:val="24"/>
          <w:lang w:val="ro-RO"/>
        </w:rPr>
        <w:tab/>
        <w:t>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history="1">
        <w:r w:rsidR="0022682C" w:rsidRPr="00E23F7A">
          <w:rPr>
            <w:rStyle w:val="Hyperlink"/>
            <w:sz w:val="24"/>
            <w:lang w:val="ro-RO"/>
          </w:rPr>
          <w:t>http://data.europa.eu/eli/C/2025/2247/oj</w:t>
        </w:r>
      </w:hyperlink>
      <w:r w:rsidR="0022682C" w:rsidRPr="00E23F7A">
        <w:rPr>
          <w:sz w:val="24"/>
          <w:lang w:val="ro-RO"/>
        </w:rPr>
        <w:t>).</w:t>
      </w:r>
    </w:p>
    <w:p w14:paraId="7109ED60" w14:textId="315110FD"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w:t>
      </w:r>
      <w:r w:rsidR="0022682C" w:rsidRPr="00E23F7A">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w:t>
      </w:r>
      <w:r w:rsidR="007D4EA7">
        <w:rPr>
          <w:sz w:val="24"/>
          <w:lang w:val="ro-RO"/>
        </w:rPr>
        <w:t xml:space="preserve">Texte adoptate, </w:t>
      </w:r>
      <w:r w:rsidR="0022682C" w:rsidRPr="00E23F7A">
        <w:rPr>
          <w:sz w:val="24"/>
          <w:lang w:val="ro-RO"/>
        </w:rPr>
        <w:t>P10_TA(2025)0106).</w:t>
      </w:r>
    </w:p>
    <w:p w14:paraId="24E47A6E" w14:textId="19CE6C28"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w:t>
      </w:r>
      <w:r w:rsidR="0022682C" w:rsidRPr="00E23F7A">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w:t>
      </w:r>
      <w:r w:rsidR="007D4EA7">
        <w:rPr>
          <w:sz w:val="24"/>
          <w:lang w:val="ro-RO"/>
        </w:rPr>
        <w:t xml:space="preserve">Texte adoptate, </w:t>
      </w:r>
      <w:r w:rsidR="0022682C" w:rsidRPr="00E23F7A">
        <w:rPr>
          <w:sz w:val="24"/>
          <w:lang w:val="ro-RO"/>
        </w:rPr>
        <w:t>P10_TA(2025)0222).</w:t>
      </w:r>
    </w:p>
    <w:p w14:paraId="6C399FDB" w14:textId="0989AB0A"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w:t>
      </w:r>
      <w:r w:rsidR="0022682C" w:rsidRPr="00E23F7A">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w:t>
      </w:r>
      <w:r w:rsidR="007D4EA7">
        <w:rPr>
          <w:sz w:val="24"/>
          <w:lang w:val="ro-RO"/>
        </w:rPr>
        <w:t xml:space="preserve">Texte adoptate, </w:t>
      </w:r>
      <w:r w:rsidR="0022682C" w:rsidRPr="00E23F7A">
        <w:rPr>
          <w:sz w:val="24"/>
          <w:lang w:val="ro-RO"/>
        </w:rPr>
        <w:t>P10_TA(2025)0288).</w:t>
      </w:r>
    </w:p>
    <w:p w14:paraId="79B682DA" w14:textId="07A1BB64"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w:t>
      </w:r>
      <w:r w:rsidR="0022682C" w:rsidRPr="00E23F7A">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w:t>
      </w:r>
      <w:r w:rsidR="007D4EA7">
        <w:rPr>
          <w:sz w:val="24"/>
          <w:lang w:val="ro-RO"/>
        </w:rPr>
        <w:t xml:space="preserve">Texte adoptate, </w:t>
      </w:r>
      <w:r w:rsidR="0022682C" w:rsidRPr="00E23F7A">
        <w:rPr>
          <w:sz w:val="24"/>
          <w:lang w:val="ro-RO"/>
        </w:rPr>
        <w:t>P10_TA(2025)0289).</w:t>
      </w:r>
    </w:p>
    <w:p w14:paraId="69C6CD6B" w14:textId="46425ED0"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w:t>
      </w:r>
      <w:r w:rsidR="007D4EA7">
        <w:rPr>
          <w:sz w:val="24"/>
          <w:lang w:val="ro-RO"/>
        </w:rPr>
        <w:t xml:space="preserve">Texte adoptate, </w:t>
      </w:r>
      <w:r w:rsidR="0022682C" w:rsidRPr="00E23F7A">
        <w:rPr>
          <w:sz w:val="24"/>
          <w:lang w:val="ro-RO"/>
        </w:rPr>
        <w:t>P10_TA(2025)0290).</w:t>
      </w:r>
    </w:p>
    <w:p w14:paraId="0AC37530" w14:textId="3C6EB86F"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w:t>
      </w:r>
      <w:r w:rsidR="007D4EA7">
        <w:rPr>
          <w:sz w:val="24"/>
          <w:lang w:val="ro-RO"/>
        </w:rPr>
        <w:t xml:space="preserve">Texte adoptate, </w:t>
      </w:r>
      <w:r w:rsidR="0022682C" w:rsidRPr="00E23F7A">
        <w:rPr>
          <w:sz w:val="24"/>
          <w:lang w:val="ro-RO"/>
        </w:rPr>
        <w:t>P10_TA(2025)0291).</w:t>
      </w:r>
    </w:p>
    <w:p w14:paraId="07737AD2" w14:textId="5600D097"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Rezoluția Parlamentului European din 25 noiembrie 2025 referitoare la proiectul de decizie de punere în aplicare a Comisiei de reînnoire a autorizației de introducere pe piață a produselor care conțin, sunt compuse sau fabricate din porumb modificat genetic MON 87427, în temeiul Regulamentului (CE) nr. 1829/2003 al Parlamentului European și al Consiliului (</w:t>
      </w:r>
      <w:r w:rsidR="007D4EA7">
        <w:rPr>
          <w:sz w:val="24"/>
          <w:lang w:val="ro-RO"/>
        </w:rPr>
        <w:t xml:space="preserve">Texte adoptate, </w:t>
      </w:r>
      <w:r w:rsidR="0022682C" w:rsidRPr="00E23F7A">
        <w:rPr>
          <w:sz w:val="24"/>
          <w:lang w:val="ro-RO"/>
        </w:rPr>
        <w:t>P10_TA(2025)0292).</w:t>
      </w:r>
    </w:p>
    <w:p w14:paraId="743B8F98" w14:textId="667700BE" w:rsidR="0022682C" w:rsidRPr="00E23F7A" w:rsidRDefault="00E23F7A" w:rsidP="00E23F7A">
      <w:pPr>
        <w:pStyle w:val="FootnoteText"/>
        <w:ind w:left="567" w:hanging="567"/>
        <w:rPr>
          <w:sz w:val="24"/>
          <w:vertAlign w:val="superscript"/>
          <w:lang w:val="ro-RO"/>
        </w:rPr>
      </w:pPr>
      <w:r w:rsidRPr="00E23F7A">
        <w:rPr>
          <w:sz w:val="24"/>
          <w:lang w:val="ro-RO"/>
        </w:rPr>
        <w:t xml:space="preserve"> </w:t>
      </w:r>
      <w:r w:rsidRPr="00E23F7A">
        <w:rPr>
          <w:sz w:val="24"/>
          <w:lang w:val="ro-RO"/>
        </w:rPr>
        <w:tab/>
      </w:r>
      <w:r w:rsidR="0022682C" w:rsidRPr="00E23F7A">
        <w:rPr>
          <w:sz w:val="24"/>
          <w:lang w:val="ro-RO"/>
        </w:rPr>
        <w:t>Rezoluția Parlamentului European din 16 decembrie 2025 referitoare la proiectul de decizie de punere în aplicare a Comisiei de reînnoire a autorizației de introducere pe piață a produselor care conțin, sunt compuse sau fabricate din porumb modificat genetic NK603, în temeiul Regulamentului (CE) nr. 1829/2003 al Parlamentului European și al Consiliului (</w:t>
      </w:r>
      <w:r w:rsidR="007D4EA7">
        <w:rPr>
          <w:sz w:val="24"/>
          <w:lang w:val="ro-RO"/>
        </w:rPr>
        <w:t xml:space="preserve">Texte adoptate, </w:t>
      </w:r>
      <w:r w:rsidR="0022682C" w:rsidRPr="00E23F7A">
        <w:rPr>
          <w:sz w:val="24"/>
          <w:lang w:val="ro-RO"/>
        </w:rPr>
        <w:t>P10_TA(2025)0327).</w:t>
      </w:r>
    </w:p>
    <w:p w14:paraId="2C00BB19" w14:textId="181E389C" w:rsidR="0022682C" w:rsidRPr="00E23F7A" w:rsidRDefault="00E23F7A" w:rsidP="00E23F7A">
      <w:pPr>
        <w:pStyle w:val="FootnoteText"/>
        <w:ind w:left="567" w:hanging="567"/>
        <w:rPr>
          <w:sz w:val="24"/>
          <w:lang w:val="ro-RO"/>
        </w:rPr>
      </w:pPr>
      <w:r w:rsidRPr="00E23F7A">
        <w:rPr>
          <w:sz w:val="24"/>
          <w:lang w:val="ro-RO"/>
        </w:rPr>
        <w:t xml:space="preserve"> </w:t>
      </w:r>
      <w:r w:rsidRPr="00E23F7A">
        <w:rPr>
          <w:sz w:val="24"/>
          <w:lang w:val="ro-RO"/>
        </w:rPr>
        <w:tab/>
      </w:r>
      <w:r w:rsidR="0022682C" w:rsidRPr="00E23F7A">
        <w:rPr>
          <w:sz w:val="24"/>
          <w:lang w:val="ro-RO"/>
        </w:rPr>
        <w:t>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 (</w:t>
      </w:r>
      <w:r w:rsidR="007D4EA7">
        <w:rPr>
          <w:sz w:val="24"/>
          <w:lang w:val="ro-RO"/>
        </w:rPr>
        <w:t xml:space="preserve">Texte adoptate, </w:t>
      </w:r>
      <w:r w:rsidR="0022682C" w:rsidRPr="00E23F7A">
        <w:rPr>
          <w:sz w:val="24"/>
          <w:lang w:val="ro-RO"/>
        </w:rPr>
        <w:t>P10_TA(2025)0328).</w:t>
      </w:r>
    </w:p>
  </w:footnote>
  <w:footnote w:id="5">
    <w:p w14:paraId="331671BE" w14:textId="13538BA1"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Decizia de punere în aplicare (UE) 2015/699 a Comisiei din 24 aprilie 2015 de autorizare a introducerii pe piață a produselor care conțin, sunt compuse sau fabricate din bumbac modificat genetic T304-40 (BCS-GHØØ4-7), în temeiul Regulamentului (CE) nr. 1829/2003 al Parlamentului European și al Consiliului (JO L 112, 30.4.2015, p. </w:t>
      </w:r>
      <w:r w:rsidRPr="00E23F7A">
        <w:rPr>
          <w:sz w:val="24"/>
          <w:lang w:val="ro-RO"/>
        </w:rPr>
        <w:t>77, ELI:  </w:t>
      </w:r>
      <w:hyperlink r:id="rId14" w:history="1">
        <w:r w:rsidRPr="00E23F7A">
          <w:rPr>
            <w:rStyle w:val="Hyperlink"/>
            <w:sz w:val="24"/>
            <w:lang w:val="ro-RO"/>
          </w:rPr>
          <w:t>http://data.europa.eu/eli/dec_impl/2015/699/oj</w:t>
        </w:r>
      </w:hyperlink>
      <w:r w:rsidRPr="00E23F7A">
        <w:rPr>
          <w:sz w:val="24"/>
          <w:lang w:val="ro-RO"/>
        </w:rPr>
        <w:t>).</w:t>
      </w:r>
    </w:p>
  </w:footnote>
  <w:footnote w:id="6">
    <w:p w14:paraId="7F1660AF" w14:textId="4BC4815A"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Decizia de punere în aplicare (UE) 2019/1195 a Comisiei din 10 iulie 2019 de modificare a Deciziilor 2008/730/CE, 2008/837/CE, 2009/184/CE, 2011/354/UE, a Deciziilor de punere în aplicare 2012/81/UE, 2013/327/UE, (UE) 2015/690, (UE) 2015/697, (UE) 2015/699, (UE) 2016/1215, (UE) 2017/1208 și (UE) 2017/2451 în ceea ce privește titularul autorizației și reprezentantul pentru introducerea pe piață a soiei, bumbacului, rapiței și porumbului modificate genetic (JO L 187, 12.7.2019, p. </w:t>
      </w:r>
      <w:r w:rsidRPr="00E23F7A">
        <w:rPr>
          <w:sz w:val="24"/>
          <w:lang w:val="ro-RO"/>
        </w:rPr>
        <w:t>43, ELI: </w:t>
      </w:r>
      <w:hyperlink r:id="rId15" w:tooltip="Oferă acces la acest document prin identificatorul său uniform de resurse ELI." w:history="1">
        <w:r w:rsidRPr="00E23F7A">
          <w:rPr>
            <w:rStyle w:val="Hyperlink"/>
            <w:sz w:val="24"/>
            <w:lang w:val="ro-RO"/>
          </w:rPr>
          <w:t>http://data.europa.eu/eli/dec_impl/2019/1195/oj</w:t>
        </w:r>
      </w:hyperlink>
      <w:r w:rsidRPr="00E23F7A">
        <w:rPr>
          <w:sz w:val="24"/>
          <w:lang w:val="ro-RO"/>
        </w:rPr>
        <w:t xml:space="preserve">). </w:t>
      </w:r>
    </w:p>
  </w:footnote>
  <w:footnote w:id="7">
    <w:p w14:paraId="1888118A" w14:textId="5CBB862B"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Avizul științific al Grupului EFSA pentru organisme modificate genetic privind evaluarea bumbacului modificat genetic T304-40, pentru reînnoirea autorizației în temeiul Regulamentului (CE) nr. </w:t>
      </w:r>
      <w:r w:rsidRPr="00E23F7A">
        <w:rPr>
          <w:sz w:val="24"/>
          <w:lang w:val="ro-RO"/>
        </w:rPr>
        <w:t xml:space="preserve">1829/2003 (dosarul GMFF-2024-23010), </w:t>
      </w:r>
      <w:r w:rsidRPr="00E23F7A">
        <w:rPr>
          <w:i/>
          <w:sz w:val="24"/>
          <w:lang w:val="ro-RO"/>
        </w:rPr>
        <w:t>EFSA Journal</w:t>
      </w:r>
      <w:r w:rsidRPr="00E23F7A">
        <w:rPr>
          <w:sz w:val="24"/>
          <w:lang w:val="ro-RO"/>
        </w:rPr>
        <w:t xml:space="preserve">, 2025,23(7):e9580, </w:t>
      </w:r>
      <w:hyperlink r:id="rId16" w:history="1">
        <w:r w:rsidRPr="00E23F7A">
          <w:rPr>
            <w:sz w:val="24"/>
            <w:lang w:val="ro-RO"/>
          </w:rPr>
          <w:t>https://doi.org/10.2903/j.efsa.2025.9580</w:t>
        </w:r>
      </w:hyperlink>
      <w:r w:rsidRPr="00E23F7A">
        <w:rPr>
          <w:sz w:val="24"/>
          <w:lang w:val="ro-RO"/>
        </w:rPr>
        <w:t>.</w:t>
      </w:r>
    </w:p>
  </w:footnote>
  <w:footnote w:id="8">
    <w:p w14:paraId="37158744" w14:textId="5F3469B6"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 xml:space="preserve">Aviz științific al EFSA pentru organisme modificate genetic privind cererea EFSA-GMO-NL-2011-97 de introducere pe piață a bumbacului modificat genetic rezistent la insecte și tolerant la erbicide T304-40, pentru utilizare în produse alimentare și furaje, pentru import și pentru prelucrare în temeiul Regulamentului (CE) nr. </w:t>
      </w:r>
      <w:r w:rsidRPr="00E23F7A">
        <w:rPr>
          <w:sz w:val="24"/>
          <w:lang w:val="ro-RO"/>
        </w:rPr>
        <w:t xml:space="preserve">1829/2003, transmisă de Bayer CropScience AG, </w:t>
      </w:r>
      <w:r w:rsidRPr="00E23F7A">
        <w:rPr>
          <w:i/>
          <w:sz w:val="24"/>
          <w:lang w:val="ro-RO"/>
        </w:rPr>
        <w:t>EFSA Journal</w:t>
      </w:r>
      <w:r w:rsidRPr="00E23F7A">
        <w:rPr>
          <w:sz w:val="24"/>
          <w:lang w:val="ro-RO"/>
        </w:rPr>
        <w:t xml:space="preserve"> (2006) 2013, 11(6): 3251, </w:t>
      </w:r>
      <w:hyperlink r:id="rId17" w:history="1">
        <w:r w:rsidRPr="00E23F7A">
          <w:rPr>
            <w:sz w:val="24"/>
            <w:lang w:val="ro-RO"/>
          </w:rPr>
          <w:t>https://doi.org/10.2903/j.efsa.2013.3251</w:t>
        </w:r>
      </w:hyperlink>
      <w:r w:rsidRPr="00E23F7A">
        <w:rPr>
          <w:sz w:val="24"/>
          <w:lang w:val="ro-RO"/>
        </w:rPr>
        <w:t>.</w:t>
      </w:r>
    </w:p>
  </w:footnote>
  <w:footnote w:id="9">
    <w:p w14:paraId="4FF31504" w14:textId="1FD6212C"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shd w:val="clear" w:color="auto" w:fill="FFFFFF"/>
          <w:lang w:val="ro-RO"/>
        </w:rPr>
        <w:t xml:space="preserve"> </w:t>
      </w:r>
      <w:r w:rsidR="00E23F7A" w:rsidRPr="00E23F7A">
        <w:rPr>
          <w:sz w:val="24"/>
          <w:shd w:val="clear" w:color="auto" w:fill="FFFFFF"/>
          <w:lang w:val="ro-RO"/>
        </w:rPr>
        <w:tab/>
      </w:r>
      <w:r w:rsidRPr="00E23F7A">
        <w:rPr>
          <w:sz w:val="24"/>
          <w:shd w:val="clear" w:color="auto" w:fill="FFFFFF"/>
          <w:lang w:val="ro-RO"/>
        </w:rPr>
        <w:t xml:space="preserve">A se vedea, de exemplu: Bonny, S., „Genetically Modified Herbicide-Tolerant Crops, Weeds, and Herbicides: Overview and Impact’, </w:t>
      </w:r>
      <w:r w:rsidRPr="00E23F7A">
        <w:rPr>
          <w:i/>
          <w:sz w:val="24"/>
          <w:shd w:val="clear" w:color="auto" w:fill="FFFFFF"/>
          <w:lang w:val="ro-RO"/>
        </w:rPr>
        <w:t>Environmental Management</w:t>
      </w:r>
      <w:r w:rsidRPr="00E23F7A">
        <w:rPr>
          <w:sz w:val="24"/>
          <w:shd w:val="clear" w:color="auto" w:fill="FFFFFF"/>
          <w:lang w:val="ro-RO"/>
        </w:rPr>
        <w:t xml:space="preserve">, January 2016,57(1), p. </w:t>
      </w:r>
      <w:r w:rsidRPr="00E23F7A">
        <w:rPr>
          <w:sz w:val="24"/>
          <w:shd w:val="clear" w:color="auto" w:fill="FFFFFF"/>
          <w:lang w:val="ro-RO"/>
        </w:rPr>
        <w:t>31,</w:t>
      </w:r>
      <w:hyperlink r:id="rId18" w:history="1">
        <w:r w:rsidRPr="00E23F7A">
          <w:rPr>
            <w:rStyle w:val="Hyperlink"/>
            <w:sz w:val="24"/>
            <w:shd w:val="clear" w:color="auto" w:fill="FFFFFF"/>
            <w:lang w:val="ro-RO"/>
          </w:rPr>
          <w:t>https://doi.org/10.1007/s00267-015-0589-7</w:t>
        </w:r>
      </w:hyperlink>
      <w:r w:rsidRPr="00E23F7A">
        <w:rPr>
          <w:sz w:val="24"/>
          <w:shd w:val="clear" w:color="auto" w:fill="FFFFFF"/>
          <w:lang w:val="ro-RO"/>
        </w:rPr>
        <w:t xml:space="preserve"> and Benbrook, C.M., ‘Impacts of genetically engineered crops on pesticide use in the U.S. - the first sixteen years’ (Impactul culturilor modificate genetic asupra utilizării pesticidelor în SUA – primii 16 ani), </w:t>
      </w:r>
      <w:r w:rsidRPr="00E23F7A">
        <w:rPr>
          <w:i/>
          <w:sz w:val="24"/>
          <w:shd w:val="clear" w:color="auto" w:fill="FFFFFF"/>
          <w:lang w:val="ro-RO"/>
        </w:rPr>
        <w:t>Environmental Sciences Europe</w:t>
      </w:r>
      <w:r w:rsidRPr="00E23F7A">
        <w:rPr>
          <w:sz w:val="24"/>
          <w:shd w:val="clear" w:color="auto" w:fill="FFFFFF"/>
          <w:lang w:val="ro-RO"/>
        </w:rPr>
        <w:t xml:space="preserve">, 28 </w:t>
      </w:r>
      <w:r w:rsidR="00E6509F">
        <w:rPr>
          <w:sz w:val="24"/>
          <w:shd w:val="clear" w:color="auto" w:fill="FFFFFF"/>
          <w:lang w:val="ro-RO"/>
        </w:rPr>
        <w:t>s</w:t>
      </w:r>
      <w:r w:rsidRPr="00E23F7A">
        <w:rPr>
          <w:sz w:val="24"/>
          <w:shd w:val="clear" w:color="auto" w:fill="FFFFFF"/>
          <w:lang w:val="ro-RO"/>
        </w:rPr>
        <w:t>eptemb</w:t>
      </w:r>
      <w:r w:rsidR="00E6509F">
        <w:rPr>
          <w:sz w:val="24"/>
          <w:shd w:val="clear" w:color="auto" w:fill="FFFFFF"/>
          <w:lang w:val="ro-RO"/>
        </w:rPr>
        <w:t>rie</w:t>
      </w:r>
      <w:r w:rsidRPr="00E23F7A">
        <w:rPr>
          <w:sz w:val="24"/>
          <w:shd w:val="clear" w:color="auto" w:fill="FFFFFF"/>
          <w:lang w:val="ro-RO"/>
        </w:rPr>
        <w:t xml:space="preserve"> 2012, Vol. 24(1), </w:t>
      </w:r>
      <w:hyperlink r:id="rId19" w:history="1">
        <w:r w:rsidRPr="00E23F7A">
          <w:rPr>
            <w:rStyle w:val="Hyperlink"/>
            <w:sz w:val="24"/>
            <w:shd w:val="clear" w:color="auto" w:fill="FFFFFF"/>
            <w:lang w:val="ro-RO"/>
          </w:rPr>
          <w:t>https://doi.org/10.1186/2190-4715-24-24</w:t>
        </w:r>
      </w:hyperlink>
      <w:r w:rsidRPr="00E23F7A">
        <w:rPr>
          <w:rStyle w:val="Hyperlink"/>
          <w:sz w:val="24"/>
          <w:shd w:val="clear" w:color="auto" w:fill="FFFFFF"/>
          <w:lang w:val="ro-RO"/>
        </w:rPr>
        <w:t>.</w:t>
      </w:r>
    </w:p>
  </w:footnote>
  <w:footnote w:id="10">
    <w:p w14:paraId="7D3C0DE4" w14:textId="589F37F0"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A se vedea, de exemplu:</w:t>
      </w:r>
      <w:r w:rsidR="004D69AB">
        <w:rPr>
          <w:sz w:val="24"/>
          <w:lang w:val="ro-RO"/>
        </w:rPr>
        <w:t xml:space="preserve"> </w:t>
      </w:r>
      <w:hyperlink r:id="rId20" w:history="1">
        <w:r w:rsidRPr="00E23F7A">
          <w:rPr>
            <w:rStyle w:val="Hyperlink"/>
            <w:sz w:val="24"/>
            <w:lang w:val="ro-RO"/>
          </w:rPr>
          <w:t>https://doi.org/10.1002/ps.8105</w:t>
        </w:r>
      </w:hyperlink>
      <w:r w:rsidRPr="00E23F7A">
        <w:rPr>
          <w:sz w:val="24"/>
          <w:lang w:val="ro-RO"/>
        </w:rPr>
        <w:t xml:space="preserve"> și</w:t>
      </w:r>
      <w:r w:rsidR="004D69AB">
        <w:rPr>
          <w:sz w:val="24"/>
          <w:lang w:val="ro-RO"/>
        </w:rPr>
        <w:t xml:space="preserve"> </w:t>
      </w:r>
      <w:hyperlink r:id="rId21" w:history="1">
        <w:r w:rsidRPr="00E23F7A">
          <w:rPr>
            <w:rStyle w:val="Hyperlink"/>
            <w:sz w:val="24"/>
            <w:lang w:val="ro-RO"/>
          </w:rPr>
          <w:t>https://doi.org/10.1016/j.geoforum.2009.03.009</w:t>
        </w:r>
      </w:hyperlink>
      <w:r w:rsidRPr="00E23F7A">
        <w:rPr>
          <w:rStyle w:val="Hyperlink"/>
          <w:sz w:val="24"/>
          <w:lang w:val="ro-RO"/>
        </w:rPr>
        <w:t>.</w:t>
      </w:r>
    </w:p>
  </w:footnote>
  <w:footnote w:id="11">
    <w:p w14:paraId="03EDEE99" w14:textId="5FE49F0D"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w:t>
      </w:r>
      <w:r w:rsidRPr="00E23F7A">
        <w:rPr>
          <w:sz w:val="24"/>
          <w:lang w:val="ro-RO"/>
        </w:rPr>
        <w:t>1, ELI: </w:t>
      </w:r>
      <w:hyperlink r:id="rId22" w:history="1">
        <w:r w:rsidRPr="00E23F7A">
          <w:rPr>
            <w:rStyle w:val="Hyperlink"/>
            <w:sz w:val="24"/>
            <w:lang w:val="ro-RO"/>
          </w:rPr>
          <w:t>http://data.europa.eu/eli/reg/2009/1107/oj</w:t>
        </w:r>
      </w:hyperlink>
      <w:r w:rsidRPr="00E23F7A">
        <w:rPr>
          <w:sz w:val="24"/>
          <w:lang w:val="ro-RO"/>
        </w:rPr>
        <w:t>).</w:t>
      </w:r>
    </w:p>
  </w:footnote>
  <w:footnote w:id="12">
    <w:p w14:paraId="59E72658" w14:textId="7AE3E776"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color w:val="000000" w:themeColor="text1"/>
          <w:sz w:val="24"/>
          <w:lang w:val="ro-RO"/>
        </w:rPr>
        <w:t xml:space="preserve"> </w:t>
      </w:r>
      <w:r w:rsidR="00E23F7A" w:rsidRPr="00E23F7A">
        <w:rPr>
          <w:color w:val="000000" w:themeColor="text1"/>
          <w:sz w:val="24"/>
          <w:lang w:val="ro-RO"/>
        </w:rPr>
        <w:tab/>
      </w:r>
      <w:r w:rsidRPr="00E23F7A">
        <w:rPr>
          <w:color w:val="000000" w:themeColor="text1"/>
          <w:sz w:val="24"/>
          <w:lang w:val="ro-RO"/>
        </w:rPr>
        <w:t>În decembrie 2022, a fost convenit un cadru mondial pentru biodiversitate la COP15 a Convenției Organizației Națiunilor Unite privind diversitatea biologică, care cuprinde un obiectiv la nivel mondial de a reduce riscul asociat pesticidelor cu cel puțin 50</w:t>
      </w:r>
      <w:r w:rsidRPr="00E23F7A">
        <w:rPr>
          <w:sz w:val="24"/>
          <w:lang w:val="ro-RO"/>
        </w:rPr>
        <w:t> </w:t>
      </w:r>
      <w:r w:rsidRPr="00E23F7A">
        <w:rPr>
          <w:color w:val="000000" w:themeColor="text1"/>
          <w:sz w:val="24"/>
          <w:lang w:val="ro-RO"/>
        </w:rPr>
        <w:t xml:space="preserve">% până în 2030 (a se vedea: </w:t>
      </w:r>
      <w:hyperlink r:id="rId23" w:history="1">
        <w:r w:rsidRPr="00E23F7A">
          <w:rPr>
            <w:rStyle w:val="Hyperlink"/>
            <w:sz w:val="24"/>
            <w:lang w:val="ro-RO"/>
          </w:rPr>
          <w:t>https://ec.europa.eu/commission/presscorner/detail/ro/ip_22_7834</w:t>
        </w:r>
      </w:hyperlink>
      <w:r w:rsidRPr="00E23F7A">
        <w:rPr>
          <w:sz w:val="24"/>
          <w:lang w:val="ro-RO"/>
        </w:rPr>
        <w:t xml:space="preserve">). </w:t>
      </w:r>
    </w:p>
  </w:footnote>
  <w:footnote w:id="13">
    <w:p w14:paraId="13B6D1BE" w14:textId="33E3D66A"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hyperlink r:id="rId24" w:history="1">
        <w:r w:rsidRPr="00E23F7A">
          <w:rPr>
            <w:rStyle w:val="Hyperlink"/>
            <w:sz w:val="24"/>
            <w:lang w:val="ro-RO"/>
          </w:rPr>
          <w:t>https://commission.europa.eu/topics/agriculture-and-rural-development/strategic-dialogue-future-eu-agriculture_ro</w:t>
        </w:r>
      </w:hyperlink>
      <w:r w:rsidRPr="00E23F7A">
        <w:rPr>
          <w:rStyle w:val="Hyperlink"/>
          <w:sz w:val="24"/>
          <w:lang w:val="ro-RO"/>
        </w:rPr>
        <w:t>.</w:t>
      </w:r>
      <w:r w:rsidRPr="00E23F7A">
        <w:rPr>
          <w:sz w:val="24"/>
          <w:lang w:val="ro-RO"/>
        </w:rPr>
        <w:t xml:space="preserve"> </w:t>
      </w:r>
    </w:p>
  </w:footnote>
  <w:footnote w:id="14">
    <w:p w14:paraId="67991C58" w14:textId="04AD7260" w:rsidR="0022682C" w:rsidRPr="00E23F7A" w:rsidRDefault="0022682C" w:rsidP="00E23F7A">
      <w:pPr>
        <w:pStyle w:val="FootnoteText"/>
        <w:ind w:left="567" w:hanging="567"/>
        <w:rPr>
          <w:sz w:val="24"/>
          <w:lang w:val="ro-RO"/>
        </w:rPr>
      </w:pPr>
      <w:r w:rsidRPr="00E23F7A">
        <w:rPr>
          <w:rStyle w:val="FootnoteReference"/>
          <w:sz w:val="24"/>
          <w:lang w:val="ro-RO"/>
        </w:rPr>
        <w:footnoteRef/>
      </w:r>
      <w:r w:rsidR="00E23F7A" w:rsidRPr="00E23F7A">
        <w:rPr>
          <w:sz w:val="24"/>
          <w:lang w:val="ro-RO"/>
        </w:rPr>
        <w:t xml:space="preserve"> </w:t>
      </w:r>
      <w:r w:rsidR="00E23F7A" w:rsidRPr="00E23F7A">
        <w:rPr>
          <w:sz w:val="24"/>
          <w:lang w:val="ro-RO"/>
        </w:rPr>
        <w:tab/>
      </w:r>
      <w:r w:rsidRPr="00E23F7A">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w:t>
      </w:r>
      <w:r w:rsidRPr="00E23F7A">
        <w:rPr>
          <w:sz w:val="24"/>
          <w:lang w:val="ro-RO"/>
        </w:rPr>
        <w:t>1,</w:t>
      </w:r>
      <w:r w:rsidRPr="00E23F7A">
        <w:rPr>
          <w:color w:val="000000" w:themeColor="text1"/>
          <w:sz w:val="24"/>
          <w:lang w:val="ro-RO"/>
        </w:rPr>
        <w:t xml:space="preserve"> ELI: </w:t>
      </w:r>
      <w:hyperlink r:id="rId25" w:tgtFrame="Gives access to this document through its ELI URI." w:history="1">
        <w:r w:rsidRPr="00E23F7A">
          <w:rPr>
            <w:rStyle w:val="Hyperlink"/>
            <w:color w:val="0070C0"/>
            <w:sz w:val="24"/>
            <w:lang w:val="ro-RO"/>
          </w:rPr>
          <w:t>http://data.europa.eu/eli/reg/2002/178/oj</w:t>
        </w:r>
      </w:hyperlink>
      <w:r w:rsidRPr="00E23F7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A7B8" w14:textId="77777777" w:rsidR="00064002" w:rsidRPr="00E23F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74BB" w14:textId="77777777" w:rsidR="00064002" w:rsidRPr="00E23F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7861" w14:textId="77777777" w:rsidR="00064002" w:rsidRPr="00E23F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9539771">
    <w:abstractNumId w:val="9"/>
  </w:num>
  <w:num w:numId="2" w16cid:durableId="1239287098">
    <w:abstractNumId w:val="9"/>
  </w:num>
  <w:num w:numId="3" w16cid:durableId="1925413226">
    <w:abstractNumId w:val="7"/>
  </w:num>
  <w:num w:numId="4" w16cid:durableId="1082608021">
    <w:abstractNumId w:val="7"/>
  </w:num>
  <w:num w:numId="5" w16cid:durableId="608851772">
    <w:abstractNumId w:val="6"/>
  </w:num>
  <w:num w:numId="6" w16cid:durableId="79068300">
    <w:abstractNumId w:val="6"/>
  </w:num>
  <w:num w:numId="7" w16cid:durableId="1619409440">
    <w:abstractNumId w:val="5"/>
  </w:num>
  <w:num w:numId="8" w16cid:durableId="415518955">
    <w:abstractNumId w:val="5"/>
  </w:num>
  <w:num w:numId="9" w16cid:durableId="898631710">
    <w:abstractNumId w:val="4"/>
  </w:num>
  <w:num w:numId="10" w16cid:durableId="792165379">
    <w:abstractNumId w:val="4"/>
  </w:num>
  <w:num w:numId="11" w16cid:durableId="762994959">
    <w:abstractNumId w:val="8"/>
  </w:num>
  <w:num w:numId="12" w16cid:durableId="613294403">
    <w:abstractNumId w:val="8"/>
  </w:num>
  <w:num w:numId="13" w16cid:durableId="629550221">
    <w:abstractNumId w:val="3"/>
  </w:num>
  <w:num w:numId="14" w16cid:durableId="316803726">
    <w:abstractNumId w:val="3"/>
  </w:num>
  <w:num w:numId="15" w16cid:durableId="1460536007">
    <w:abstractNumId w:val="2"/>
  </w:num>
  <w:num w:numId="16" w16cid:durableId="263809412">
    <w:abstractNumId w:val="2"/>
  </w:num>
  <w:num w:numId="17" w16cid:durableId="271206422">
    <w:abstractNumId w:val="1"/>
  </w:num>
  <w:num w:numId="18" w16cid:durableId="1215774876">
    <w:abstractNumId w:val="1"/>
  </w:num>
  <w:num w:numId="19" w16cid:durableId="1374235165">
    <w:abstractNumId w:val="0"/>
  </w:num>
  <w:num w:numId="20" w16cid:durableId="1373267782">
    <w:abstractNumId w:val="0"/>
  </w:num>
  <w:num w:numId="21" w16cid:durableId="80765352">
    <w:abstractNumId w:val="9"/>
  </w:num>
  <w:num w:numId="22" w16cid:durableId="534344764">
    <w:abstractNumId w:val="7"/>
  </w:num>
  <w:num w:numId="23" w16cid:durableId="973825705">
    <w:abstractNumId w:val="6"/>
  </w:num>
  <w:num w:numId="24" w16cid:durableId="661742074">
    <w:abstractNumId w:val="5"/>
  </w:num>
  <w:num w:numId="25" w16cid:durableId="1526752991">
    <w:abstractNumId w:val="4"/>
  </w:num>
  <w:num w:numId="26" w16cid:durableId="1233470232">
    <w:abstractNumId w:val="8"/>
  </w:num>
  <w:num w:numId="27" w16cid:durableId="801727809">
    <w:abstractNumId w:val="3"/>
  </w:num>
  <w:num w:numId="28" w16cid:durableId="2027318303">
    <w:abstractNumId w:val="2"/>
  </w:num>
  <w:num w:numId="29" w16cid:durableId="238907781">
    <w:abstractNumId w:val="1"/>
  </w:num>
  <w:num w:numId="30" w16cid:durableId="1349872286">
    <w:abstractNumId w:val="0"/>
  </w:num>
  <w:num w:numId="31" w16cid:durableId="1764495210">
    <w:abstractNumId w:val="9"/>
  </w:num>
  <w:num w:numId="32" w16cid:durableId="686177398">
    <w:abstractNumId w:val="7"/>
  </w:num>
  <w:num w:numId="33" w16cid:durableId="2136024173">
    <w:abstractNumId w:val="6"/>
  </w:num>
  <w:num w:numId="34" w16cid:durableId="1720397615">
    <w:abstractNumId w:val="5"/>
  </w:num>
  <w:num w:numId="35" w16cid:durableId="1098021324">
    <w:abstractNumId w:val="4"/>
  </w:num>
  <w:num w:numId="36" w16cid:durableId="1745449332">
    <w:abstractNumId w:val="8"/>
  </w:num>
  <w:num w:numId="37" w16cid:durableId="2000958546">
    <w:abstractNumId w:val="3"/>
  </w:num>
  <w:num w:numId="38" w16cid:durableId="737284315">
    <w:abstractNumId w:val="2"/>
  </w:num>
  <w:num w:numId="39" w16cid:durableId="1994483198">
    <w:abstractNumId w:val="1"/>
  </w:num>
  <w:num w:numId="40" w16cid:durableId="2023511034">
    <w:abstractNumId w:val="0"/>
  </w:num>
  <w:num w:numId="41" w16cid:durableId="1607078358">
    <w:abstractNumId w:val="10"/>
  </w:num>
  <w:num w:numId="42" w16cid:durableId="1934781737">
    <w:abstractNumId w:val="10"/>
  </w:num>
  <w:num w:numId="43" w16cid:durableId="2128309544">
    <w:abstractNumId w:val="10"/>
  </w:num>
  <w:num w:numId="44" w16cid:durableId="7548638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RO"/>
    <w:docVar w:name="dvnumam" w:val="0"/>
    <w:docVar w:name="dvpe" w:val="782.164"/>
    <w:docVar w:name="dvtitre" w:val="Rezoluția Parlamentului European din ... februarie 2026 referitoare la proiectul de decizie de punere în aplicare a Comisiei privind reînnoirea autorizației pentru introducerea pe piață a produselor care conțin, sunt compuse sau fabricate din bumbac modificat genetic T304-40, în temeiul Regulamentului (CE) nr. 1829/2003 al Parlamentului European și al Consiliului(D111477/02 – 2026/2518(RSP))"/>
  </w:docVars>
  <w:rsids>
    <w:rsidRoot w:val="00ED6767"/>
    <w:rsid w:val="00002272"/>
    <w:rsid w:val="00064002"/>
    <w:rsid w:val="000677B9"/>
    <w:rsid w:val="000831BA"/>
    <w:rsid w:val="000A42CC"/>
    <w:rsid w:val="000E7DD9"/>
    <w:rsid w:val="0010095E"/>
    <w:rsid w:val="00125B37"/>
    <w:rsid w:val="00134E34"/>
    <w:rsid w:val="00187494"/>
    <w:rsid w:val="001F32AE"/>
    <w:rsid w:val="0022682C"/>
    <w:rsid w:val="002767FF"/>
    <w:rsid w:val="002845ED"/>
    <w:rsid w:val="002B18FE"/>
    <w:rsid w:val="002B5493"/>
    <w:rsid w:val="00343214"/>
    <w:rsid w:val="00361C00"/>
    <w:rsid w:val="00395FA1"/>
    <w:rsid w:val="003D5CB4"/>
    <w:rsid w:val="003E15D4"/>
    <w:rsid w:val="00411CCE"/>
    <w:rsid w:val="0041666E"/>
    <w:rsid w:val="00421060"/>
    <w:rsid w:val="00471C19"/>
    <w:rsid w:val="004867E3"/>
    <w:rsid w:val="00494A28"/>
    <w:rsid w:val="004C0004"/>
    <w:rsid w:val="004C5D52"/>
    <w:rsid w:val="004D69AB"/>
    <w:rsid w:val="0050519A"/>
    <w:rsid w:val="005072A1"/>
    <w:rsid w:val="00514517"/>
    <w:rsid w:val="00545827"/>
    <w:rsid w:val="00560270"/>
    <w:rsid w:val="005C2568"/>
    <w:rsid w:val="005F1B17"/>
    <w:rsid w:val="006037C0"/>
    <w:rsid w:val="006631B6"/>
    <w:rsid w:val="00680577"/>
    <w:rsid w:val="006F74FA"/>
    <w:rsid w:val="00731ADD"/>
    <w:rsid w:val="00734777"/>
    <w:rsid w:val="007472FC"/>
    <w:rsid w:val="00747932"/>
    <w:rsid w:val="00751A4A"/>
    <w:rsid w:val="00756632"/>
    <w:rsid w:val="00762C74"/>
    <w:rsid w:val="00786EC0"/>
    <w:rsid w:val="007D1690"/>
    <w:rsid w:val="007D4EA7"/>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830"/>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F7A"/>
    <w:rsid w:val="00E365E1"/>
    <w:rsid w:val="00E6509F"/>
    <w:rsid w:val="00E820A4"/>
    <w:rsid w:val="00EB006A"/>
    <w:rsid w:val="00EB4772"/>
    <w:rsid w:val="00ED169E"/>
    <w:rsid w:val="00ED4235"/>
    <w:rsid w:val="00ED676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0E6B0"/>
  <w15:chartTrackingRefBased/>
  <w15:docId w15:val="{61173B47-AE4B-481A-A258-C8E1B41B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682C"/>
    <w:pPr>
      <w:spacing w:before="480" w:after="240"/>
    </w:pPr>
  </w:style>
  <w:style w:type="paragraph" w:customStyle="1" w:styleId="NormalHanging12a">
    <w:name w:val="NormalHanging12a"/>
    <w:basedOn w:val="Normal"/>
    <w:rsid w:val="0022682C"/>
    <w:pPr>
      <w:spacing w:after="240"/>
      <w:ind w:left="567" w:hanging="567"/>
    </w:pPr>
  </w:style>
  <w:style w:type="character" w:styleId="Hyperlink">
    <w:name w:val="Hyperlink"/>
    <w:basedOn w:val="DefaultParagraphFont"/>
    <w:uiPriority w:val="99"/>
    <w:rsid w:val="0022682C"/>
    <w:rPr>
      <w:color w:val="0563C1" w:themeColor="hyperlink"/>
      <w:u w:val="single"/>
    </w:rPr>
  </w:style>
  <w:style w:type="paragraph" w:styleId="Revision">
    <w:name w:val="Revision"/>
    <w:hidden/>
    <w:uiPriority w:val="99"/>
    <w:semiHidden/>
    <w:rsid w:val="002845E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topics/agriculture-and-rural-development/strategic-dialogue-future-eu-agriculture_ro"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ro/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1567</Words>
  <Characters>9307</Characters>
  <Application>Microsoft Office Word</Application>
  <DocSecurity>0</DocSecurity>
  <Lines>211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2026-03-12T15:24:00Z</dcterms:created>
  <dcterms:modified xsi:type="dcterms:W3CDTF">2026-03-12T15:24:00Z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B10-0108/2026</vt:lpwstr>
  </property>
  <property fmtid="{D5CDD505-2E9C-101B-9397-08002B2CF9AE}" pid="4" name="&lt;Type&gt;">
    <vt:lpwstr>RR</vt:lpwstr>
  </property>
</Properties>
</file>